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jc w:val="center"/>
        <w:rPr>
          <w:rFonts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岳阳市20</w:t>
      </w:r>
      <w:r>
        <w:rPr>
          <w:rFonts w:hint="eastAsia" w:eastAsia="方正小标宋简体"/>
          <w:bCs/>
          <w:sz w:val="46"/>
          <w:szCs w:val="46"/>
          <w:u w:val="single"/>
        </w:rPr>
        <w:t>1</w:t>
      </w:r>
      <w:r>
        <w:rPr>
          <w:rFonts w:hint="eastAsia" w:eastAsia="方正小标宋简体"/>
          <w:bCs/>
          <w:sz w:val="46"/>
          <w:szCs w:val="46"/>
          <w:u w:val="single"/>
          <w:lang w:val="en-US" w:eastAsia="zh-CN"/>
        </w:rPr>
        <w:t>9</w:t>
      </w:r>
      <w:r>
        <w:rPr>
          <w:rFonts w:hint="eastAsia" w:eastAsia="方正小标宋简体"/>
          <w:bCs/>
          <w:sz w:val="46"/>
          <w:szCs w:val="46"/>
        </w:rPr>
        <w:t>年度部门整体支出</w:t>
      </w:r>
    </w:p>
    <w:p>
      <w:pPr>
        <w:spacing w:line="800" w:lineRule="exact"/>
        <w:jc w:val="center"/>
        <w:rPr>
          <w:rFonts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>中共岳阳市直属机关工作委员会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 51308                    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beforeLines="50" w:line="348" w:lineRule="auto"/>
        <w:ind w:firstLine="476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720" w:lineRule="exact"/>
        <w:ind w:firstLine="2188" w:firstLineChars="690"/>
        <w:rPr>
          <w:rFonts w:eastAsia="仿宋_GB2312"/>
          <w:sz w:val="32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报告日期：20</w:t>
      </w:r>
      <w:r>
        <w:rPr>
          <w:rFonts w:hint="eastAsia" w:eastAsia="仿宋_GB2312"/>
          <w:sz w:val="32"/>
          <w:lang w:val="en-US" w:eastAsia="zh-CN"/>
        </w:rPr>
        <w:t>20</w:t>
      </w:r>
      <w:r>
        <w:rPr>
          <w:rFonts w:hint="eastAsia" w:eastAsia="仿宋_GB2312"/>
          <w:sz w:val="32"/>
        </w:rPr>
        <w:t>年6月</w:t>
      </w:r>
      <w:r>
        <w:rPr>
          <w:rFonts w:hint="eastAsia" w:eastAsia="仿宋_GB2312"/>
          <w:sz w:val="32"/>
          <w:lang w:val="en-US" w:eastAsia="zh-CN"/>
        </w:rPr>
        <w:t>12</w:t>
      </w:r>
      <w:r>
        <w:rPr>
          <w:rFonts w:hint="eastAsia" w:eastAsia="仿宋_GB2312"/>
          <w:sz w:val="32"/>
        </w:rPr>
        <w:t>日</w:t>
      </w:r>
    </w:p>
    <w:p>
      <w:pPr>
        <w:autoSpaceDN w:val="0"/>
        <w:jc w:val="center"/>
        <w:textAlignment w:val="center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pgNumType w:start="1"/>
          <w:cols w:space="720" w:num="1"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4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197"/>
        <w:gridCol w:w="16"/>
        <w:gridCol w:w="1126"/>
        <w:gridCol w:w="210"/>
        <w:gridCol w:w="1145"/>
        <w:gridCol w:w="272"/>
        <w:gridCol w:w="808"/>
        <w:gridCol w:w="1479"/>
        <w:gridCol w:w="226"/>
        <w:gridCol w:w="196"/>
        <w:gridCol w:w="991"/>
        <w:gridCol w:w="613"/>
        <w:gridCol w:w="139"/>
        <w:gridCol w:w="73"/>
        <w:gridCol w:w="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黄婧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0730-8889338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45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1、负责制订市直机关党的建设规划，领导市直机关党的工作；2、指导市直机关党的政治、思想、组织、作风、纪律建设和党员教育工作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，把制度建设贯穿其中，深入推进反腐败斗争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；3、负责指导市直机关精神文明建设工作，承担市直机关思想道德、普法教育工作；4、指导市直机关各级党组织配合行政领导做好思想政治工作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，协助有关部门协调市直机关各部门做好维护稳定工作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；5、承担市直部门机关党委正、副书记任免、考核和培训工作；6、指导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督促市直机关各部门党组（党委）认真履行党建主体责任，对市直机关各级党组织、党员领导干部落实党建责任制、遵守政治纪律和政治规矩情况进行监督检查，并向市委报告；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了解各部门党员和群众对领导干部的意见，及时向市委反映有关情况；7、领导市直机关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各部门机关党的纪检监察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工作，指导市直机关各级党组织加强党风和廉政建设，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检查考核市直机关各部门机关纪委履职情况；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审理科级以下党员干部违反党纪工作；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审批市直机关各部门机关纪委领导班子的组成及书记、副书记的任免、考核和培训工作；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、领导市直机关工、青、妇等群众组织工作；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、承担市直机关科级以下党员干部、入党积极分子、新党员、党务干部的培训工作；1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、承办市委交办的其他事项。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6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加强机关党的政治建设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加强机关基层组织工作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加强机关作风纪律建设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3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1.部门整体控制支出在预算内；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2.部门年度整体绩效目标完成；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3.社会效益为优；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4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1638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2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41.54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193.6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147.94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41.54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193.6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147.94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4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32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69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8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18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7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214.12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208.95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126.05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82.9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5.17</w:t>
            </w:r>
          </w:p>
        </w:tc>
        <w:tc>
          <w:tcPr>
            <w:tcW w:w="8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-66.18</w:t>
            </w: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127.42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214.12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208.95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126.05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82.9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5.17</w:t>
            </w:r>
          </w:p>
        </w:tc>
        <w:tc>
          <w:tcPr>
            <w:tcW w:w="8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-66.18</w:t>
            </w: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127.42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4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4.04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3.72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4.04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0.32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3.72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4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320" w:lineRule="exact"/>
              <w:ind w:firstLine="240" w:firstLineChars="1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49.98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49.98</w:t>
            </w:r>
          </w:p>
        </w:tc>
        <w:tc>
          <w:tcPr>
            <w:tcW w:w="364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49.98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49.98</w:t>
            </w:r>
          </w:p>
        </w:tc>
        <w:tc>
          <w:tcPr>
            <w:tcW w:w="364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8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32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加强机关党的政治建设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加强机关基层组织工作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加强机关作风纪律建设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85" w:type="dxa"/>
            <w:gridSpan w:val="8"/>
            <w:vAlign w:val="center"/>
          </w:tcPr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组织指导市直单位开展“不忘初心、牢记使命”主题教育；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组织市直9个单位党组（党委）书记党建述职，召开市直机关党的工作会议；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举办两期机关党务干部意识形态专题培训班；组织开展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“新时代的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好声音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微宣讲电视大赛，南湖健步行活动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严格落实中央《条例》要求，指导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个单位机关党委按期换届，调整机关党务干部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人；组织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培训两批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入党积极分子；组织630人参加的新党员培训班；组织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余名市直单位党支部书记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培训；指导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成立工会，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14家单位工会换届、补选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；推动模范创建、开展医疗互助活动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组织市直机关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开展二十四式太极拳培训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</w:p>
          <w:p>
            <w:pPr>
              <w:autoSpaceDN w:val="0"/>
              <w:spacing w:line="320" w:lineRule="exact"/>
              <w:ind w:firstLine="48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近两百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人参加的市直单位机关纪检干部培训班；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编印下发《机关纪委执纪工作务实手册》等业务读本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2000余册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对市直单位十八大以来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273起案件纪律处分执行情况进行抽查；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受理审结科级及以下党员违纪案件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指标1：指导市直有关单位党组织、机关纪委、工会按期换届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指标2：组织入党积极分子培训班、新党员培训班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指标1：组织两次入党积极分子培训班;组织一次新党员培训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；组织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一次市直机关党支部书记轮训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9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两期机关党务干部意识形态专题培训班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指标3：受理审结科级及以下党员违纪案件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指标4：组织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市直单位机关纪检干部培训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7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指标5：指导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12家单位成立工会，1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4家单位工会换届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完成上级布置各项工作目标任务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指标1：控制在预算内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对市直单位十八大以来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273起案件纪律处分执行情况进行抽查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指标2:组织开展“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新时代的好声音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微宣讲电视大赛和南湖健步行活动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vAlign w:val="center"/>
          </w:tcPr>
          <w:p>
            <w:pPr>
              <w:autoSpaceDN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指标1：推动模范创建,做好困难帮扶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指标2：组织开展市直单位职工医疗互助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8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1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8146" w:type="dxa"/>
            <w:gridSpan w:val="1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蔡春辉</w:t>
            </w:r>
          </w:p>
        </w:tc>
        <w:tc>
          <w:tcPr>
            <w:tcW w:w="3561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办公室主任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办公室</w:t>
            </w:r>
          </w:p>
        </w:tc>
        <w:tc>
          <w:tcPr>
            <w:tcW w:w="310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焦成淦</w:t>
            </w:r>
          </w:p>
        </w:tc>
        <w:tc>
          <w:tcPr>
            <w:tcW w:w="3561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市直纪监工委副书记</w:t>
            </w: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市直纪监工委</w:t>
            </w:r>
          </w:p>
        </w:tc>
        <w:tc>
          <w:tcPr>
            <w:tcW w:w="310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65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561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06" w:type="dxa"/>
            <w:gridSpan w:val="7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2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4" w:hRule="atLeast"/>
          <w:jc w:val="center"/>
        </w:trPr>
        <w:tc>
          <w:tcPr>
            <w:tcW w:w="9800" w:type="dxa"/>
            <w:gridSpan w:val="16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联系电话：8889338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558" w:type="dxa"/>
          </w:tcPr>
          <w:p>
            <w:pPr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ind w:firstLine="720" w:firstLineChars="200"/>
              <w:rPr>
                <w:rFonts w:ascii="方正小标宋简体" w:eastAsia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市直机关工委201</w:t>
            </w:r>
            <w:r>
              <w:rPr>
                <w:rFonts w:hint="eastAsia" w:ascii="方正小标宋简体" w:eastAsia="方正小标宋简体"/>
                <w:bCs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方正小标宋简体" w:eastAsia="方正小标宋简体"/>
                <w:bCs/>
                <w:sz w:val="36"/>
                <w:szCs w:val="36"/>
              </w:rPr>
              <w:t>年度部门整体支出绩效评价报告</w:t>
            </w:r>
          </w:p>
          <w:p>
            <w:pPr>
              <w:ind w:firstLine="360" w:firstLineChars="200"/>
              <w:rPr>
                <w:rFonts w:ascii="方正小标宋简体" w:eastAsia="方正小标宋简体"/>
                <w:bCs/>
                <w:sz w:val="18"/>
                <w:szCs w:val="18"/>
              </w:rPr>
            </w:pPr>
          </w:p>
          <w:p>
            <w:pPr>
              <w:spacing w:line="440" w:lineRule="exact"/>
              <w:ind w:firstLine="700" w:firstLineChars="25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（一）部门（单位）基本情况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市直机关工委是岳阳市委负责领导市直机关和中央、省驻岳有关机关事业单位机关党的工作的派出机构。201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年度在职人员20人，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退休干部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15人，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内设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个职能科室。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（二）部门（单位）整体支出规模、使用方向和主要内容、涉及范围等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年度整体支出总计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214.12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万元，其中：人员支出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126.05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万元,公用支出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82.9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万元，项目支出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5.17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万元。</w:t>
            </w:r>
          </w:p>
          <w:p>
            <w:pPr>
              <w:spacing w:line="44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年度我委公共财政拨款3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41.54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万元，上年结转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193.6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万元，实际总支出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214.12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。对“三公”经费的管理和使用，我委严格对照中央省市相关规定，从严控制把关。截止去年底，我委“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三公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经费开支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4.04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万元，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其中公务接待费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0.32万元，公务用车运维费3.72万元，无公务用车购置费和因公出国费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。</w:t>
            </w:r>
          </w:p>
          <w:p>
            <w:pPr>
              <w:spacing w:line="440" w:lineRule="exact"/>
              <w:ind w:firstLine="560" w:firstLineChars="200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三、部门（单位）整体支出绩效情况</w:t>
            </w:r>
          </w:p>
          <w:p>
            <w:pPr>
              <w:spacing w:line="440" w:lineRule="exact"/>
              <w:ind w:firstLine="560" w:firstLineChars="200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从我委部门履职及效益情况来看，总体支出绩效情况较好。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我委是财政全额拨款单位，没有二级机构和下属单位，实行报帐制，由办公室相关同志兼任报帐员，到市委办行财科统一报帐，财务由市委办协调安排。做到用制度管人、用制度管事、用制度管物，确保财务工作的有序规范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，做到经济节约，按章办事，注重效率，效果明显。同时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从部门整体支出绩效评价结果来看，单位预算编制科学，民主理财、公开理财氛围浓厚，重大财务事项经由集体研究决策，财务制度健全。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四、存在的主要问题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及改进措施</w:t>
            </w: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通过对我委整体支出情况的分析，反映出目前在整体支出的预算编制、执行和管理过程中，依然存在一些问题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不足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和困难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；针对这些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问题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，我委将积极采取改进措施，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健全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细化预算编制工作，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完善健全财务制度，加强宣传引导，提升业务水平和管理能力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。</w:t>
            </w:r>
          </w:p>
        </w:tc>
      </w:tr>
    </w:tbl>
    <w:p>
      <w:pPr>
        <w:spacing w:line="348" w:lineRule="auto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D74"/>
    <w:rsid w:val="0007749F"/>
    <w:rsid w:val="0008384A"/>
    <w:rsid w:val="00154B3B"/>
    <w:rsid w:val="001B4675"/>
    <w:rsid w:val="001E4D74"/>
    <w:rsid w:val="001E6090"/>
    <w:rsid w:val="00350E33"/>
    <w:rsid w:val="003922BC"/>
    <w:rsid w:val="003B2278"/>
    <w:rsid w:val="00423A19"/>
    <w:rsid w:val="00431977"/>
    <w:rsid w:val="0050528F"/>
    <w:rsid w:val="00571F01"/>
    <w:rsid w:val="00575A1A"/>
    <w:rsid w:val="00585614"/>
    <w:rsid w:val="006105F4"/>
    <w:rsid w:val="00692F5C"/>
    <w:rsid w:val="0075075F"/>
    <w:rsid w:val="0079749E"/>
    <w:rsid w:val="007B5A98"/>
    <w:rsid w:val="0084595F"/>
    <w:rsid w:val="008A2B6F"/>
    <w:rsid w:val="00902341"/>
    <w:rsid w:val="00926133"/>
    <w:rsid w:val="009C1AAE"/>
    <w:rsid w:val="009F7840"/>
    <w:rsid w:val="00A70A5B"/>
    <w:rsid w:val="00A72E17"/>
    <w:rsid w:val="00AB4B7A"/>
    <w:rsid w:val="00C46EC5"/>
    <w:rsid w:val="00C53330"/>
    <w:rsid w:val="00CD0E7A"/>
    <w:rsid w:val="00D538CE"/>
    <w:rsid w:val="00DA46A9"/>
    <w:rsid w:val="00DF5418"/>
    <w:rsid w:val="00EE60B2"/>
    <w:rsid w:val="00F77C79"/>
    <w:rsid w:val="00F863BC"/>
    <w:rsid w:val="00FE04B3"/>
    <w:rsid w:val="02352132"/>
    <w:rsid w:val="172A0561"/>
    <w:rsid w:val="1BA079C5"/>
    <w:rsid w:val="1D5E1A45"/>
    <w:rsid w:val="1EC02F22"/>
    <w:rsid w:val="249A5FC7"/>
    <w:rsid w:val="29B000C8"/>
    <w:rsid w:val="35DC4525"/>
    <w:rsid w:val="36CE51B8"/>
    <w:rsid w:val="3719059B"/>
    <w:rsid w:val="379846C5"/>
    <w:rsid w:val="3BB32728"/>
    <w:rsid w:val="3DBE701C"/>
    <w:rsid w:val="4076793E"/>
    <w:rsid w:val="41BA1EBE"/>
    <w:rsid w:val="455D6554"/>
    <w:rsid w:val="48DF1E36"/>
    <w:rsid w:val="4A60145C"/>
    <w:rsid w:val="4B38430F"/>
    <w:rsid w:val="4D956B41"/>
    <w:rsid w:val="52883C40"/>
    <w:rsid w:val="5FFE7822"/>
    <w:rsid w:val="63EB03E1"/>
    <w:rsid w:val="6CE94D68"/>
    <w:rsid w:val="720A73DC"/>
    <w:rsid w:val="76C77680"/>
    <w:rsid w:val="7F6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418E61-AA81-44FC-80C2-ECE12A955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635</Words>
  <Characters>3624</Characters>
  <Lines>30</Lines>
  <Paragraphs>8</Paragraphs>
  <TotalTime>5</TotalTime>
  <ScaleCrop>false</ScaleCrop>
  <LinksUpToDate>false</LinksUpToDate>
  <CharactersWithSpaces>4251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2019-07-12T08:33:00Z</dcterms:created>
  <dc:creator>AutoBVT</dc:creator>
  <cp:lastModifiedBy>T1ng 、</cp:lastModifiedBy>
  <cp:lastPrinted>2020-06-17T10:01:51Z</cp:lastPrinted>
  <dcterms:modified xsi:type="dcterms:W3CDTF">2020-06-17T10:02:00Z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