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-363220</wp:posOffset>
                </wp:positionV>
                <wp:extent cx="825500" cy="422910"/>
                <wp:effectExtent l="0" t="0" r="1270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5985" y="748030"/>
                          <a:ext cx="825500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附件1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-28.6pt;height:33.3pt;width:65pt;z-index:251659264;mso-width-relative:page;mso-height-relative:page;" fillcolor="#FFFFFF [3201]" filled="t" stroked="f" coordsize="21600,21600" o:gfxdata="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EVYqdQAAAAI&#10;AQAADwAAAAAAAAABACAAAAAiAAAAZHJzL2Rvd25yZXYueG1sUEsBAhQAFAAAAAgAh07iQL+CKNZZ&#10;AgAAmA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附件1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方正小标宋_GBK" w:cs="Times New Roman"/>
          <w:color w:val="auto"/>
          <w:sz w:val="44"/>
          <w:szCs w:val="44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年度岳阳市社会科学课题</w:t>
      </w:r>
      <w:r>
        <w:rPr>
          <w:rFonts w:hint="eastAsia" w:eastAsia="方正小标宋_GBK" w:cs="Times New Roman"/>
          <w:color w:val="auto"/>
          <w:sz w:val="44"/>
          <w:szCs w:val="44"/>
          <w:highlight w:val="none"/>
          <w:lang w:val="en-US" w:eastAsia="zh-CN"/>
        </w:rPr>
        <w:t>重点资助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vertAlign w:val="baseline"/>
          <w:lang w:val="en-US" w:eastAsia="zh-CN"/>
        </w:rPr>
        <w:t>（排名不分先后）</w:t>
      </w:r>
    </w:p>
    <w:tbl>
      <w:tblPr>
        <w:tblStyle w:val="7"/>
        <w:tblW w:w="14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8464"/>
        <w:gridCol w:w="311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课题项目单位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习近平文化思想逻辑理路、科学内涵、实践进路的研究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中共岳阳市委党校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张宇光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岳阳市加快构建“1+3+X”现代化产业体系研究</w:t>
            </w:r>
          </w:p>
        </w:tc>
        <w:tc>
          <w:tcPr>
            <w:tcW w:w="3116" w:type="dxa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湖南理工学院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彭十一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新形势下加快推进岳阳融入长江经济带发展对策研究</w:t>
            </w:r>
          </w:p>
        </w:tc>
        <w:tc>
          <w:tcPr>
            <w:tcW w:w="3116" w:type="dxa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湖南理工学院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刘健挺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推进洞庭湖生态经济区建设，做强“天下洞庭”品牌研究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吴忠才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人口老龄化背景下岳阳市农村养老的困境与破解路径研究</w:t>
            </w:r>
          </w:p>
        </w:tc>
        <w:tc>
          <w:tcPr>
            <w:tcW w:w="3116" w:type="dxa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湖南理工学院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蒋士美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弘扬新时代忧乐精神理论与实践研究</w:t>
            </w:r>
          </w:p>
        </w:tc>
        <w:tc>
          <w:tcPr>
            <w:tcW w:w="3116" w:type="dxa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湖南理工学院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张晋超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优化岳阳文旅营商环境建设长江旅游节点城市——关于优化岳阳文旅营商环境的路径研究</w:t>
            </w:r>
          </w:p>
        </w:tc>
        <w:tc>
          <w:tcPr>
            <w:tcW w:w="3116" w:type="dxa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致公党岳阳市委会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李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“1376”总体思路下社会组织党建的实践困境与优化路径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岳阳市民政局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谭应兵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pStyle w:val="14"/>
              <w:spacing w:before="43"/>
              <w:ind w:left="746" w:leftChars="0" w:right="741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2"/>
                <w:highlight w:val="none"/>
                <w:lang w:val="en-US" w:eastAsia="zh-CN"/>
              </w:rPr>
              <w:t>审计机关坚持“1376”总体思路的实践探索与研究</w:t>
            </w:r>
          </w:p>
        </w:tc>
        <w:tc>
          <w:tcPr>
            <w:tcW w:w="3116" w:type="dxa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岳阳市审计局</w:t>
            </w:r>
          </w:p>
        </w:tc>
        <w:tc>
          <w:tcPr>
            <w:tcW w:w="1515" w:type="dxa"/>
            <w:vAlign w:val="center"/>
          </w:tcPr>
          <w:p>
            <w:pPr>
              <w:pStyle w:val="14"/>
              <w:spacing w:before="143"/>
              <w:ind w:left="199" w:leftChars="0" w:right="19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刘建民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岳阳市推进“长江十年禁渔”长效机制的研究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spacing w:before="143"/>
              <w:ind w:left="363" w:leftChars="0" w:right="356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九三学社岳阳市委员会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杨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岳阳市县域经济高质量发展研究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spacing w:before="143"/>
              <w:ind w:left="363" w:leftChars="0" w:right="356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岳阳市政协办公室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李文伟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加快推进岳阳文化和旅游深度融合的路径探索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岳阳市旅游营销服务中心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14"/>
              <w:spacing w:before="143"/>
              <w:ind w:left="199" w:leftChars="0" w:right="19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  <w:t>葛勤略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增强系统思维，助推红色档案资源保护开放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岳阳市档案馆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余友安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中部崛起战略背景下岳阳现代物流高质量发展对策研究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中共岳阳市委党校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对接岳阳市“1+3+X”现代化产业体系的校企协同育人模式研究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湖南石油化工职业技术学院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黄丹群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长江经济带共同守护好一江碧水体制机制研究</w:t>
            </w:r>
          </w:p>
        </w:tc>
        <w:tc>
          <w:tcPr>
            <w:tcW w:w="31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岳阳开放大学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李有根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利益相关者视角下洞庭湖跨域治理的路径研究</w:t>
            </w:r>
          </w:p>
        </w:tc>
        <w:tc>
          <w:tcPr>
            <w:tcW w:w="3116" w:type="dxa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岳阳职业技术学院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黄岳山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pStyle w:val="14"/>
              <w:spacing w:before="145"/>
              <w:ind w:left="746" w:leftChars="0" w:right="741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</w:rPr>
              <w:t>高职教育助力岳阳加快构建“1+3+X”现代化产业体系的路径研究</w:t>
            </w:r>
          </w:p>
        </w:tc>
        <w:tc>
          <w:tcPr>
            <w:tcW w:w="3116" w:type="dxa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</w:rPr>
              <w:t>湖南民族职业学院</w:t>
            </w:r>
          </w:p>
        </w:tc>
        <w:tc>
          <w:tcPr>
            <w:tcW w:w="1515" w:type="dxa"/>
            <w:vAlign w:val="center"/>
          </w:tcPr>
          <w:p>
            <w:pPr>
              <w:pStyle w:val="14"/>
              <w:spacing w:before="177"/>
              <w:ind w:left="199" w:leftChars="0" w:right="19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</w:rPr>
              <w:t>周</w:t>
            </w:r>
            <w:r>
              <w:rPr>
                <w:rFonts w:hint="eastAsia" w:cs="仿宋_GB2312"/>
                <w:color w:val="auto"/>
                <w:sz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</w:rPr>
              <w:t>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pStyle w:val="14"/>
              <w:spacing w:before="43"/>
              <w:ind w:left="746" w:leftChars="0" w:right="74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  <w:lang w:val="en-US" w:eastAsia="zh-CN"/>
              </w:rPr>
              <w:t>延安时期党的基层组织体系建设的历史经验研究</w:t>
            </w:r>
          </w:p>
        </w:tc>
        <w:tc>
          <w:tcPr>
            <w:tcW w:w="3116" w:type="dxa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湖南民族职业学院</w:t>
            </w:r>
          </w:p>
        </w:tc>
        <w:tc>
          <w:tcPr>
            <w:tcW w:w="1515" w:type="dxa"/>
            <w:vAlign w:val="center"/>
          </w:tcPr>
          <w:p>
            <w:pPr>
              <w:pStyle w:val="14"/>
              <w:spacing w:before="143"/>
              <w:ind w:left="199" w:leftChars="0" w:right="19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金</w:t>
            </w: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64" w:type="dxa"/>
            <w:vAlign w:val="center"/>
          </w:tcPr>
          <w:p>
            <w:pPr>
              <w:pStyle w:val="14"/>
              <w:spacing w:before="43"/>
              <w:ind w:left="746" w:leftChars="0" w:right="74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lang w:val="en-US" w:eastAsia="zh-CN"/>
              </w:rPr>
              <w:t>岳阳城市文旅产品新媒体营销策略研究</w:t>
            </w:r>
          </w:p>
        </w:tc>
        <w:tc>
          <w:tcPr>
            <w:tcW w:w="3116" w:type="dxa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湖南民族职业学院</w:t>
            </w:r>
          </w:p>
        </w:tc>
        <w:tc>
          <w:tcPr>
            <w:tcW w:w="1515" w:type="dxa"/>
            <w:vAlign w:val="center"/>
          </w:tcPr>
          <w:p>
            <w:pPr>
              <w:pStyle w:val="14"/>
              <w:spacing w:before="143"/>
              <w:ind w:left="199" w:leftChars="0" w:right="19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刘瑞蕾</w:t>
            </w:r>
          </w:p>
        </w:tc>
      </w:tr>
    </w:tbl>
    <w:p>
      <w:pPr>
        <w:widowControl w:val="0"/>
        <w:autoSpaceDE w:val="0"/>
        <w:autoSpaceDN w:val="0"/>
        <w:spacing w:before="0" w:after="0" w:line="240" w:lineRule="auto"/>
        <w:ind w:left="317" w:right="0"/>
        <w:jc w:val="left"/>
        <w:rPr>
          <w:rFonts w:hint="eastAsia" w:ascii="仿宋_GB2312" w:hAnsi="仿宋_GB2312" w:eastAsia="仿宋_GB2312" w:cs="仿宋_GB2312"/>
          <w:sz w:val="20"/>
          <w:szCs w:val="32"/>
          <w:lang w:val="zh-CN" w:eastAsia="zh-CN" w:bidi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H+OrREyAgAAYQQAAA4AAABkcnMvZTJvRG9jLnhtbK1UzY7TMBC+&#10;I/EOlu80aVFX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3k7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X2KYs0wAAAAYBAAAPAAAAAAAAAAEAIAAAACIAAABkcnMvZG93bnJldi54bWxQSwEC&#10;FAAUAAAACACHTuJAf46tET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7EC8A"/>
    <w:multiLevelType w:val="singleLevel"/>
    <w:tmpl w:val="8017EC8A"/>
    <w:lvl w:ilvl="0" w:tentative="0">
      <w:start w:val="1"/>
      <w:numFmt w:val="decimal"/>
      <w:lvlText w:val="2024Z0%1"/>
      <w:lvlJc w:val="left"/>
      <w:pPr>
        <w:tabs>
          <w:tab w:val="left" w:pos="420"/>
        </w:tabs>
        <w:ind w:left="425" w:leftChars="0" w:hanging="425" w:firstLineChars="0"/>
      </w:pPr>
      <w:rPr>
        <w:rFonts w:hint="default" w:eastAsia="仿宋_GB2312"/>
      </w:rPr>
    </w:lvl>
  </w:abstractNum>
  <w:abstractNum w:abstractNumId="1">
    <w:nsid w:val="1289E17C"/>
    <w:multiLevelType w:val="singleLevel"/>
    <w:tmpl w:val="1289E17C"/>
    <w:lvl w:ilvl="0" w:tentative="0">
      <w:start w:val="10"/>
      <w:numFmt w:val="decimal"/>
      <w:lvlText w:val="2024Z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TQ2N2IzZjNhMTlhYTZiZGI3NDUzYmNiY2I0MGIifQ=="/>
  </w:docVars>
  <w:rsids>
    <w:rsidRoot w:val="386F3458"/>
    <w:rsid w:val="004D18B0"/>
    <w:rsid w:val="00F8097C"/>
    <w:rsid w:val="012823FC"/>
    <w:rsid w:val="015613B8"/>
    <w:rsid w:val="05005B64"/>
    <w:rsid w:val="05EE02CB"/>
    <w:rsid w:val="063B6EA6"/>
    <w:rsid w:val="0A544423"/>
    <w:rsid w:val="0AAB5F97"/>
    <w:rsid w:val="0CB35085"/>
    <w:rsid w:val="0F610C7B"/>
    <w:rsid w:val="0FB6788B"/>
    <w:rsid w:val="10A84F38"/>
    <w:rsid w:val="10FC7E0B"/>
    <w:rsid w:val="15D51E9C"/>
    <w:rsid w:val="168F5A69"/>
    <w:rsid w:val="19FB4A4E"/>
    <w:rsid w:val="1A463E15"/>
    <w:rsid w:val="1B064852"/>
    <w:rsid w:val="1B2F4908"/>
    <w:rsid w:val="1EAE494F"/>
    <w:rsid w:val="23CB2278"/>
    <w:rsid w:val="273D0B66"/>
    <w:rsid w:val="275E7515"/>
    <w:rsid w:val="289A4C2D"/>
    <w:rsid w:val="291121A0"/>
    <w:rsid w:val="291A2977"/>
    <w:rsid w:val="297327F3"/>
    <w:rsid w:val="2AEE126A"/>
    <w:rsid w:val="2B1004D6"/>
    <w:rsid w:val="2BEB5FF6"/>
    <w:rsid w:val="2DB37FB1"/>
    <w:rsid w:val="2DBE4083"/>
    <w:rsid w:val="2E2A4898"/>
    <w:rsid w:val="2F9B2443"/>
    <w:rsid w:val="317634A9"/>
    <w:rsid w:val="33B6667D"/>
    <w:rsid w:val="33FA31CA"/>
    <w:rsid w:val="340C1C47"/>
    <w:rsid w:val="356D5BA7"/>
    <w:rsid w:val="35DC69F3"/>
    <w:rsid w:val="36104C4F"/>
    <w:rsid w:val="3667350A"/>
    <w:rsid w:val="371748CB"/>
    <w:rsid w:val="386F3458"/>
    <w:rsid w:val="392377C8"/>
    <w:rsid w:val="398206B3"/>
    <w:rsid w:val="3C6139DF"/>
    <w:rsid w:val="3DA01BDD"/>
    <w:rsid w:val="3FF722D0"/>
    <w:rsid w:val="4004405D"/>
    <w:rsid w:val="415B609E"/>
    <w:rsid w:val="452661A6"/>
    <w:rsid w:val="47391729"/>
    <w:rsid w:val="486F35E1"/>
    <w:rsid w:val="49561899"/>
    <w:rsid w:val="4A296B91"/>
    <w:rsid w:val="4BDE29BF"/>
    <w:rsid w:val="4C356FBD"/>
    <w:rsid w:val="4EB34356"/>
    <w:rsid w:val="51C92503"/>
    <w:rsid w:val="52C108FA"/>
    <w:rsid w:val="5551569F"/>
    <w:rsid w:val="55DC11AF"/>
    <w:rsid w:val="57802226"/>
    <w:rsid w:val="587B39E4"/>
    <w:rsid w:val="58FE0555"/>
    <w:rsid w:val="59E91D4C"/>
    <w:rsid w:val="5A311051"/>
    <w:rsid w:val="5A670EED"/>
    <w:rsid w:val="5A6743FA"/>
    <w:rsid w:val="5B2E6849"/>
    <w:rsid w:val="5C6B4239"/>
    <w:rsid w:val="5CA60DD7"/>
    <w:rsid w:val="5CFB1A3C"/>
    <w:rsid w:val="5D2C2D85"/>
    <w:rsid w:val="5EA34BFB"/>
    <w:rsid w:val="5ED81146"/>
    <w:rsid w:val="60F93EDE"/>
    <w:rsid w:val="62B018AC"/>
    <w:rsid w:val="62E5514A"/>
    <w:rsid w:val="641C3C20"/>
    <w:rsid w:val="691D346F"/>
    <w:rsid w:val="6B3202D6"/>
    <w:rsid w:val="6C7712FC"/>
    <w:rsid w:val="6D193AA5"/>
    <w:rsid w:val="70141A7C"/>
    <w:rsid w:val="713E4466"/>
    <w:rsid w:val="714F3E27"/>
    <w:rsid w:val="71C61F01"/>
    <w:rsid w:val="728B07BA"/>
    <w:rsid w:val="72A11ADF"/>
    <w:rsid w:val="72CB1D05"/>
    <w:rsid w:val="79A507A9"/>
    <w:rsid w:val="79B34D7F"/>
    <w:rsid w:val="79E42126"/>
    <w:rsid w:val="7A3B33B6"/>
    <w:rsid w:val="7D202F27"/>
    <w:rsid w:val="7DA27530"/>
    <w:rsid w:val="7E795B8E"/>
    <w:rsid w:val="7EB4618D"/>
    <w:rsid w:val="FBFFD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0" w:after="0" w:line="240" w:lineRule="auto"/>
      <w:ind w:left="100" w:right="0"/>
      <w:jc w:val="left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qFormat/>
    <w:uiPriority w:val="0"/>
    <w:pPr>
      <w:ind w:firstLine="2520" w:firstLineChars="900"/>
    </w:pPr>
    <w:rPr>
      <w:rFonts w:hint="eastAsia" w:ascii="Calibri" w:hAnsi="Calibri" w:eastAsia="宋体" w:cs="Times New Roman"/>
      <w:sz w:val="28"/>
      <w:szCs w:val="28"/>
    </w:rPr>
  </w:style>
  <w:style w:type="character" w:customStyle="1" w:styleId="10">
    <w:name w:val="font01"/>
    <w:basedOn w:val="8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4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10868</Words>
  <Characters>11079</Characters>
  <Lines>0</Lines>
  <Paragraphs>0</Paragraphs>
  <TotalTime>2</TotalTime>
  <ScaleCrop>false</ScaleCrop>
  <LinksUpToDate>false</LinksUpToDate>
  <CharactersWithSpaces>11336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2022-04-27T16:06:00Z</dcterms:created>
  <dc:creator>lenovo</dc:creator>
  <cp:lastModifiedBy>曹璇</cp:lastModifiedBy>
  <cp:lastPrinted>2024-06-25T09:25:00Z</cp:lastPrinted>
  <dcterms:modified xsi:type="dcterms:W3CDTF">2024-06-25T09:41:45Z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91BAD33CF05A4CF0A867008EF7A2D6A8</vt:lpwstr>
  </property>
</Properties>
</file>