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6714"/>
        </w:tabs>
        <w:jc w:val="center"/>
        <w:rPr>
          <w:rFonts w:hint="default" w:ascii="Times New Roman" w:hAnsi="Times New Roman" w:eastAsia="方正小标宋_GBK" w:cs="Times New Roman"/>
          <w:sz w:val="44"/>
          <w:szCs w:val="44"/>
          <w:lang w:val="en-US" w:eastAsia="zh-CN"/>
        </w:rPr>
      </w:pPr>
    </w:p>
    <w:p>
      <w:pPr>
        <w:pStyle w:val="2"/>
        <w:tabs>
          <w:tab w:val="left" w:pos="6714"/>
        </w:tabs>
        <w:jc w:val="center"/>
        <w:rPr>
          <w:rFonts w:hint="default" w:ascii="Times New Roman" w:hAnsi="Times New Roman" w:eastAsia="方正小标宋_GBK" w:cs="Times New Roman"/>
          <w:sz w:val="32"/>
          <w:szCs w:val="32"/>
          <w:lang w:val="en-US" w:eastAsia="zh-CN"/>
        </w:rPr>
      </w:pPr>
      <w:bookmarkStart w:id="0" w:name="_GoBack"/>
      <w:r>
        <w:rPr>
          <w:rFonts w:hint="default" w:ascii="Times New Roman" w:hAnsi="Times New Roman" w:cs="Times New Roman"/>
          <w:sz w:val="44"/>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-281305</wp:posOffset>
                </wp:positionV>
                <wp:extent cx="1007110" cy="438150"/>
                <wp:effectExtent l="0" t="0" r="2540" b="0"/>
                <wp:wrapNone/>
                <wp:docPr id="2" name="文本框 2"/>
                <wp:cNvGraphicFramePr/>
                <a:graphic xmlns:a="http://schemas.openxmlformats.org/drawingml/2006/main">
                  <a:graphicData uri="http://schemas.microsoft.com/office/word/2010/wordprocessingShape">
                    <wps:wsp>
                      <wps:cNvSpPr txBox="1"/>
                      <wps:spPr>
                        <a:xfrm>
                          <a:off x="0" y="0"/>
                          <a:ext cx="1007110" cy="438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pt;margin-top:-22.15pt;height:34.5pt;width:79.3pt;z-index:251659264;mso-width-relative:page;mso-height-relative:page;" fillcolor="#FFFFFF [3201]" filled="t" stroked="f" coordsize="21600,21600" o:gfxdata="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rnoQfUAAAACAEAAA8AAAAAAAAA&#10;AQAgAAAAIgAAAGRycy9kb3ducmV2LnhtbFBLAQIUABQAAAAIAIdO4kAp06CoTgIAAI8EAAAOAAAA&#10;AAAAAAEAIAAAACMBAABkcnMvZTJvRG9jLnhtbFBLBQYAAAAABgAGAFkBAADjBQAAAAA=&#10;">
                <v:fill on="t" focussize="0,0"/>
                <v:stroke on="f" weight="0.5pt"/>
                <v:imagedata o:title=""/>
                <o:lock v:ext="edit" aspectratio="f"/>
                <v:textbox>
                  <w:txbxContent>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txbxContent>
                </v:textbox>
              </v:shape>
            </w:pict>
          </mc:Fallback>
        </mc:AlternateContent>
      </w: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lang w:val="en-US" w:eastAsia="zh-CN"/>
        </w:rPr>
        <w:t>年度岳阳市社会科学</w:t>
      </w:r>
      <w:r>
        <w:rPr>
          <w:rFonts w:hint="eastAsia" w:eastAsia="方正小标宋_GBK" w:cs="Times New Roman"/>
          <w:sz w:val="44"/>
          <w:szCs w:val="44"/>
          <w:lang w:val="en-US" w:eastAsia="zh-CN"/>
        </w:rPr>
        <w:t>重点资助</w:t>
      </w:r>
      <w:r>
        <w:rPr>
          <w:rFonts w:hint="default" w:ascii="Times New Roman" w:hAnsi="Times New Roman" w:eastAsia="方正小标宋_GBK" w:cs="Times New Roman"/>
          <w:sz w:val="44"/>
          <w:szCs w:val="44"/>
          <w:lang w:val="en-US" w:eastAsia="zh-CN"/>
        </w:rPr>
        <w:t>课题立项目录</w:t>
      </w:r>
      <w:bookmarkEnd w:id="0"/>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（排名不分先后）</w:t>
      </w:r>
    </w:p>
    <w:tbl>
      <w:tblPr>
        <w:tblStyle w:val="4"/>
        <w:tblW w:w="13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8464"/>
        <w:gridCol w:w="280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84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课题名称</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课题项目单位</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1"/>
                <w:szCs w:val="21"/>
                <w:lang w:val="en-US"/>
              </w:rPr>
            </w:pPr>
            <w:r>
              <w:rPr>
                <w:rFonts w:hint="eastAsia" w:ascii="黑体" w:hAnsi="黑体" w:eastAsia="黑体" w:cs="黑体"/>
                <w:sz w:val="21"/>
                <w:szCs w:val="21"/>
                <w:vertAlign w:val="baseline"/>
                <w:lang w:val="en-US" w:eastAsia="zh-CN"/>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2023</w:t>
            </w:r>
            <w:r>
              <w:rPr>
                <w:rFonts w:hint="default" w:ascii="Times New Roman" w:hAnsi="Times New Roman" w:cs="Times New Roman"/>
                <w:i w:val="0"/>
                <w:color w:val="000000"/>
                <w:kern w:val="0"/>
                <w:sz w:val="21"/>
                <w:szCs w:val="21"/>
                <w:u w:val="none"/>
                <w:lang w:val="en-US" w:eastAsia="zh-CN" w:bidi="ar"/>
              </w:rPr>
              <w:t>Z01</w:t>
            </w:r>
          </w:p>
        </w:tc>
        <w:tc>
          <w:tcPr>
            <w:tcW w:w="8464"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习近平新时代中国特色社会主义思想的创立背景、科学内涵和历史地位研究</w:t>
            </w:r>
          </w:p>
        </w:tc>
        <w:tc>
          <w:tcPr>
            <w:tcW w:w="2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中共岳阳市委党校</w:t>
            </w:r>
          </w:p>
        </w:tc>
        <w:tc>
          <w:tcPr>
            <w:tcW w:w="151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陈振会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2023</w:t>
            </w:r>
            <w:r>
              <w:rPr>
                <w:rFonts w:hint="default" w:ascii="Times New Roman" w:hAnsi="Times New Roman" w:cs="Times New Roman"/>
                <w:i w:val="0"/>
                <w:color w:val="000000"/>
                <w:kern w:val="0"/>
                <w:sz w:val="21"/>
                <w:szCs w:val="21"/>
                <w:u w:val="none"/>
                <w:lang w:val="en-US" w:eastAsia="zh-CN" w:bidi="ar"/>
              </w:rPr>
              <w:t>Z02</w:t>
            </w:r>
          </w:p>
        </w:tc>
        <w:tc>
          <w:tcPr>
            <w:tcW w:w="84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t>马克思的家园学思想研究</w:t>
            </w:r>
          </w:p>
        </w:tc>
        <w:tc>
          <w:tcPr>
            <w:tcW w:w="2805" w:type="dxa"/>
            <w:noWrap w:val="0"/>
            <w:vAlign w:val="center"/>
          </w:tcPr>
          <w:p>
            <w:pPr>
              <w:spacing w:before="143"/>
              <w:ind w:left="363" w:leftChars="0" w:right="356" w:rightChars="0"/>
              <w:jc w:val="cente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t>湖南理工学院</w:t>
            </w:r>
          </w:p>
        </w:tc>
        <w:tc>
          <w:tcPr>
            <w:tcW w:w="151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t>苏振甲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2023</w:t>
            </w:r>
            <w:r>
              <w:rPr>
                <w:rFonts w:hint="eastAsia" w:ascii="Times New Roman" w:hAnsi="Times New Roman" w:cs="Times New Roman"/>
                <w:i w:val="0"/>
                <w:color w:val="000000"/>
                <w:kern w:val="0"/>
                <w:sz w:val="21"/>
                <w:szCs w:val="21"/>
                <w:u w:val="none"/>
                <w:lang w:val="en-US" w:eastAsia="zh-CN" w:bidi="ar"/>
              </w:rPr>
              <w:t>Z</w:t>
            </w:r>
            <w:r>
              <w:rPr>
                <w:rFonts w:hint="eastAsia" w:cs="Times New Roman"/>
                <w:i w:val="0"/>
                <w:color w:val="000000"/>
                <w:kern w:val="0"/>
                <w:sz w:val="21"/>
                <w:szCs w:val="21"/>
                <w:u w:val="none"/>
                <w:lang w:val="en-US" w:eastAsia="zh-CN" w:bidi="ar"/>
              </w:rPr>
              <w:t>03</w:t>
            </w:r>
          </w:p>
        </w:tc>
        <w:tc>
          <w:tcPr>
            <w:tcW w:w="846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t>湖南实施“强省会”战略引领带动岳阳省域副中心城市高质量发展研究</w:t>
            </w:r>
          </w:p>
        </w:tc>
        <w:tc>
          <w:tcPr>
            <w:tcW w:w="2805" w:type="dxa"/>
            <w:noWrap w:val="0"/>
            <w:vAlign w:val="center"/>
          </w:tcPr>
          <w:p>
            <w:pPr>
              <w:spacing w:before="143"/>
              <w:ind w:left="363" w:leftChars="0" w:right="356" w:rightChars="0"/>
              <w:jc w:val="cente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t>湖南理工学院</w:t>
            </w:r>
          </w:p>
        </w:tc>
        <w:tc>
          <w:tcPr>
            <w:tcW w:w="151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t>彭十一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2023</w:t>
            </w:r>
            <w:r>
              <w:rPr>
                <w:rFonts w:hint="default" w:ascii="Times New Roman" w:hAnsi="Times New Roman" w:cs="Times New Roman"/>
                <w:i w:val="0"/>
                <w:color w:val="000000"/>
                <w:kern w:val="0"/>
                <w:sz w:val="21"/>
                <w:szCs w:val="21"/>
                <w:u w:val="none"/>
                <w:lang w:val="en-US" w:eastAsia="zh-CN" w:bidi="ar"/>
              </w:rPr>
              <w:t>Z0</w:t>
            </w:r>
            <w:r>
              <w:rPr>
                <w:rFonts w:hint="eastAsia" w:cs="Times New Roman"/>
                <w:i w:val="0"/>
                <w:color w:val="000000"/>
                <w:kern w:val="0"/>
                <w:sz w:val="21"/>
                <w:szCs w:val="21"/>
                <w:u w:val="none"/>
                <w:lang w:val="en-US" w:eastAsia="zh-CN" w:bidi="ar"/>
              </w:rPr>
              <w:t>4</w:t>
            </w:r>
          </w:p>
        </w:tc>
        <w:tc>
          <w:tcPr>
            <w:tcW w:w="8464"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做大做强做优，全力打造湖南万亿现代石化产业核心基地研究</w:t>
            </w:r>
          </w:p>
        </w:tc>
        <w:tc>
          <w:tcPr>
            <w:tcW w:w="2805"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岳阳市政协经科外事委</w:t>
            </w:r>
          </w:p>
        </w:tc>
        <w:tc>
          <w:tcPr>
            <w:tcW w:w="1515"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李文伟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2023</w:t>
            </w:r>
            <w:r>
              <w:rPr>
                <w:rFonts w:hint="default" w:ascii="Times New Roman" w:hAnsi="Times New Roman" w:cs="Times New Roman"/>
                <w:i w:val="0"/>
                <w:color w:val="000000"/>
                <w:kern w:val="0"/>
                <w:sz w:val="21"/>
                <w:szCs w:val="21"/>
                <w:u w:val="none"/>
                <w:lang w:val="en-US" w:eastAsia="zh-CN" w:bidi="ar"/>
              </w:rPr>
              <w:t>Z0</w:t>
            </w:r>
            <w:r>
              <w:rPr>
                <w:rFonts w:hint="eastAsia" w:cs="Times New Roman"/>
                <w:i w:val="0"/>
                <w:color w:val="000000"/>
                <w:kern w:val="0"/>
                <w:sz w:val="21"/>
                <w:szCs w:val="21"/>
                <w:u w:val="none"/>
                <w:lang w:val="en-US" w:eastAsia="zh-CN" w:bidi="ar"/>
              </w:rPr>
              <w:t>5</w:t>
            </w:r>
          </w:p>
        </w:tc>
        <w:tc>
          <w:tcPr>
            <w:tcW w:w="8464"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打造新时代岳阳“枫桥经验”的实践研究——立足于“群英断是非”工作法</w:t>
            </w:r>
          </w:p>
        </w:tc>
        <w:tc>
          <w:tcPr>
            <w:tcW w:w="2805"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岳阳市司法局</w:t>
            </w:r>
          </w:p>
        </w:tc>
        <w:tc>
          <w:tcPr>
            <w:tcW w:w="1515"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2023</w:t>
            </w:r>
            <w:r>
              <w:rPr>
                <w:rFonts w:hint="default" w:ascii="Times New Roman" w:hAnsi="Times New Roman" w:cs="Times New Roman"/>
                <w:i w:val="0"/>
                <w:color w:val="000000"/>
                <w:kern w:val="0"/>
                <w:sz w:val="21"/>
                <w:szCs w:val="21"/>
                <w:u w:val="none"/>
                <w:lang w:val="en-US" w:eastAsia="zh-CN" w:bidi="ar"/>
              </w:rPr>
              <w:t>Z0</w:t>
            </w:r>
            <w:r>
              <w:rPr>
                <w:rFonts w:hint="eastAsia" w:cs="Times New Roman"/>
                <w:i w:val="0"/>
                <w:color w:val="000000"/>
                <w:kern w:val="0"/>
                <w:sz w:val="21"/>
                <w:szCs w:val="21"/>
                <w:u w:val="none"/>
                <w:lang w:val="en-US" w:eastAsia="zh-CN" w:bidi="ar"/>
              </w:rPr>
              <w:t>6</w:t>
            </w:r>
          </w:p>
        </w:tc>
        <w:tc>
          <w:tcPr>
            <w:tcW w:w="8464"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推进“三湘护农”专项行动的主要情况、重点问题及对策建议</w:t>
            </w:r>
          </w:p>
        </w:tc>
        <w:tc>
          <w:tcPr>
            <w:tcW w:w="2805"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岳阳市纪委监委调研法规室</w:t>
            </w:r>
          </w:p>
        </w:tc>
        <w:tc>
          <w:tcPr>
            <w:tcW w:w="1515"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尹家钢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2023</w:t>
            </w:r>
            <w:r>
              <w:rPr>
                <w:rFonts w:hint="default" w:ascii="Times New Roman" w:hAnsi="Times New Roman" w:cs="Times New Roman"/>
                <w:i w:val="0"/>
                <w:color w:val="000000"/>
                <w:kern w:val="0"/>
                <w:sz w:val="21"/>
                <w:szCs w:val="21"/>
                <w:u w:val="none"/>
                <w:lang w:val="en-US" w:eastAsia="zh-CN" w:bidi="ar"/>
              </w:rPr>
              <w:t>Z0</w:t>
            </w:r>
            <w:r>
              <w:rPr>
                <w:rFonts w:hint="eastAsia" w:cs="Times New Roman"/>
                <w:i w:val="0"/>
                <w:color w:val="000000"/>
                <w:kern w:val="0"/>
                <w:sz w:val="21"/>
                <w:szCs w:val="21"/>
                <w:u w:val="none"/>
                <w:lang w:val="en-US" w:eastAsia="zh-CN" w:bidi="ar"/>
              </w:rPr>
              <w:t>7</w:t>
            </w:r>
          </w:p>
        </w:tc>
        <w:tc>
          <w:tcPr>
            <w:tcW w:w="8464" w:type="dxa"/>
            <w:noWrap w:val="0"/>
            <w:vAlign w:val="center"/>
          </w:tcPr>
          <w:p>
            <w:pPr>
              <w:pStyle w:val="6"/>
              <w:spacing w:before="143"/>
              <w:ind w:right="741" w:rightChars="0" w:firstLine="420" w:firstLineChars="200"/>
              <w:jc w:val="cente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t>服务岳阳省域副中心城市高质量发展的我市高校学科专业设置优化路径研究</w:t>
            </w:r>
          </w:p>
        </w:tc>
        <w:tc>
          <w:tcPr>
            <w:tcW w:w="2805" w:type="dxa"/>
            <w:noWrap w:val="0"/>
            <w:vAlign w:val="center"/>
          </w:tcPr>
          <w:p>
            <w:pPr>
              <w:pStyle w:val="6"/>
              <w:spacing w:before="143"/>
              <w:ind w:left="363" w:leftChars="0" w:right="356" w:rightChars="0"/>
              <w:jc w:val="cente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color w:val="000000" w:themeColor="text1"/>
                <w:sz w:val="21"/>
                <w:szCs w:val="21"/>
                <w14:textFill>
                  <w14:solidFill>
                    <w14:schemeClr w14:val="tx1"/>
                  </w14:solidFill>
                </w14:textFill>
              </w:rPr>
              <w:t>湖南民族职业学院</w:t>
            </w:r>
          </w:p>
        </w:tc>
        <w:tc>
          <w:tcPr>
            <w:tcW w:w="1515" w:type="dxa"/>
            <w:noWrap w:val="0"/>
            <w:vAlign w:val="center"/>
          </w:tcPr>
          <w:p>
            <w:pPr>
              <w:pStyle w:val="6"/>
              <w:spacing w:before="143"/>
              <w:ind w:left="199" w:leftChars="0" w:right="190" w:rightChars="0"/>
              <w:jc w:val="cente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邹欣欣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2023</w:t>
            </w:r>
            <w:r>
              <w:rPr>
                <w:rFonts w:hint="default" w:ascii="Times New Roman" w:hAnsi="Times New Roman" w:cs="Times New Roman"/>
                <w:i w:val="0"/>
                <w:color w:val="000000"/>
                <w:kern w:val="0"/>
                <w:sz w:val="21"/>
                <w:szCs w:val="21"/>
                <w:u w:val="none"/>
                <w:lang w:val="en-US" w:eastAsia="zh-CN" w:bidi="ar"/>
              </w:rPr>
              <w:t>Z08</w:t>
            </w:r>
          </w:p>
        </w:tc>
        <w:tc>
          <w:tcPr>
            <w:tcW w:w="8464"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永远的丰碑——岳阳红色地标里的党史故事研究</w:t>
            </w:r>
          </w:p>
        </w:tc>
        <w:tc>
          <w:tcPr>
            <w:tcW w:w="2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中共岳阳市委党史研究室</w:t>
            </w:r>
          </w:p>
        </w:tc>
        <w:tc>
          <w:tcPr>
            <w:tcW w:w="1515"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2023</w:t>
            </w:r>
            <w:r>
              <w:rPr>
                <w:rFonts w:hint="default" w:ascii="Times New Roman" w:hAnsi="Times New Roman" w:cs="Times New Roman"/>
                <w:i w:val="0"/>
                <w:color w:val="000000"/>
                <w:kern w:val="0"/>
                <w:sz w:val="21"/>
                <w:szCs w:val="21"/>
                <w:u w:val="none"/>
                <w:lang w:val="en-US" w:eastAsia="zh-CN" w:bidi="ar"/>
              </w:rPr>
              <w:t>Z09</w:t>
            </w:r>
          </w:p>
        </w:tc>
        <w:tc>
          <w:tcPr>
            <w:tcW w:w="846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高职院校图书馆中华传统文化推广的探究—以湖南石油化工职业技术学院“二十四节气”社科普及活动为例</w:t>
            </w:r>
          </w:p>
        </w:tc>
        <w:tc>
          <w:tcPr>
            <w:tcW w:w="2805"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湖南石油化工职业技术学院</w:t>
            </w:r>
          </w:p>
        </w:tc>
        <w:tc>
          <w:tcPr>
            <w:tcW w:w="1515"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cs="仿宋_GB2312"/>
                <w:i w:val="0"/>
                <w:color w:val="000000"/>
                <w:kern w:val="0"/>
                <w:sz w:val="21"/>
                <w:szCs w:val="21"/>
                <w:u w:val="none"/>
                <w:lang w:val="en-US" w:eastAsia="zh-CN" w:bidi="ar"/>
              </w:rPr>
              <w:t>余璐姣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2023</w:t>
            </w:r>
            <w:r>
              <w:rPr>
                <w:rFonts w:hint="default" w:ascii="Times New Roman" w:hAnsi="Times New Roman" w:cs="Times New Roman"/>
                <w:i w:val="0"/>
                <w:color w:val="000000"/>
                <w:kern w:val="0"/>
                <w:sz w:val="21"/>
                <w:szCs w:val="21"/>
                <w:u w:val="none"/>
                <w:lang w:val="en-US" w:eastAsia="zh-CN" w:bidi="ar"/>
              </w:rPr>
              <w:t>Z</w:t>
            </w:r>
            <w:r>
              <w:rPr>
                <w:rFonts w:hint="eastAsia" w:cs="Times New Roman"/>
                <w:i w:val="0"/>
                <w:color w:val="000000"/>
                <w:kern w:val="0"/>
                <w:sz w:val="21"/>
                <w:szCs w:val="21"/>
                <w:u w:val="none"/>
                <w:lang w:val="en-US" w:eastAsia="zh-CN" w:bidi="ar"/>
              </w:rPr>
              <w:t>10</w:t>
            </w:r>
          </w:p>
        </w:tc>
        <w:tc>
          <w:tcPr>
            <w:tcW w:w="8464" w:type="dxa"/>
            <w:noWrap w:val="0"/>
            <w:vAlign w:val="center"/>
          </w:tcPr>
          <w:p>
            <w:pPr>
              <w:pStyle w:val="6"/>
              <w:spacing w:before="143"/>
              <w:ind w:left="746" w:leftChars="0" w:right="741" w:rightChars="0"/>
              <w:jc w:val="cente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岳阳市老旧小区改造居民参与机制研究</w:t>
            </w:r>
          </w:p>
        </w:tc>
        <w:tc>
          <w:tcPr>
            <w:tcW w:w="2805" w:type="dxa"/>
            <w:noWrap w:val="0"/>
            <w:vAlign w:val="center"/>
          </w:tcPr>
          <w:p>
            <w:pPr>
              <w:pStyle w:val="6"/>
              <w:spacing w:before="143"/>
              <w:ind w:left="363" w:leftChars="0" w:right="356" w:rightChars="0"/>
              <w:jc w:val="cente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湖南理工学院</w:t>
            </w:r>
          </w:p>
        </w:tc>
        <w:tc>
          <w:tcPr>
            <w:tcW w:w="1515" w:type="dxa"/>
            <w:noWrap w:val="0"/>
            <w:vAlign w:val="center"/>
          </w:tcPr>
          <w:p>
            <w:pPr>
              <w:pStyle w:val="6"/>
              <w:spacing w:before="143"/>
              <w:ind w:left="199" w:leftChars="0" w:right="190" w:rightChars="0"/>
              <w:jc w:val="center"/>
              <w:rPr>
                <w:rFonts w:hint="eastAsia" w:ascii="仿宋_GB2312" w:hAnsi="仿宋_GB2312" w:eastAsia="仿宋_GB2312" w:cs="仿宋_GB2312"/>
                <w:color w:val="000000" w:themeColor="text1"/>
                <w:kern w:val="2"/>
                <w:sz w:val="21"/>
                <w:szCs w:val="21"/>
                <w:lang w:val="en-US" w:eastAsia="zh-CN" w:bidi="zh-CN"/>
                <w14:textFill>
                  <w14:solidFill>
                    <w14:schemeClr w14:val="tx1"/>
                  </w14:solidFill>
                </w14:textFill>
              </w:rPr>
            </w:pPr>
            <w:r>
              <w:rPr>
                <w:rFonts w:hint="eastAsia" w:cs="仿宋_GB2312"/>
                <w:color w:val="000000" w:themeColor="text1"/>
                <w:sz w:val="21"/>
                <w:szCs w:val="21"/>
                <w:lang w:val="en-US" w:eastAsia="zh-CN" w:bidi="zh-CN"/>
                <w14:textFill>
                  <w14:solidFill>
                    <w14:schemeClr w14:val="tx1"/>
                  </w14:solidFill>
                </w14:textFill>
              </w:rPr>
              <w:t>喻平</w:t>
            </w:r>
          </w:p>
        </w:tc>
      </w:tr>
    </w:tbl>
    <w:p>
      <w:pPr>
        <w:jc w:val="center"/>
        <w:rPr>
          <w:rFonts w:hint="eastAsia" w:eastAsia="方正小标宋_GBK" w:cs="Times New Roman"/>
          <w:sz w:val="44"/>
          <w:szCs w:val="44"/>
          <w:lang w:val="en-US" w:eastAsia="zh-CN"/>
        </w:rPr>
      </w:pPr>
    </w:p>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94D3E"/>
    <w:rsid w:val="7869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2023-06-21T01:07:00Z</dcterms:created>
  <dc:creator>曹璇</dc:creator>
  <cp:lastModifiedBy>曹璇</cp:lastModifiedBy>
  <dcterms:modified xsi:type="dcterms:W3CDTF">2023-06-21T01:09:16Z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C237DDD78757424AAEE28D2BE4DF89CF</vt:lpwstr>
  </property>
</Properties>
</file>