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hint="eastAsia" w:ascii="方正小标宋简体" w:eastAsia="方正小标宋简体"/>
          <w:sz w:val="38"/>
          <w:szCs w:val="38"/>
        </w:rPr>
      </w:pPr>
      <w:r>
        <w:rPr>
          <w:rFonts w:hint="eastAsia" w:ascii="方正小标宋简体" w:eastAsia="方正小标宋简体"/>
          <w:sz w:val="38"/>
          <w:szCs w:val="38"/>
        </w:rPr>
        <w:t>部门整体支出绩效评价评分表（参考样表）</w:t>
      </w:r>
    </w:p>
    <w:tbl>
      <w:tblPr>
        <w:tblStyle w:val="3"/>
        <w:tblW w:w="9894" w:type="dxa"/>
        <w:jc w:val="center"/>
        <w:tblInd w:w="0" w:type="dxa"/>
        <w:tblLayout w:type="fixed"/>
        <w:tblCellMar>
          <w:top w:w="0" w:type="dxa"/>
          <w:left w:w="108" w:type="dxa"/>
          <w:bottom w:w="0" w:type="dxa"/>
          <w:right w:w="108" w:type="dxa"/>
        </w:tblCellMar>
      </w:tblPr>
      <w:tblGrid>
        <w:gridCol w:w="976"/>
        <w:gridCol w:w="939"/>
        <w:gridCol w:w="1389"/>
        <w:gridCol w:w="4171"/>
        <w:gridCol w:w="619"/>
        <w:gridCol w:w="720"/>
        <w:gridCol w:w="1080"/>
      </w:tblGrid>
      <w:tr>
        <w:tblPrEx>
          <w:tblLayout w:type="fixed"/>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Layout w:type="fixed"/>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kern w:val="0"/>
                <w:sz w:val="18"/>
                <w:szCs w:val="18"/>
                <w:lang w:val="en-US" w:eastAsia="zh-CN"/>
              </w:rPr>
              <w:t>2.5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eastAsia="zh-CN"/>
              </w:rPr>
              <w:t>资金</w:t>
            </w:r>
            <w:r>
              <w:rPr>
                <w:rFonts w:hint="eastAsia" w:ascii="仿宋_GB2312" w:hAnsi="宋体" w:eastAsia="仿宋_GB2312" w:cs="宋体"/>
                <w:color w:val="000000"/>
                <w:kern w:val="0"/>
                <w:sz w:val="18"/>
                <w:szCs w:val="18"/>
                <w:lang w:val="en-US" w:eastAsia="zh-CN"/>
              </w:rPr>
              <w:t>12月30日到位</w:t>
            </w:r>
          </w:p>
        </w:tc>
      </w:tr>
      <w:tr>
        <w:tblPrEx>
          <w:tblLayout w:type="fixed"/>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因</w:t>
            </w:r>
            <w:r>
              <w:rPr>
                <w:rFonts w:hint="eastAsia" w:ascii="仿宋_GB2312" w:hAnsi="宋体" w:eastAsia="仿宋_GB2312" w:cs="宋体"/>
                <w:color w:val="000000"/>
                <w:kern w:val="0"/>
                <w:sz w:val="18"/>
                <w:szCs w:val="18"/>
                <w:lang w:val="en-US" w:eastAsia="zh-CN"/>
              </w:rPr>
              <w:t>12月30日到位，存在</w:t>
            </w:r>
            <w:r>
              <w:rPr>
                <w:rFonts w:hint="eastAsia" w:ascii="仿宋_GB2312" w:hAnsi="宋体" w:eastAsia="仿宋_GB2312" w:cs="宋体"/>
                <w:color w:val="000000"/>
                <w:kern w:val="0"/>
                <w:sz w:val="18"/>
                <w:szCs w:val="18"/>
                <w:lang w:eastAsia="zh-CN"/>
              </w:rPr>
              <w:t>资金结余</w:t>
            </w:r>
          </w:p>
        </w:tc>
      </w:tr>
      <w:tr>
        <w:tblPrEx>
          <w:tblLayout w:type="fixed"/>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bl>
    <w:p/>
    <w:tbl>
      <w:tblPr>
        <w:tblStyle w:val="3"/>
        <w:tblW w:w="9894" w:type="dxa"/>
        <w:jc w:val="center"/>
        <w:tblInd w:w="0" w:type="dxa"/>
        <w:tblLayout w:type="fixed"/>
        <w:tblCellMar>
          <w:top w:w="0" w:type="dxa"/>
          <w:left w:w="108" w:type="dxa"/>
          <w:bottom w:w="0" w:type="dxa"/>
          <w:right w:w="108" w:type="dxa"/>
        </w:tblCellMar>
      </w:tblPr>
      <w:tblGrid>
        <w:gridCol w:w="976"/>
        <w:gridCol w:w="939"/>
        <w:gridCol w:w="1389"/>
        <w:gridCol w:w="4171"/>
        <w:gridCol w:w="619"/>
        <w:gridCol w:w="720"/>
        <w:gridCol w:w="1080"/>
      </w:tblGrid>
      <w:tr>
        <w:tblPrEx>
          <w:tblLayout w:type="fixed"/>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Layout w:type="fixed"/>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推进全面小康建设指标任务完成情况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此项指标根据《中共岳阳市委 岳阳市人民政府 关于做好岳阳市加快推进湖南发展新增长极建设2015年度综合绩效考评工作的通知》（岳发〔2015〕11号）和《中共岳阳市委 岳阳市人民政府 关于做好2015年度综合绩效考评工作的补充通知》（岳发〔2015〕19号）附件2第一大项“工作实绩指标”（700分）考核内容设置。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部门单位应根据部门实际进行调整，并将其细化成相应的个性化指标。</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建设湖南新增极目标任务完成情况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b/>
                <w:bCs/>
                <w:kern w:val="0"/>
                <w:sz w:val="18"/>
                <w:szCs w:val="18"/>
                <w:lang w:val="en-US" w:eastAsia="zh-CN"/>
              </w:rPr>
            </w:pPr>
            <w:r>
              <w:rPr>
                <w:rFonts w:hint="eastAsia" w:ascii="仿宋_GB2312" w:hAnsi="宋体" w:eastAsia="仿宋_GB2312" w:cs="宋体"/>
                <w:kern w:val="0"/>
                <w:sz w:val="18"/>
                <w:szCs w:val="18"/>
                <w:lang w:val="en-US" w:eastAsia="zh-CN"/>
              </w:rPr>
              <w:t>98.5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before="156" w:beforeLines="50"/>
        <w:rPr>
          <w:rFonts w:hint="eastAsia"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pPr>
        <w:spacing w:before="156" w:beforeLines="50" w:line="560" w:lineRule="exact"/>
        <w:rPr>
          <w:rFonts w:hint="eastAsia" w:ascii="黑体" w:hAnsi="黑体" w:eastAsia="黑体"/>
          <w:sz w:val="32"/>
          <w:szCs w:val="32"/>
        </w:rPr>
      </w:pPr>
    </w:p>
    <w:p>
      <w:pPr>
        <w:spacing w:before="156" w:beforeLines="50" w:line="560" w:lineRule="exact"/>
        <w:rPr>
          <w:rFonts w:hint="eastAsia" w:ascii="黑体" w:hAnsi="黑体" w:eastAsia="黑体"/>
          <w:sz w:val="32"/>
          <w:szCs w:val="32"/>
        </w:rPr>
      </w:pPr>
      <w:r>
        <w:rPr>
          <w:rFonts w:hint="eastAsia" w:ascii="黑体" w:hAnsi="黑体" w:eastAsia="黑体"/>
          <w:sz w:val="32"/>
          <w:szCs w:val="32"/>
        </w:rPr>
        <w:t>附件3-2</w:t>
      </w:r>
    </w:p>
    <w:p>
      <w:pPr>
        <w:spacing w:before="187" w:beforeLines="60" w:after="187" w:afterLines="60" w:line="560" w:lineRule="exact"/>
        <w:jc w:val="center"/>
        <w:rPr>
          <w:rFonts w:hint="eastAsia" w:ascii="方正小标宋简体" w:eastAsia="方正小标宋简体"/>
          <w:sz w:val="38"/>
          <w:szCs w:val="38"/>
        </w:rPr>
      </w:pPr>
      <w:r>
        <w:rPr>
          <w:rFonts w:hint="eastAsia" w:ascii="方正小标宋简体" w:eastAsia="方正小标宋简体"/>
          <w:sz w:val="38"/>
          <w:szCs w:val="38"/>
        </w:rPr>
        <w:t>项目支出绩效评价指标体系（参考样表）</w:t>
      </w:r>
    </w:p>
    <w:tbl>
      <w:tblPr>
        <w:tblStyle w:val="3"/>
        <w:tblW w:w="9820" w:type="dxa"/>
        <w:jc w:val="center"/>
        <w:tblInd w:w="0" w:type="dxa"/>
        <w:tblLayout w:type="fixed"/>
        <w:tblCellMar>
          <w:top w:w="0" w:type="dxa"/>
          <w:left w:w="108" w:type="dxa"/>
          <w:bottom w:w="0" w:type="dxa"/>
          <w:right w:w="108" w:type="dxa"/>
        </w:tblCellMar>
      </w:tblPr>
      <w:tblGrid>
        <w:gridCol w:w="702"/>
        <w:gridCol w:w="540"/>
        <w:gridCol w:w="703"/>
        <w:gridCol w:w="540"/>
        <w:gridCol w:w="803"/>
        <w:gridCol w:w="550"/>
        <w:gridCol w:w="2407"/>
        <w:gridCol w:w="2772"/>
        <w:gridCol w:w="803"/>
      </w:tblGrid>
      <w:tr>
        <w:tblPrEx>
          <w:tblLayout w:type="fixed"/>
          <w:tblCellMar>
            <w:top w:w="0" w:type="dxa"/>
            <w:left w:w="108" w:type="dxa"/>
            <w:bottom w:w="0" w:type="dxa"/>
            <w:right w:w="108" w:type="dxa"/>
          </w:tblCellMar>
        </w:tblPrEx>
        <w:trPr>
          <w:trHeight w:val="582"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03"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803"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50"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2407"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具体指标</w:t>
            </w:r>
          </w:p>
        </w:tc>
        <w:tc>
          <w:tcPr>
            <w:tcW w:w="2772" w:type="dxa"/>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评价标准</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自评</w:t>
            </w:r>
          </w:p>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18"/>
                <w:szCs w:val="18"/>
              </w:rPr>
              <w:t>得分</w:t>
            </w:r>
          </w:p>
        </w:tc>
      </w:tr>
      <w:tr>
        <w:tblPrEx>
          <w:tblLayout w:type="fixed"/>
          <w:tblCellMar>
            <w:top w:w="0" w:type="dxa"/>
            <w:left w:w="108" w:type="dxa"/>
            <w:bottom w:w="0" w:type="dxa"/>
            <w:right w:w="108" w:type="dxa"/>
          </w:tblCellMar>
        </w:tblPrEx>
        <w:trPr>
          <w:trHeight w:val="967" w:hRule="atLeast"/>
          <w:jc w:val="center"/>
        </w:trPr>
        <w:tc>
          <w:tcPr>
            <w:tcW w:w="702"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项目决策</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20</w:t>
            </w:r>
          </w:p>
        </w:tc>
        <w:tc>
          <w:tcPr>
            <w:tcW w:w="703" w:type="dxa"/>
            <w:tcBorders>
              <w:top w:val="nil"/>
              <w:left w:val="nil"/>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项目目标</w:t>
            </w: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目标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内容</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设立了项目绩效目标；目标明确；目标细化；目标量化</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①设有目标（1分）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②目标明确（1分）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③目标细化（1分）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④目标量化（1分）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4</w:t>
            </w:r>
          </w:p>
        </w:tc>
      </w:tr>
      <w:tr>
        <w:tblPrEx>
          <w:tblLayout w:type="fixed"/>
          <w:tblCellMar>
            <w:top w:w="0" w:type="dxa"/>
            <w:left w:w="108" w:type="dxa"/>
            <w:bottom w:w="0" w:type="dxa"/>
            <w:right w:w="108" w:type="dxa"/>
          </w:tblCellMar>
        </w:tblPrEx>
        <w:trPr>
          <w:trHeight w:val="1277"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决策过程</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依据</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有关法律法规的明确规定；某一经济社会发展规划；某部门年度工作计划；某一实际问题和需求</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①符合法律法规（1分）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②符合经济社会发展规划（1分）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③部门年度工作计划（1分）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④针对某一实际问题和需求（1分）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以上③需提供佐证资料。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4</w:t>
            </w:r>
          </w:p>
        </w:tc>
      </w:tr>
      <w:tr>
        <w:tblPrEx>
          <w:tblLayout w:type="fixed"/>
          <w:tblCellMar>
            <w:top w:w="0" w:type="dxa"/>
            <w:left w:w="108" w:type="dxa"/>
            <w:bottom w:w="0" w:type="dxa"/>
            <w:right w:w="108" w:type="dxa"/>
          </w:tblCellMar>
        </w:tblPrEx>
        <w:trPr>
          <w:trHeight w:val="983"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决策</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程序</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项目符合申报条件；申报、批复程序符合相关管理办法；项目调整履行了相应手续</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①符合申报条件（2分）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②项目申报、批复程序符合管理办法（1分）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③项目调整履行了相应手续（1分）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4</w:t>
            </w:r>
          </w:p>
        </w:tc>
      </w:tr>
      <w:tr>
        <w:tblPrEx>
          <w:tblLayout w:type="fixed"/>
          <w:tblCellMar>
            <w:top w:w="0" w:type="dxa"/>
            <w:left w:w="108" w:type="dxa"/>
            <w:bottom w:w="0" w:type="dxa"/>
            <w:right w:w="108" w:type="dxa"/>
          </w:tblCellMar>
        </w:tblPrEx>
        <w:trPr>
          <w:trHeight w:val="967"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资金分配</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分配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办法</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根据需要制定的相关资金管理办法；管理办法中有明确资金分配办法；资金分配因素全面、合理</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①有相应的资金管理办法（1分）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②办法健全、规范（1分）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③因素全面合理（1分）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3</w:t>
            </w:r>
          </w:p>
        </w:tc>
      </w:tr>
      <w:tr>
        <w:tblPrEx>
          <w:tblLayout w:type="fixed"/>
          <w:tblCellMar>
            <w:top w:w="0" w:type="dxa"/>
            <w:left w:w="108" w:type="dxa"/>
            <w:bottom w:w="0" w:type="dxa"/>
            <w:right w:w="108" w:type="dxa"/>
          </w:tblCellMar>
        </w:tblPrEx>
        <w:trPr>
          <w:trHeight w:val="758"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分配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结果</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资金分配符合相关管理办法；分配结果公平合理</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①符合分配办法（2分）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②分配公平合理（3分）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此项需提供相应的资金分配方案。</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5</w:t>
            </w:r>
          </w:p>
        </w:tc>
      </w:tr>
      <w:tr>
        <w:tblPrEx>
          <w:tblLayout w:type="fixed"/>
          <w:tblCellMar>
            <w:top w:w="0" w:type="dxa"/>
            <w:left w:w="108" w:type="dxa"/>
            <w:bottom w:w="0" w:type="dxa"/>
            <w:right w:w="108" w:type="dxa"/>
          </w:tblCellMar>
        </w:tblPrEx>
        <w:trPr>
          <w:trHeight w:val="438" w:hRule="atLeast"/>
          <w:jc w:val="center"/>
        </w:trPr>
        <w:tc>
          <w:tcPr>
            <w:tcW w:w="702"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项目管理 </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w:t>
            </w: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资金到位</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到位率</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实际到位/计划到位*100%</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根据项目资金的实际到位率计算得分（3分）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3</w:t>
            </w:r>
          </w:p>
        </w:tc>
      </w:tr>
      <w:tr>
        <w:tblPrEx>
          <w:tblLayout w:type="fixed"/>
          <w:tblCellMar>
            <w:top w:w="0" w:type="dxa"/>
            <w:left w:w="108" w:type="dxa"/>
            <w:bottom w:w="0" w:type="dxa"/>
            <w:right w:w="108" w:type="dxa"/>
          </w:tblCellMar>
        </w:tblPrEx>
        <w:trPr>
          <w:trHeight w:val="74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到位</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时效</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资金及时到位；若未及时到位，是否影响项目进度</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①到位及时（2分）</w:t>
            </w:r>
            <w:r>
              <w:rPr>
                <w:rFonts w:hint="eastAsia" w:ascii="仿宋_GB2312" w:hAnsi="宋体" w:eastAsia="仿宋_GB2312" w:cs="宋体"/>
                <w:kern w:val="0"/>
                <w:sz w:val="18"/>
                <w:szCs w:val="18"/>
              </w:rPr>
              <w:br w:type="textWrapping"/>
            </w:r>
            <w:r>
              <w:rPr>
                <w:rFonts w:hint="eastAsia" w:ascii="仿宋_GB2312" w:hAnsi="宋体" w:eastAsia="仿宋_GB2312" w:cs="宋体"/>
                <w:spacing w:val="-10"/>
                <w:kern w:val="0"/>
                <w:sz w:val="18"/>
                <w:szCs w:val="18"/>
              </w:rPr>
              <w:t>②不及时但未影响项目进度 （1分）</w:t>
            </w:r>
            <w:r>
              <w:rPr>
                <w:rFonts w:hint="eastAsia" w:ascii="仿宋_GB2312" w:hAnsi="宋体" w:eastAsia="仿宋_GB2312" w:cs="宋体"/>
                <w:spacing w:val="-10"/>
                <w:kern w:val="0"/>
                <w:sz w:val="18"/>
                <w:szCs w:val="18"/>
              </w:rPr>
              <w:br w:type="textWrapping"/>
            </w:r>
            <w:r>
              <w:rPr>
                <w:rFonts w:hint="eastAsia" w:ascii="仿宋_GB2312" w:hAnsi="宋体" w:eastAsia="仿宋_GB2312" w:cs="宋体"/>
                <w:spacing w:val="-6"/>
                <w:kern w:val="0"/>
                <w:sz w:val="18"/>
                <w:szCs w:val="18"/>
              </w:rPr>
              <w:t>③不及时并影响项目进度（0.5分）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18"/>
                <w:szCs w:val="18"/>
                <w:lang w:val="en-US" w:eastAsia="zh-CN"/>
              </w:rPr>
              <w:t>1</w:t>
            </w:r>
          </w:p>
        </w:tc>
      </w:tr>
      <w:tr>
        <w:tblPrEx>
          <w:tblLayout w:type="fixed"/>
          <w:tblCellMar>
            <w:top w:w="0" w:type="dxa"/>
            <w:left w:w="108" w:type="dxa"/>
            <w:bottom w:w="0" w:type="dxa"/>
            <w:right w:w="108" w:type="dxa"/>
          </w:tblCellMar>
        </w:tblPrEx>
        <w:trPr>
          <w:trHeight w:val="1168"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资金管理</w:t>
            </w:r>
          </w:p>
        </w:tc>
        <w:tc>
          <w:tcPr>
            <w:tcW w:w="540" w:type="dxa"/>
            <w:vMerge w:val="restart"/>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使用</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支出依据合规，无虚列项目支出情况；无截留挤占挪用情况；无超标准开支情况；无超预算情况</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①虚列套取扣4-7分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②依据不合规扣2分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③截留、挤占、挪用扣3-6分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④超标准开支扣2-5分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⑤超预算扣2-5分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7</w:t>
            </w:r>
          </w:p>
        </w:tc>
      </w:tr>
      <w:tr>
        <w:tblPrEx>
          <w:tblLayout w:type="fixed"/>
          <w:tblCellMar>
            <w:top w:w="0" w:type="dxa"/>
            <w:left w:w="108" w:type="dxa"/>
            <w:bottom w:w="0" w:type="dxa"/>
            <w:right w:w="108" w:type="dxa"/>
          </w:tblCellMar>
        </w:tblPrEx>
        <w:trPr>
          <w:trHeight w:val="1041"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财务</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管理</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资金管理、费用支出等制度健全；制度执行严格；会计核算规范</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①财务制度健全（1分）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②严格执行制度（1分）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③会计核算规范（1分）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3</w:t>
            </w:r>
          </w:p>
        </w:tc>
      </w:tr>
      <w:tr>
        <w:tblPrEx>
          <w:tblLayout w:type="fixed"/>
          <w:tblCellMar>
            <w:top w:w="0" w:type="dxa"/>
            <w:left w:w="108" w:type="dxa"/>
            <w:bottom w:w="0" w:type="dxa"/>
            <w:right w:w="108" w:type="dxa"/>
          </w:tblCellMar>
        </w:tblPrEx>
        <w:trPr>
          <w:trHeight w:val="612" w:hRule="atLeast"/>
          <w:jc w:val="center"/>
        </w:trPr>
        <w:tc>
          <w:tcPr>
            <w:tcW w:w="702"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项目管理 </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25</w:t>
            </w:r>
          </w:p>
        </w:tc>
        <w:tc>
          <w:tcPr>
            <w:tcW w:w="703"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组织实施</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组织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机构</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机构健全、分工明确</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①机构健全、分工明确  （1分）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1</w:t>
            </w:r>
          </w:p>
        </w:tc>
      </w:tr>
      <w:tr>
        <w:tblPrEx>
          <w:tblLayout w:type="fixed"/>
          <w:tblCellMar>
            <w:top w:w="0" w:type="dxa"/>
            <w:left w:w="108" w:type="dxa"/>
            <w:bottom w:w="0" w:type="dxa"/>
            <w:right w:w="108" w:type="dxa"/>
          </w:tblCellMar>
        </w:tblPrEx>
        <w:trPr>
          <w:trHeight w:val="730"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条件</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项目实施单位是否提供或具备了必备的人员、场地和设备等条件</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具备人员、场地、设备条件（1分）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1</w:t>
            </w:r>
          </w:p>
        </w:tc>
      </w:tr>
      <w:tr>
        <w:tblPrEx>
          <w:tblLayout w:type="fixed"/>
          <w:tblCellMar>
            <w:top w:w="0" w:type="dxa"/>
            <w:left w:w="108" w:type="dxa"/>
            <w:bottom w:w="0" w:type="dxa"/>
            <w:right w:w="108" w:type="dxa"/>
          </w:tblCellMar>
        </w:tblPrEx>
        <w:trPr>
          <w:trHeight w:val="730"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实施</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项目按计划开工；按计划进度开展；按计划完工</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①按计划开工（1分）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②按计划开展（1分）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③按计划完工（1分）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3</w:t>
            </w:r>
          </w:p>
        </w:tc>
      </w:tr>
      <w:tr>
        <w:tblPrEx>
          <w:tblLayout w:type="fixed"/>
          <w:tblCellMar>
            <w:top w:w="0" w:type="dxa"/>
            <w:left w:w="108" w:type="dxa"/>
            <w:bottom w:w="0" w:type="dxa"/>
            <w:right w:w="108" w:type="dxa"/>
          </w:tblCellMar>
        </w:tblPrEx>
        <w:trPr>
          <w:trHeight w:val="745"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制度</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项目管理制度健全；严格执行相关管理制度</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①管理制度健全（2分）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②制度执行严格（3分）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以上①需提供佐证资料。</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5</w:t>
            </w:r>
          </w:p>
        </w:tc>
      </w:tr>
      <w:tr>
        <w:tblPrEx>
          <w:tblLayout w:type="fixed"/>
          <w:tblCellMar>
            <w:top w:w="0" w:type="dxa"/>
            <w:left w:w="108" w:type="dxa"/>
            <w:bottom w:w="0" w:type="dxa"/>
            <w:right w:w="108" w:type="dxa"/>
          </w:tblCellMar>
        </w:tblPrEx>
        <w:trPr>
          <w:trHeight w:val="656" w:hRule="atLeast"/>
          <w:jc w:val="center"/>
        </w:trPr>
        <w:tc>
          <w:tcPr>
            <w:tcW w:w="702"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03"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4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803"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w:t>
            </w:r>
            <w:r>
              <w:rPr>
                <w:rFonts w:hint="eastAsia" w:ascii="仿宋_GB2312" w:hAnsi="宋体" w:eastAsia="仿宋_GB2312" w:cs="宋体"/>
                <w:b/>
                <w:bCs/>
                <w:kern w:val="0"/>
                <w:sz w:val="18"/>
                <w:szCs w:val="18"/>
              </w:rPr>
              <w:br w:type="textWrapping"/>
            </w:r>
            <w:r>
              <w:rPr>
                <w:rFonts w:hint="eastAsia" w:ascii="仿宋_GB2312" w:hAnsi="宋体" w:eastAsia="仿宋_GB2312" w:cs="宋体"/>
                <w:b/>
                <w:bCs/>
                <w:kern w:val="0"/>
                <w:sz w:val="18"/>
                <w:szCs w:val="18"/>
              </w:rPr>
              <w:t>指标</w:t>
            </w:r>
          </w:p>
        </w:tc>
        <w:tc>
          <w:tcPr>
            <w:tcW w:w="550"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2407"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具体指标</w:t>
            </w:r>
          </w:p>
        </w:tc>
        <w:tc>
          <w:tcPr>
            <w:tcW w:w="2772"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评价标准</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自评</w:t>
            </w:r>
          </w:p>
          <w:p>
            <w:pPr>
              <w:widowControl/>
              <w:spacing w:line="24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得分</w:t>
            </w:r>
          </w:p>
        </w:tc>
      </w:tr>
      <w:tr>
        <w:tblPrEx>
          <w:tblLayout w:type="fixed"/>
          <w:tblCellMar>
            <w:top w:w="0" w:type="dxa"/>
            <w:left w:w="108" w:type="dxa"/>
            <w:bottom w:w="0" w:type="dxa"/>
            <w:right w:w="108" w:type="dxa"/>
          </w:tblCellMar>
        </w:tblPrEx>
        <w:trPr>
          <w:trHeight w:val="1134" w:hRule="atLeast"/>
          <w:jc w:val="center"/>
        </w:trPr>
        <w:tc>
          <w:tcPr>
            <w:tcW w:w="702" w:type="dxa"/>
            <w:vMerge w:val="restart"/>
            <w:tcBorders>
              <w:top w:val="single" w:color="auto"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项目绩效</w:t>
            </w:r>
          </w:p>
        </w:tc>
        <w:tc>
          <w:tcPr>
            <w:tcW w:w="54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55</w:t>
            </w:r>
          </w:p>
        </w:tc>
        <w:tc>
          <w:tcPr>
            <w:tcW w:w="703" w:type="dxa"/>
            <w:vMerge w:val="restart"/>
            <w:tcBorders>
              <w:top w:val="single" w:color="auto"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项目产出</w:t>
            </w:r>
          </w:p>
        </w:tc>
        <w:tc>
          <w:tcPr>
            <w:tcW w:w="540"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803"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数量</w:t>
            </w:r>
          </w:p>
        </w:tc>
        <w:tc>
          <w:tcPr>
            <w:tcW w:w="550"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2407"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目标完成率=目标完成数/预定目标数×100%</w:t>
            </w:r>
          </w:p>
        </w:tc>
        <w:tc>
          <w:tcPr>
            <w:tcW w:w="2772" w:type="dxa"/>
            <w:tcBorders>
              <w:top w:val="single" w:color="auto" w:sz="4" w:space="0"/>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完成绩效目标100%得5分，未完成100%的同比例扣减。</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5</w:t>
            </w:r>
          </w:p>
        </w:tc>
      </w:tr>
      <w:tr>
        <w:tblPrEx>
          <w:tblLayout w:type="fixed"/>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质量</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目标完成质量=实际达到的效果/预定目标×100%</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项目产出质量达到绩效目标100%得4分，未完成100%的同比例扣减。</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4</w:t>
            </w:r>
          </w:p>
        </w:tc>
      </w:tr>
      <w:tr>
        <w:tblPrEx>
          <w:tblLayout w:type="fixed"/>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时效</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项目资金使用的预定目标是否如期完成，未完成的理由是否充分</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项目产出时效达到绩效目标得3分，未如期完成且无充分理由的扣3分。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3</w:t>
            </w:r>
          </w:p>
        </w:tc>
      </w:tr>
      <w:tr>
        <w:tblPrEx>
          <w:tblLayout w:type="fixed"/>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成本</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项目产出成本是否按绩效目标控制</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项目产出成本按绩效目标控制得3分，未完成的，按超支比例扣减。</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3</w:t>
            </w:r>
          </w:p>
        </w:tc>
      </w:tr>
      <w:tr>
        <w:tblPrEx>
          <w:tblLayout w:type="fixed"/>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项目效果</w:t>
            </w:r>
          </w:p>
        </w:tc>
        <w:tc>
          <w:tcPr>
            <w:tcW w:w="540"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w:t>
            </w: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指项目对国民经济和区域经济发展所带来的直接或间接效益等</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完成绩效目标设定的经济效益得8分，未完成的，按完成情况酌情扣分。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8</w:t>
            </w:r>
          </w:p>
        </w:tc>
      </w:tr>
      <w:tr>
        <w:tblPrEx>
          <w:tblLayout w:type="fixed"/>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项目实施是否产生社会综合效益</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w:t>
            </w:r>
            <w:bookmarkStart w:id="0" w:name="_GoBack"/>
            <w:bookmarkEnd w:id="0"/>
            <w:r>
              <w:rPr>
                <w:rFonts w:hint="eastAsia" w:ascii="仿宋_GB2312" w:hAnsi="宋体" w:eastAsia="仿宋_GB2312" w:cs="宋体"/>
                <w:kern w:val="0"/>
                <w:sz w:val="18"/>
                <w:szCs w:val="18"/>
              </w:rPr>
              <w:t>定的社会效益得8分，未完成的，按完成情况酌情扣分。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8</w:t>
            </w:r>
          </w:p>
        </w:tc>
      </w:tr>
      <w:tr>
        <w:tblPrEx>
          <w:tblLayout w:type="fixed"/>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环境</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效益</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项目实施是否对环境产生积极或消极影响</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完成绩效目标设定的积极的环境效益得8分，未完成的，按完成情况酌情扣分。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8</w:t>
            </w:r>
          </w:p>
        </w:tc>
      </w:tr>
      <w:tr>
        <w:tblPrEx>
          <w:tblLayout w:type="fixed"/>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可持续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影响</w:t>
            </w:r>
          </w:p>
        </w:tc>
        <w:tc>
          <w:tcPr>
            <w:tcW w:w="550" w:type="dxa"/>
            <w:tcBorders>
              <w:top w:val="nil"/>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项目实施对人、自然、资源是否带来可持续影响</w:t>
            </w:r>
          </w:p>
        </w:tc>
        <w:tc>
          <w:tcPr>
            <w:tcW w:w="2772" w:type="dxa"/>
            <w:tcBorders>
              <w:top w:val="nil"/>
              <w:left w:val="nil"/>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完成绩效设定目标的得8分，未完成的，按完成情况酌情扣分。</w:t>
            </w:r>
          </w:p>
        </w:tc>
        <w:tc>
          <w:tcPr>
            <w:tcW w:w="803" w:type="dxa"/>
            <w:tcBorders>
              <w:top w:val="nil"/>
              <w:left w:val="single" w:color="auto" w:sz="4" w:space="0"/>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24"/>
              </w:rPr>
            </w:pPr>
            <w:r>
              <w:rPr>
                <w:rFonts w:hint="eastAsia" w:ascii="仿宋_GB2312" w:hAnsi="宋体" w:eastAsia="仿宋_GB2312" w:cs="宋体"/>
                <w:kern w:val="0"/>
                <w:sz w:val="18"/>
                <w:szCs w:val="18"/>
              </w:rPr>
              <w:t>8</w:t>
            </w:r>
          </w:p>
        </w:tc>
      </w:tr>
      <w:tr>
        <w:tblPrEx>
          <w:tblLayout w:type="fixed"/>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703"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540" w:type="dxa"/>
            <w:vMerge w:val="continue"/>
            <w:tcBorders>
              <w:top w:val="nil"/>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服务</w:t>
            </w:r>
          </w:p>
          <w:p>
            <w:pPr>
              <w:widowControl/>
              <w:spacing w:line="240" w:lineRule="exact"/>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对象</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满意度</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服务对象满意率=项目区被调查人数中表示满意的人数(户数)/ 被调查人数(户数)×100%</w:t>
            </w:r>
          </w:p>
        </w:tc>
        <w:tc>
          <w:tcPr>
            <w:tcW w:w="2772" w:type="dxa"/>
            <w:tcBorders>
              <w:top w:val="nil"/>
              <w:left w:val="nil"/>
              <w:bottom w:val="single" w:color="000000" w:sz="4" w:space="0"/>
              <w:right w:val="nil"/>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满意率达90%（含）以上的得8分，80%（含）-90%得6分，70%（含）-80%得4分，60%（含）-70%得2分，60%以下不得分。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24"/>
              </w:rPr>
            </w:pPr>
            <w:r>
              <w:rPr>
                <w:rFonts w:hint="eastAsia" w:ascii="仿宋_GB2312" w:hAnsi="宋体" w:eastAsia="仿宋_GB2312" w:cs="宋体"/>
                <w:kern w:val="0"/>
                <w:sz w:val="18"/>
                <w:szCs w:val="18"/>
              </w:rPr>
              <w:t>8</w:t>
            </w:r>
          </w:p>
        </w:tc>
      </w:tr>
      <w:tr>
        <w:tblPrEx>
          <w:tblLayout w:type="fixed"/>
          <w:tblCellMar>
            <w:top w:w="0" w:type="dxa"/>
            <w:left w:w="108" w:type="dxa"/>
            <w:bottom w:w="0" w:type="dxa"/>
            <w:right w:w="108" w:type="dxa"/>
          </w:tblCellMar>
        </w:tblPrEx>
        <w:trPr>
          <w:trHeight w:val="860" w:hRule="atLeast"/>
          <w:jc w:val="center"/>
        </w:trPr>
        <w:tc>
          <w:tcPr>
            <w:tcW w:w="702" w:type="dxa"/>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总分</w:t>
            </w: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7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100</w:t>
            </w:r>
          </w:p>
        </w:tc>
        <w:tc>
          <w:tcPr>
            <w:tcW w:w="2407"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eastAsia="仿宋_GB2312" w:cs="宋体"/>
                <w:b/>
                <w:bCs/>
                <w:kern w:val="0"/>
                <w:sz w:val="18"/>
                <w:szCs w:val="18"/>
              </w:rPr>
            </w:pPr>
          </w:p>
        </w:tc>
        <w:tc>
          <w:tcPr>
            <w:tcW w:w="2772" w:type="dxa"/>
            <w:tcBorders>
              <w:top w:val="nil"/>
              <w:left w:val="nil"/>
              <w:bottom w:val="single" w:color="000000" w:sz="4" w:space="0"/>
              <w:right w:val="nil"/>
            </w:tcBorders>
            <w:vAlign w:val="center"/>
          </w:tcPr>
          <w:p>
            <w:pPr>
              <w:widowControl/>
              <w:spacing w:line="240" w:lineRule="exact"/>
              <w:jc w:val="center"/>
              <w:rPr>
                <w:rFonts w:ascii="仿宋_GB2312" w:hAnsi="宋体" w:eastAsia="仿宋_GB2312" w:cs="宋体"/>
                <w:b/>
                <w:bCs/>
                <w:kern w:val="0"/>
                <w:sz w:val="18"/>
                <w:szCs w:val="18"/>
              </w:rPr>
            </w:pP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b/>
                <w:bCs/>
                <w:kern w:val="0"/>
                <w:sz w:val="24"/>
                <w:lang w:val="en-US" w:eastAsia="zh-CN"/>
              </w:rPr>
            </w:pPr>
            <w:r>
              <w:rPr>
                <w:rFonts w:hint="eastAsia" w:ascii="宋体" w:hAnsi="宋体" w:cs="宋体"/>
                <w:b/>
                <w:bCs/>
                <w:kern w:val="0"/>
                <w:sz w:val="24"/>
                <w:lang w:val="en-US" w:eastAsia="zh-CN"/>
              </w:rPr>
              <w:t>99</w:t>
            </w:r>
          </w:p>
        </w:tc>
      </w:tr>
    </w:tbl>
    <w:p>
      <w:pPr>
        <w:adjustRightInd w:val="0"/>
        <w:snapToGrid w:val="0"/>
        <w:spacing w:before="156" w:beforeLines="50" w:line="200" w:lineRule="exact"/>
        <w:contextualSpacing/>
        <w:rPr>
          <w:rFonts w:hint="eastAsia" w:ascii="仿宋_GB2312" w:eastAsia="仿宋_GB2312"/>
        </w:rPr>
      </w:pPr>
    </w:p>
    <w:p>
      <w:pPr>
        <w:adjustRightInd w:val="0"/>
        <w:snapToGrid w:val="0"/>
        <w:spacing w:before="156" w:beforeLines="50"/>
        <w:contextualSpacing/>
        <w:rPr>
          <w:rFonts w:hint="eastAsia" w:ascii="仿宋_GB2312" w:eastAsia="仿宋_GB2312"/>
        </w:rPr>
      </w:pPr>
      <w:r>
        <w:rPr>
          <w:rFonts w:hint="eastAsia" w:ascii="仿宋_GB2312" w:eastAsia="仿宋_GB2312"/>
        </w:rPr>
        <w:t>备注：部门（单位）根据项目实际，在《项目支出绩效评价指标体系（参考样表）》上进一步完</w:t>
      </w:r>
    </w:p>
    <w:p>
      <w:pPr>
        <w:adjustRightInd w:val="0"/>
        <w:snapToGrid w:val="0"/>
        <w:spacing w:before="156" w:beforeLines="50"/>
        <w:ind w:firstLine="630" w:firstLineChars="300"/>
        <w:contextualSpacing/>
        <w:rPr>
          <w:rFonts w:hint="eastAsia" w:eastAsia="仿宋_GB2312"/>
          <w:sz w:val="32"/>
        </w:rPr>
      </w:pPr>
      <w:r>
        <w:rPr>
          <w:rFonts w:hint="eastAsia" w:ascii="仿宋_GB2312" w:eastAsia="仿宋_GB2312"/>
        </w:rPr>
        <w:t>善、量化、细化个性指标，形成本项目的指标体系。</w:t>
      </w:r>
    </w:p>
    <w:p>
      <w:pPr>
        <w:adjustRightInd w:val="0"/>
        <w:snapToGrid w:val="0"/>
        <w:spacing w:line="200" w:lineRule="exact"/>
        <w:contextualSpacing/>
        <w:jc w:val="right"/>
        <w:rPr>
          <w:rFonts w:hint="eastAsia" w:eastAsia="仿宋_GB2312"/>
          <w:sz w:val="32"/>
        </w:rPr>
      </w:pPr>
    </w:p>
    <w:p>
      <w:pPr>
        <w:adjustRightInd w:val="0"/>
        <w:snapToGrid w:val="0"/>
        <w:spacing w:line="200" w:lineRule="exact"/>
        <w:contextualSpacing/>
        <w:jc w:val="right"/>
        <w:rPr>
          <w:rFonts w:hint="eastAsia" w:eastAsia="仿宋_GB2312"/>
          <w:sz w:val="32"/>
        </w:rPr>
      </w:pPr>
    </w:p>
    <w:p>
      <w:pPr>
        <w:adjustRightInd w:val="0"/>
        <w:snapToGrid w:val="0"/>
        <w:spacing w:line="200" w:lineRule="exact"/>
        <w:contextualSpacing/>
        <w:jc w:val="right"/>
        <w:rPr>
          <w:rFonts w:hint="eastAsia" w:eastAsia="仿宋_GB2312"/>
          <w:sz w:val="32"/>
        </w:rPr>
      </w:pPr>
    </w:p>
    <w:p>
      <w:pPr>
        <w:rPr>
          <w:rFonts w:hint="eastAsia" w:eastAsia="宋体"/>
          <w:lang w:val="en-US" w:eastAsia="zh-CN"/>
        </w:rPr>
      </w:pPr>
      <w:r>
        <w:rPr>
          <w:rFonts w:hint="eastAsia"/>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2E18D3"/>
    <w:rsid w:val="094A3E96"/>
    <w:rsid w:val="1A2E1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2020-06-15T07:52:00Z</dcterms:created>
  <dc:creator>YXJ</dc:creator>
  <cp:lastModifiedBy>YXJ</cp:lastModifiedBy>
  <cp:lastPrinted>2020-06-16T02:17:06Z</cp:lastPrinted>
  <dcterms:modified xsi:type="dcterms:W3CDTF">2020-06-16T02:42:31Z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