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E0ECC">
      <w:pPr>
        <w:pStyle w:val="12"/>
        <w:jc w:val="center"/>
        <w:rPr>
          <w:sz w:val="56"/>
          <w:szCs w:val="56"/>
        </w:rPr>
      </w:pPr>
      <w:bookmarkStart w:id="0" w:name="_GoBack"/>
      <w:bookmarkEnd w:id="0"/>
    </w:p>
    <w:p w14:paraId="65F94119">
      <w:pPr>
        <w:pStyle w:val="12"/>
        <w:jc w:val="center"/>
        <w:rPr>
          <w:sz w:val="56"/>
          <w:szCs w:val="56"/>
        </w:rPr>
      </w:pPr>
    </w:p>
    <w:p w14:paraId="67661C5E">
      <w:pPr>
        <w:pStyle w:val="12"/>
        <w:jc w:val="center"/>
        <w:rPr>
          <w:sz w:val="84"/>
          <w:szCs w:val="84"/>
        </w:rPr>
      </w:pPr>
    </w:p>
    <w:p w14:paraId="72D4AD0F">
      <w:pPr>
        <w:pStyle w:val="12"/>
        <w:jc w:val="center"/>
        <w:rPr>
          <w:sz w:val="84"/>
          <w:szCs w:val="84"/>
        </w:rPr>
      </w:pPr>
    </w:p>
    <w:p w14:paraId="19CC7EFD">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68075B14">
      <w:pPr>
        <w:pStyle w:val="12"/>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岳阳市发展个改革委员会</w:t>
      </w:r>
    </w:p>
    <w:p w14:paraId="68EC874A">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45F7FCE2">
      <w:pPr>
        <w:pStyle w:val="12"/>
        <w:jc w:val="center"/>
        <w:rPr>
          <w:rFonts w:hint="eastAsia" w:ascii="方正小标宋_GBK" w:hAnsi="方正小标宋_GBK" w:eastAsia="方正小标宋_GBK" w:cs="方正小标宋_GBK"/>
          <w:sz w:val="56"/>
          <w:szCs w:val="56"/>
        </w:rPr>
      </w:pPr>
    </w:p>
    <w:p w14:paraId="02160BBE">
      <w:pPr>
        <w:pStyle w:val="12"/>
        <w:jc w:val="center"/>
        <w:rPr>
          <w:sz w:val="56"/>
          <w:szCs w:val="56"/>
        </w:rPr>
      </w:pPr>
    </w:p>
    <w:p w14:paraId="4B88A061">
      <w:pPr>
        <w:pStyle w:val="12"/>
        <w:jc w:val="center"/>
        <w:rPr>
          <w:sz w:val="56"/>
          <w:szCs w:val="56"/>
        </w:rPr>
      </w:pPr>
    </w:p>
    <w:p w14:paraId="793333CF">
      <w:pPr>
        <w:pStyle w:val="12"/>
        <w:jc w:val="center"/>
        <w:rPr>
          <w:sz w:val="56"/>
          <w:szCs w:val="56"/>
        </w:rPr>
      </w:pPr>
    </w:p>
    <w:p w14:paraId="2E023103">
      <w:pPr>
        <w:pStyle w:val="12"/>
        <w:jc w:val="center"/>
        <w:rPr>
          <w:sz w:val="32"/>
          <w:szCs w:val="32"/>
        </w:rPr>
      </w:pPr>
    </w:p>
    <w:p w14:paraId="2F8B505E">
      <w:pPr>
        <w:pStyle w:val="12"/>
        <w:jc w:val="center"/>
        <w:rPr>
          <w:sz w:val="32"/>
          <w:szCs w:val="32"/>
        </w:rPr>
      </w:pPr>
    </w:p>
    <w:p w14:paraId="3A3159A6">
      <w:pPr>
        <w:pStyle w:val="12"/>
        <w:jc w:val="center"/>
        <w:rPr>
          <w:sz w:val="32"/>
          <w:szCs w:val="32"/>
        </w:rPr>
      </w:pPr>
    </w:p>
    <w:p w14:paraId="23C65462">
      <w:pPr>
        <w:pStyle w:val="12"/>
        <w:jc w:val="center"/>
        <w:rPr>
          <w:sz w:val="32"/>
          <w:szCs w:val="32"/>
        </w:rPr>
      </w:pPr>
    </w:p>
    <w:p w14:paraId="3F257E2F">
      <w:pPr>
        <w:pStyle w:val="12"/>
        <w:jc w:val="center"/>
        <w:rPr>
          <w:sz w:val="32"/>
          <w:szCs w:val="32"/>
        </w:rPr>
      </w:pPr>
    </w:p>
    <w:p w14:paraId="5F05E969">
      <w:pPr>
        <w:pStyle w:val="12"/>
        <w:spacing w:line="540" w:lineRule="exact"/>
        <w:jc w:val="center"/>
        <w:rPr>
          <w:sz w:val="56"/>
          <w:szCs w:val="56"/>
        </w:rPr>
      </w:pPr>
    </w:p>
    <w:p w14:paraId="5D65F8E3">
      <w:pPr>
        <w:pStyle w:val="12"/>
        <w:spacing w:line="500" w:lineRule="exact"/>
        <w:jc w:val="both"/>
        <w:rPr>
          <w:b/>
          <w:sz w:val="36"/>
          <w:szCs w:val="28"/>
        </w:rPr>
      </w:pPr>
    </w:p>
    <w:p w14:paraId="412EBD57">
      <w:pPr>
        <w:pStyle w:val="12"/>
        <w:spacing w:line="500" w:lineRule="exact"/>
        <w:jc w:val="center"/>
        <w:rPr>
          <w:b/>
          <w:sz w:val="36"/>
          <w:szCs w:val="28"/>
        </w:rPr>
      </w:pPr>
      <w:r>
        <w:rPr>
          <w:rFonts w:hint="eastAsia"/>
          <w:b/>
          <w:sz w:val="36"/>
          <w:szCs w:val="28"/>
        </w:rPr>
        <w:t>目录</w:t>
      </w:r>
    </w:p>
    <w:p w14:paraId="5E43C016">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hAnsi="黑体" w:cs="黑体"/>
          <w:b w:val="0"/>
          <w:bCs/>
          <w:sz w:val="28"/>
          <w:szCs w:val="28"/>
          <w:lang w:val="en-US" w:eastAsia="zh-CN"/>
        </w:rPr>
        <w:t xml:space="preserve"> </w:t>
      </w:r>
      <w:r>
        <w:rPr>
          <w:rFonts w:hint="eastAsia" w:hAnsi="黑体" w:cs="黑体"/>
          <w:b w:val="0"/>
          <w:bCs/>
          <w:sz w:val="28"/>
          <w:szCs w:val="28"/>
          <w:lang w:eastAsia="zh-CN"/>
        </w:rPr>
        <w:t>岳阳市发展和改革委员会</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14:paraId="62D69F5D">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5557F36B">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5E95E423">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1FE45EBB">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3CFECB87">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144991FD">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74BF1640">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3DA5D23">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24DBB60F">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B720EAD">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034E190B">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8BEE876">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3D853897">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10E5B4B">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698C44BA">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03A52E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F095FD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037162D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FBC8F7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420702E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0F4B017D">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283A9F5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55E7C8EB">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6C0BB9CD">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2BDABB7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2B2FA1F7">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4999256F">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4BB547F4">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9B29330">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3FCA9815">
      <w:pPr>
        <w:pStyle w:val="12"/>
        <w:jc w:val="center"/>
        <w:rPr>
          <w:rFonts w:hint="eastAsia" w:ascii="方正小标宋_GBK" w:hAnsi="方正小标宋_GBK" w:eastAsia="方正小标宋_GBK" w:cs="方正小标宋_GBK"/>
          <w:sz w:val="84"/>
          <w:szCs w:val="84"/>
        </w:rPr>
      </w:pPr>
    </w:p>
    <w:p w14:paraId="4E6F246D">
      <w:pPr>
        <w:pStyle w:val="12"/>
        <w:jc w:val="center"/>
        <w:rPr>
          <w:rFonts w:hint="eastAsia" w:ascii="方正小标宋_GBK" w:hAnsi="方正小标宋_GBK" w:eastAsia="方正小标宋_GBK" w:cs="方正小标宋_GBK"/>
          <w:sz w:val="84"/>
          <w:szCs w:val="84"/>
        </w:rPr>
      </w:pPr>
    </w:p>
    <w:p w14:paraId="4EE5216B">
      <w:pPr>
        <w:pStyle w:val="12"/>
        <w:jc w:val="center"/>
        <w:rPr>
          <w:rFonts w:hint="eastAsia" w:ascii="方正小标宋_GBK" w:hAnsi="方正小标宋_GBK" w:eastAsia="方正小标宋_GBK" w:cs="方正小标宋_GBK"/>
          <w:sz w:val="84"/>
          <w:szCs w:val="84"/>
        </w:rPr>
      </w:pPr>
    </w:p>
    <w:p w14:paraId="297AC2FA">
      <w:pPr>
        <w:pStyle w:val="12"/>
        <w:jc w:val="center"/>
        <w:rPr>
          <w:rFonts w:hint="eastAsia" w:ascii="方正小标宋_GBK" w:hAnsi="方正小标宋_GBK" w:eastAsia="方正小标宋_GBK" w:cs="方正小标宋_GBK"/>
          <w:sz w:val="84"/>
          <w:szCs w:val="84"/>
        </w:rPr>
      </w:pPr>
    </w:p>
    <w:p w14:paraId="6D564212">
      <w:pPr>
        <w:pStyle w:val="12"/>
        <w:jc w:val="center"/>
        <w:rPr>
          <w:rFonts w:hint="eastAsia" w:ascii="方正小标宋_GBK" w:hAnsi="方正小标宋_GBK" w:eastAsia="方正小标宋_GBK" w:cs="方正小标宋_GBK"/>
          <w:sz w:val="84"/>
          <w:szCs w:val="84"/>
        </w:rPr>
      </w:pPr>
    </w:p>
    <w:p w14:paraId="6E4C01FD">
      <w:pPr>
        <w:pStyle w:val="12"/>
        <w:jc w:val="center"/>
        <w:rPr>
          <w:rFonts w:hint="eastAsia" w:ascii="方正小标宋_GBK" w:hAnsi="方正小标宋_GBK" w:eastAsia="方正小标宋_GBK" w:cs="方正小标宋_GBK"/>
          <w:sz w:val="84"/>
          <w:szCs w:val="84"/>
        </w:rPr>
      </w:pPr>
    </w:p>
    <w:p w14:paraId="36F94B42">
      <w:pPr>
        <w:pStyle w:val="12"/>
        <w:jc w:val="center"/>
        <w:rPr>
          <w:rFonts w:hint="eastAsia" w:ascii="方正小标宋_GBK" w:hAnsi="方正小标宋_GBK" w:eastAsia="方正小标宋_GBK" w:cs="方正小标宋_GBK"/>
          <w:sz w:val="84"/>
          <w:szCs w:val="84"/>
        </w:rPr>
      </w:pPr>
    </w:p>
    <w:p w14:paraId="42F2236D">
      <w:pPr>
        <w:pStyle w:val="12"/>
        <w:jc w:val="center"/>
        <w:rPr>
          <w:rFonts w:hint="eastAsia" w:ascii="方正小标宋_GBK" w:hAnsi="方正小标宋_GBK" w:eastAsia="方正小标宋_GBK" w:cs="方正小标宋_GBK"/>
          <w:sz w:val="84"/>
          <w:szCs w:val="84"/>
        </w:rPr>
      </w:pPr>
    </w:p>
    <w:p w14:paraId="2C2DA82B">
      <w:pPr>
        <w:pStyle w:val="12"/>
        <w:jc w:val="center"/>
        <w:rPr>
          <w:rFonts w:hint="eastAsia" w:ascii="方正小标宋_GBK" w:hAnsi="方正小标宋_GBK" w:eastAsia="方正小标宋_GBK" w:cs="方正小标宋_GBK"/>
          <w:sz w:val="84"/>
          <w:szCs w:val="84"/>
        </w:rPr>
      </w:pPr>
    </w:p>
    <w:p w14:paraId="10A2C2B7">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0A7E0EE">
      <w:pPr>
        <w:pStyle w:val="12"/>
        <w:jc w:val="center"/>
        <w:rPr>
          <w:rFonts w:hint="eastAsia" w:ascii="方正小标宋_GBK" w:hAnsi="方正小标宋_GBK" w:eastAsia="方正小标宋_GBK" w:cs="方正小标宋_GBK"/>
          <w:sz w:val="84"/>
          <w:szCs w:val="84"/>
        </w:rPr>
      </w:pPr>
    </w:p>
    <w:p w14:paraId="41CC38F8">
      <w:pPr>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岳阳市发展和改革委员会</w:t>
      </w:r>
    </w:p>
    <w:p w14:paraId="6C382830">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部门（</w:t>
      </w:r>
      <w:r>
        <w:rPr>
          <w:rFonts w:hint="eastAsia" w:ascii="方正小标宋_GBK" w:hAnsi="方正小标宋_GBK" w:eastAsia="方正小标宋_GBK" w:cs="方正小标宋_GBK"/>
          <w:sz w:val="84"/>
          <w:szCs w:val="84"/>
        </w:rPr>
        <w:t>单位</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概况</w:t>
      </w:r>
    </w:p>
    <w:p w14:paraId="2079C68A">
      <w:pPr>
        <w:pStyle w:val="2"/>
        <w:rPr>
          <w:rFonts w:hint="eastAsia" w:ascii="方正小标宋_GBK" w:hAnsi="方正小标宋_GBK" w:eastAsia="方正小标宋_GBK" w:cs="方正小标宋_GBK"/>
          <w:sz w:val="84"/>
          <w:szCs w:val="84"/>
        </w:rPr>
      </w:pPr>
    </w:p>
    <w:p w14:paraId="2D7B7782">
      <w:pPr>
        <w:pStyle w:val="3"/>
        <w:rPr>
          <w:rFonts w:hint="eastAsia" w:ascii="方正小标宋_GBK" w:hAnsi="方正小标宋_GBK" w:eastAsia="方正小标宋_GBK" w:cs="方正小标宋_GBK"/>
          <w:sz w:val="84"/>
          <w:szCs w:val="84"/>
        </w:rPr>
      </w:pPr>
    </w:p>
    <w:p w14:paraId="52613D28">
      <w:pPr>
        <w:rPr>
          <w:rFonts w:hint="eastAsia" w:ascii="方正小标宋_GBK" w:hAnsi="方正小标宋_GBK" w:eastAsia="方正小标宋_GBK" w:cs="方正小标宋_GBK"/>
          <w:sz w:val="84"/>
          <w:szCs w:val="84"/>
        </w:rPr>
      </w:pPr>
    </w:p>
    <w:p w14:paraId="0F3A7F3C">
      <w:pPr>
        <w:pStyle w:val="2"/>
        <w:rPr>
          <w:rFonts w:hint="eastAsia" w:ascii="方正小标宋_GBK" w:hAnsi="方正小标宋_GBK" w:eastAsia="方正小标宋_GBK" w:cs="方正小标宋_GBK"/>
          <w:sz w:val="84"/>
          <w:szCs w:val="84"/>
        </w:rPr>
      </w:pPr>
    </w:p>
    <w:p w14:paraId="032B615A">
      <w:pPr>
        <w:pStyle w:val="3"/>
        <w:rPr>
          <w:rFonts w:hint="eastAsia" w:ascii="方正小标宋_GBK" w:hAnsi="方正小标宋_GBK" w:eastAsia="方正小标宋_GBK" w:cs="方正小标宋_GBK"/>
          <w:sz w:val="84"/>
          <w:szCs w:val="84"/>
        </w:rPr>
      </w:pPr>
    </w:p>
    <w:p w14:paraId="4D377D33">
      <w:pPr>
        <w:pStyle w:val="13"/>
        <w:numPr>
          <w:ilvl w:val="0"/>
          <w:numId w:val="1"/>
        </w:numPr>
        <w:ind w:firstLineChars="0"/>
        <w:jc w:val="left"/>
        <w:rPr>
          <w:rFonts w:hint="eastAsia" w:ascii="Times New Roman" w:hAnsi="Times New Roman" w:eastAsia="仿宋_GB2312" w:cs="仿宋_GB2312"/>
          <w:sz w:val="32"/>
          <w:szCs w:val="32"/>
        </w:rPr>
      </w:pPr>
      <w:r>
        <w:rPr>
          <w:rFonts w:hint="eastAsia" w:ascii="黑体" w:hAnsi="黑体" w:eastAsia="黑体" w:cs="黑体"/>
          <w:b w:val="0"/>
          <w:bCs w:val="0"/>
          <w:sz w:val="32"/>
          <w:szCs w:val="32"/>
        </w:rPr>
        <w:t>部门职责</w:t>
      </w:r>
    </w:p>
    <w:p w14:paraId="614A6B29">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拟订并组织实施全市国民经济和社会发展战略、中长期规划和年度计划。拟定全市能源发展战略、规划、计划和政策。牵头组织统一规划体系建设。负责市级专项规划、区域规划、空间规划与全市发展规划的统筹衔接。研究拟订全市国民经济和社会发展、经济体制改革和对外开放的有关规章制度，协调解决有关重大问题。受市人民政府委托向市人民代表大会提交国民经济和社会发展计划的报告。</w:t>
      </w:r>
    </w:p>
    <w:p w14:paraId="18393EBD">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研究提出加快建设现代化经济体系、推动高质量发展的总体目标、重大任务以及相关政策。组织开展重大战略规划、重大政策、重大工程等评估督导，提出相关调整建议。</w:t>
      </w:r>
    </w:p>
    <w:p w14:paraId="5DC4EC75">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研究提出全市国民经济和社会发展主要目标，监测预测预警宏观经济和社会发展态势趋势，提出宏观调控政策建议，综合协调宏观经济政策，牵头研究宏观经济应对措施。调节经济运行，协调解决经济运行中的重大问题。拟订并组织实施有关价费政策。参与拟订财政、金融和土地等政策措施。</w:t>
      </w:r>
    </w:p>
    <w:p w14:paraId="080688E5">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研究提出和综合协调全市经济体制改革有关工作，提出相关改革建议。牵头推进供给侧结构性改革。协调推进产权制度和要素市场化配置改革，推动完善基本经济制度和现代市场体系建设，会同相关部门组织实施市场准入负面清单制度。组织拟订综合性经济体制改革方案，协调有关专项改革方案。负责推进能源体制改革，协调能源发展和改革中的重大问题。</w:t>
      </w:r>
      <w:r>
        <w:rPr>
          <w:rFonts w:hint="eastAsia" w:ascii="Times New Roman" w:hAnsi="Times New Roman" w:eastAsia="仿宋_GB2312" w:cs="仿宋_GB2312"/>
          <w:sz w:val="32"/>
          <w:szCs w:val="32"/>
          <w:lang w:val="en-US" w:eastAsia="zh-CN"/>
        </w:rPr>
        <w:t xml:space="preserve">      </w:t>
      </w:r>
    </w:p>
    <w:p w14:paraId="63EDA993">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研究提出全市利用外资和境外投资的战略、规划、总量平衡和结构优化的政策。牵头推进实施长江经济带和洞庭湖生态经济区建设。</w:t>
      </w:r>
    </w:p>
    <w:p w14:paraId="13FBBB9B">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负责投资综合管理，拟订全市全社会固定资产投资总规模和投资结构的调控目标、政策及措施。统筹安排市级财政性建设资金和投资项目，编制下达政府投资年度计划。规划全市重大建设项目和生产力布局，按权限审批、核准、审核、备案重大项目，审批、管理政府投资项目初步设计概算。拟订并推动落实鼓励民间投资政策措施。研究提出市重点建设项目计划，负责政府投资项目代建制实施的指导、协调和监督管理。指导工程咨询业发展。</w:t>
      </w:r>
    </w:p>
    <w:p w14:paraId="6F5B4E14">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推进落实区域协调发展战略、新型城镇化战略和重大政策，组织拟订相关区域规划和政策。组织编制区域规划并协调实施。研究制订并统筹促进市内区域协调发展的战略、规划和重大政策。拟订并组织实施以工代赈规划和计划。参与研究拟订全市新型城镇化发展战略和重大政策措施。统筹协调区域合作和对口支援工作。</w:t>
      </w:r>
    </w:p>
    <w:p w14:paraId="0FD2997C">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组织拟订综合性产业政策，负责协调一二三产业发展的重大问题并统筹衔接相关发展规划和重大政策。协调推进重大基础设施建设。协调农业农村经济发展有关重大问题。统筹全市服务业发展与改革，组织拟订并推动实施服务业发展规划和重大政策。综合研判消费变动趋势，研究协调解决扩大居民消费中的重大问题，拟订实施促进消费的综合性政策措施。</w:t>
      </w:r>
    </w:p>
    <w:p w14:paraId="0B9E124A">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推动实施创新驱动发展战略。会同相关部门拟订推进创新创业的规划和政策，提出创新发展和培育经济发展新动能的政策措施。组织拟订战略性新兴产业发展规划政策；会同有关部门组织拟订实施高技术产业发展、产业技术进步规划政策；研究提出新型工业化和产业集群发展的政策措施；实施高新技术产业发展的宏观指导，协调产业升级、重大技术装备推广应用等方面的重大问题。</w:t>
      </w:r>
    </w:p>
    <w:p w14:paraId="4573BDD9">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负责社会发展与国民经济发展的政策衔接，组织拟订社会发展战略、总体规划。协调社会领域事业和产业发展政策及改革重大问题。统筹推进基本公共服务体系建设和收入分配制度改革，研究提出推进就业、完善社会保障与经济协调发展的政策建议。</w:t>
      </w:r>
    </w:p>
    <w:p w14:paraId="6ED8AF9F">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推进可持续发展战略，推动生态文明建设和改革，协调生态环境保护与修复、能源资源节约和综合利用等工作。参与编制生态文明建设、环境保护规划，协调生态建设、能源资源节约和综合利用的重大问题，会同有关部门提出建立健全生态补偿机制的政策措施。综合协调节能环保产业和清洁生产促进有关工作；完善固定资产投资项目节能评估和审查制度。负责能源行业统计、预测预警；拟订煤炭、电力、石油、天然气、新能源、可再生能源和分布式能源发展规划、计划和政策并组织实施。</w:t>
      </w:r>
    </w:p>
    <w:p w14:paraId="73CCC747">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拟订全市价格改革方案和年度计划，研究提出价格调控目标和政策建议，组织实施价格总水平调控。组织起草有关价格收费法规草案和政策。承担省市管理的重要商品和服务价格管理工作。承担行政事业性收费管理工作。承担价格监测、市场价格形势分析和涉案物价格鉴证工作。负责价格成本调查和监审。</w:t>
      </w:r>
    </w:p>
    <w:p w14:paraId="3A95417E">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指导和协调全市公共资源交易平台建设，牵头组织监督公共资源交易活动。牵头开展社会信用体系建设，研究拟订推进社会信用体系建设的规划和政策措施，统筹推进统一的信用信息平台建设，协调有关重大问题。</w:t>
      </w:r>
    </w:p>
    <w:p w14:paraId="565F6584">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围绕全市社会经济发展的重大问题，组织开展调查研究；统筹协调有关部门提出经济工作的方案和措施；对有关部门向财经委提出的事项，进行评估研究并给出建议；承担市财经委相关会议会务工作；协调开展重大经济决策落实情况的督查，总结经验并进行典型推广。</w:t>
      </w:r>
    </w:p>
    <w:p w14:paraId="2638ED69">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研究提出全市粮食宏观调控及粮食流通中长期规划，拟订全市粮食市场体系建设与发展规划，承担全市粮食流通宏观调控的具体工作。研究提出全市战略物资储备规划、全市储备品种目录的建议，组织实施全市战略和应急储备物资的收储、轮换和日常管理。监测粮食和战略物资供求变化并预测预警，指导协调政策性粮食购销和粮食产销合作，保障军队粮食供应，承担粮食安全省长责任制考核日常工作。负责全市粮食流通、加工行业安全生产工作的监督管理，承担所属物资储备承储单位安全生产的监管责任。拟订全市储备基础设施、粮食流通设施建设规划并组织实施，管理有关储备基础设施和粮食流通设施投资项目。负责粮食流通监督检查，负责粮食收购、储存、运输环节粮食质量安全和原粮卫生的监督管理，组织实施粮食库存检查工作。负责推进粮食质量安全监管监测体系建设，指导全市粮食质量监督检验机构的设置并依法实施监督。负责粮食流通行业管理，制定行业发展规划，组织实施粮食流通和物资储备有关标准、粮食质量有关标准，负责实施粮食收购行政许可的有关行政管理，负责协调推进粮食产业发展有关工作。负责直属粮食企业国有资产监管工作。</w:t>
      </w:r>
    </w:p>
    <w:p w14:paraId="35C8B964">
      <w:pPr>
        <w:pStyle w:val="13"/>
        <w:numPr>
          <w:ilvl w:val="0"/>
          <w:numId w:val="2"/>
        </w:numPr>
        <w:ind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承担市产业园区建设、长江经济带发展、落实粮食安全责任制等10多个市级议事协调机构的日常工作。   </w:t>
      </w:r>
    </w:p>
    <w:p w14:paraId="1C9FD1B4">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17、完成市委、市政府交办的其他任务。</w:t>
      </w:r>
    </w:p>
    <w:p w14:paraId="385F7ABA">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8E3B916">
      <w:pPr>
        <w:pStyle w:val="12"/>
        <w:numPr>
          <w:ilvl w:val="0"/>
          <w:numId w:val="0"/>
        </w:numPr>
        <w:spacing w:line="500" w:lineRule="exact"/>
        <w:ind w:firstLine="640" w:firstLineChars="200"/>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color w:val="auto"/>
          <w:kern w:val="2"/>
          <w:sz w:val="32"/>
          <w:szCs w:val="32"/>
          <w:lang w:val="en-US" w:eastAsia="zh-CN" w:bidi="ar-SA"/>
        </w:rPr>
        <w:t xml:space="preserve">岳阳市发展和改革委内设科室分别包括 ：办公室、国民经济综合和规划科、法规科、固定资产投资科、产业发展科（园区科）、农村经济科和对口支援科、园区发展科、低空经济科、财贸金融和信用建设科、资源节约和环境保护科、社会发展和就业服务科、服务价格和收费管理科、商品价格和调控管理科、行政审批科、区域协调发展科（长江办）、能源科、评估督导科、成本调查监审科、体制改革科（市特许办）、财经科、粮食产业发展科、粮食调控与储备科、粮食监督检查科、人事科、财务科，其中机关党委、机关纪委、离退休人员管理科按照相关章程设置。 </w:t>
      </w:r>
    </w:p>
    <w:p w14:paraId="1D3E25C3">
      <w:pPr>
        <w:pStyle w:val="12"/>
        <w:numPr>
          <w:ilvl w:val="0"/>
          <w:numId w:val="0"/>
        </w:numPr>
        <w:spacing w:line="500" w:lineRule="exact"/>
        <w:ind w:firstLine="640" w:firstLineChars="200"/>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所属事业单位分别是 ：岳阳市重点项目事务中心、岳阳市发展改革事务中心、岳阳市军粮供应中心。</w:t>
      </w:r>
    </w:p>
    <w:p w14:paraId="432585EE">
      <w:pPr>
        <w:widowControl/>
        <w:spacing w:line="600" w:lineRule="exact"/>
        <w:ind w:firstLine="630" w:firstLineChars="300"/>
        <w:rPr>
          <w:rFonts w:hint="eastAsia"/>
        </w:rPr>
      </w:pPr>
    </w:p>
    <w:p w14:paraId="556CC913">
      <w:pPr>
        <w:numPr>
          <w:ilvl w:val="0"/>
          <w:numId w:val="3"/>
        </w:numPr>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14:paraId="4A3613A0">
      <w:pPr>
        <w:pStyle w:val="12"/>
        <w:numPr>
          <w:ilvl w:val="0"/>
          <w:numId w:val="0"/>
        </w:numPr>
        <w:spacing w:line="500" w:lineRule="exact"/>
        <w:ind w:firstLine="640" w:firstLineChars="200"/>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本单位无独立核算的下属单位，2025年度部门决算汇总公开单位仅包括岳阳市发展和改革委员会本级。</w:t>
      </w:r>
    </w:p>
    <w:p w14:paraId="686B959A">
      <w:pPr>
        <w:rPr>
          <w:color w:val="000000" w:themeColor="text1"/>
          <w14:textFill>
            <w14:solidFill>
              <w14:schemeClr w14:val="tx1"/>
            </w14:solidFill>
          </w14:textFill>
        </w:rPr>
      </w:pPr>
    </w:p>
    <w:p w14:paraId="57DF62C5">
      <w:pPr>
        <w:pStyle w:val="2"/>
      </w:pPr>
    </w:p>
    <w:p w14:paraId="3837687D">
      <w:pPr>
        <w:pStyle w:val="3"/>
      </w:pPr>
    </w:p>
    <w:p w14:paraId="356A666B"/>
    <w:p w14:paraId="5EE13348">
      <w:pPr>
        <w:pStyle w:val="2"/>
      </w:pPr>
    </w:p>
    <w:p w14:paraId="3F70AA0F">
      <w:pPr>
        <w:pStyle w:val="3"/>
      </w:pPr>
    </w:p>
    <w:p w14:paraId="4DAB8719"/>
    <w:p w14:paraId="51AFC69F">
      <w:pPr>
        <w:pStyle w:val="2"/>
      </w:pPr>
    </w:p>
    <w:p w14:paraId="13A4C472">
      <w:pPr>
        <w:pStyle w:val="3"/>
      </w:pPr>
    </w:p>
    <w:p w14:paraId="3843F351"/>
    <w:p w14:paraId="49DD9D4A">
      <w:pPr>
        <w:pStyle w:val="2"/>
      </w:pPr>
    </w:p>
    <w:p w14:paraId="0926559A">
      <w:pPr>
        <w:pStyle w:val="3"/>
      </w:pPr>
    </w:p>
    <w:p w14:paraId="540A94BB"/>
    <w:p w14:paraId="3DBE52E4">
      <w:pPr>
        <w:pStyle w:val="2"/>
      </w:pPr>
    </w:p>
    <w:p w14:paraId="25F1B9F0">
      <w:pPr>
        <w:pStyle w:val="3"/>
      </w:pPr>
    </w:p>
    <w:p w14:paraId="05FCF404"/>
    <w:p w14:paraId="41E5892E">
      <w:pPr>
        <w:pStyle w:val="2"/>
      </w:pPr>
    </w:p>
    <w:p w14:paraId="6AEB8931">
      <w:pPr>
        <w:pStyle w:val="3"/>
      </w:pPr>
    </w:p>
    <w:p w14:paraId="2418533C"/>
    <w:p w14:paraId="029068C4">
      <w:pPr>
        <w:pStyle w:val="2"/>
      </w:pPr>
    </w:p>
    <w:p w14:paraId="46B60040">
      <w:pPr>
        <w:pStyle w:val="3"/>
      </w:pPr>
    </w:p>
    <w:p w14:paraId="746DDDA0"/>
    <w:p w14:paraId="211A702C">
      <w:pPr>
        <w:pStyle w:val="2"/>
      </w:pPr>
    </w:p>
    <w:p w14:paraId="2290B782">
      <w:pPr>
        <w:pStyle w:val="3"/>
      </w:pPr>
    </w:p>
    <w:p w14:paraId="23D4A9E1"/>
    <w:p w14:paraId="4E53DAEB">
      <w:pPr>
        <w:pStyle w:val="12"/>
        <w:jc w:val="center"/>
        <w:rPr>
          <w:rFonts w:hint="eastAsia" w:ascii="方正小标宋_GBK" w:hAnsi="方正小标宋_GBK" w:eastAsia="方正小标宋_GBK" w:cs="方正小标宋_GBK"/>
          <w:sz w:val="84"/>
          <w:szCs w:val="84"/>
        </w:rPr>
      </w:pPr>
    </w:p>
    <w:p w14:paraId="441A117C">
      <w:pPr>
        <w:pStyle w:val="12"/>
        <w:jc w:val="center"/>
        <w:rPr>
          <w:rFonts w:hint="eastAsia" w:ascii="方正小标宋_GBK" w:hAnsi="方正小标宋_GBK" w:eastAsia="方正小标宋_GBK" w:cs="方正小标宋_GBK"/>
          <w:sz w:val="84"/>
          <w:szCs w:val="84"/>
        </w:rPr>
      </w:pPr>
    </w:p>
    <w:p w14:paraId="066DD2C1">
      <w:pPr>
        <w:pStyle w:val="12"/>
        <w:jc w:val="center"/>
        <w:rPr>
          <w:rFonts w:hint="eastAsia" w:ascii="方正小标宋_GBK" w:hAnsi="方正小标宋_GBK" w:eastAsia="方正小标宋_GBK" w:cs="方正小标宋_GBK"/>
          <w:sz w:val="84"/>
          <w:szCs w:val="84"/>
        </w:rPr>
      </w:pPr>
    </w:p>
    <w:p w14:paraId="1881982C">
      <w:pPr>
        <w:pStyle w:val="12"/>
        <w:jc w:val="center"/>
        <w:rPr>
          <w:rFonts w:hint="eastAsia" w:ascii="方正小标宋_GBK" w:hAnsi="方正小标宋_GBK" w:eastAsia="方正小标宋_GBK" w:cs="方正小标宋_GBK"/>
          <w:sz w:val="84"/>
          <w:szCs w:val="84"/>
        </w:rPr>
      </w:pPr>
    </w:p>
    <w:p w14:paraId="396C7532">
      <w:pPr>
        <w:pStyle w:val="12"/>
        <w:jc w:val="center"/>
        <w:rPr>
          <w:rFonts w:hint="eastAsia" w:ascii="方正小标宋_GBK" w:hAnsi="方正小标宋_GBK" w:eastAsia="方正小标宋_GBK" w:cs="方正小标宋_GBK"/>
          <w:sz w:val="84"/>
          <w:szCs w:val="84"/>
        </w:rPr>
      </w:pPr>
    </w:p>
    <w:p w14:paraId="366862BD">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7A7020FB">
      <w:pPr>
        <w:pStyle w:val="12"/>
        <w:jc w:val="center"/>
        <w:rPr>
          <w:rFonts w:hint="eastAsia" w:ascii="方正小标宋_GBK" w:hAnsi="方正小标宋_GBK" w:eastAsia="方正小标宋_GBK" w:cs="方正小标宋_GBK"/>
          <w:sz w:val="84"/>
          <w:szCs w:val="84"/>
        </w:rPr>
      </w:pPr>
    </w:p>
    <w:p w14:paraId="720C2DE6">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448174A4">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07D7B914">
      <w:pPr>
        <w:pStyle w:val="12"/>
        <w:jc w:val="center"/>
        <w:rPr>
          <w:rFonts w:hint="eastAsia" w:ascii="仿宋_GB2312" w:hAnsi="仿宋_GB2312" w:eastAsia="仿宋_GB2312" w:cs="仿宋_GB2312"/>
          <w:b w:val="0"/>
          <w:bCs w:val="0"/>
          <w:sz w:val="72"/>
          <w:szCs w:val="72"/>
          <w:lang w:eastAsia="zh-CN"/>
        </w:rPr>
      </w:pPr>
    </w:p>
    <w:p w14:paraId="159ECE1A">
      <w:pPr>
        <w:pStyle w:val="12"/>
        <w:jc w:val="center"/>
        <w:rPr>
          <w:rFonts w:hint="eastAsia" w:ascii="仿宋_GB2312" w:hAnsi="仿宋_GB2312" w:eastAsia="仿宋_GB2312" w:cs="仿宋_GB2312"/>
          <w:b w:val="0"/>
          <w:bCs w:val="0"/>
          <w:sz w:val="72"/>
          <w:szCs w:val="72"/>
          <w:lang w:eastAsia="zh-CN"/>
        </w:rPr>
      </w:pPr>
    </w:p>
    <w:p w14:paraId="731FEBC5">
      <w:pPr>
        <w:pStyle w:val="12"/>
        <w:jc w:val="center"/>
        <w:rPr>
          <w:rFonts w:hint="eastAsia" w:ascii="仿宋_GB2312" w:hAnsi="仿宋_GB2312" w:eastAsia="仿宋_GB2312" w:cs="仿宋_GB2312"/>
          <w:b w:val="0"/>
          <w:bCs w:val="0"/>
          <w:sz w:val="72"/>
          <w:szCs w:val="72"/>
          <w:lang w:eastAsia="zh-CN"/>
        </w:rPr>
      </w:pPr>
    </w:p>
    <w:p w14:paraId="4651183A">
      <w:pPr>
        <w:pStyle w:val="12"/>
        <w:jc w:val="center"/>
        <w:rPr>
          <w:rFonts w:hint="eastAsia" w:ascii="仿宋_GB2312" w:hAnsi="仿宋_GB2312" w:eastAsia="仿宋_GB2312" w:cs="仿宋_GB2312"/>
          <w:b w:val="0"/>
          <w:bCs w:val="0"/>
          <w:sz w:val="72"/>
          <w:szCs w:val="72"/>
          <w:lang w:eastAsia="zh-CN"/>
        </w:rPr>
      </w:pPr>
    </w:p>
    <w:p w14:paraId="69A2C8FD">
      <w:pPr>
        <w:pStyle w:val="12"/>
        <w:jc w:val="center"/>
        <w:rPr>
          <w:rFonts w:hint="eastAsia" w:ascii="仿宋_GB2312" w:hAnsi="仿宋_GB2312" w:eastAsia="仿宋_GB2312" w:cs="仿宋_GB2312"/>
          <w:b w:val="0"/>
          <w:bCs w:val="0"/>
          <w:sz w:val="72"/>
          <w:szCs w:val="72"/>
          <w:lang w:eastAsia="zh-CN"/>
        </w:rPr>
      </w:pPr>
    </w:p>
    <w:p w14:paraId="6397BEE3">
      <w:pPr>
        <w:pStyle w:val="12"/>
        <w:jc w:val="center"/>
        <w:rPr>
          <w:rFonts w:hint="eastAsia" w:ascii="仿宋_GB2312" w:hAnsi="仿宋_GB2312" w:eastAsia="仿宋_GB2312" w:cs="仿宋_GB2312"/>
          <w:b w:val="0"/>
          <w:bCs w:val="0"/>
          <w:sz w:val="72"/>
          <w:szCs w:val="72"/>
          <w:lang w:eastAsia="zh-CN"/>
        </w:rPr>
      </w:pPr>
    </w:p>
    <w:p w14:paraId="05BDF861">
      <w:pPr>
        <w:pStyle w:val="12"/>
        <w:jc w:val="center"/>
        <w:rPr>
          <w:rFonts w:hint="eastAsia" w:ascii="仿宋_GB2312" w:hAnsi="仿宋_GB2312" w:eastAsia="仿宋_GB2312" w:cs="仿宋_GB2312"/>
          <w:b w:val="0"/>
          <w:bCs w:val="0"/>
          <w:sz w:val="72"/>
          <w:szCs w:val="72"/>
          <w:lang w:eastAsia="zh-CN"/>
        </w:rPr>
      </w:pPr>
    </w:p>
    <w:p w14:paraId="3FC8A907">
      <w:pPr>
        <w:pStyle w:val="12"/>
        <w:jc w:val="center"/>
        <w:rPr>
          <w:rFonts w:hint="eastAsia" w:ascii="方正小标宋_GBK" w:hAnsi="方正小标宋_GBK" w:eastAsia="方正小标宋_GBK" w:cs="方正小标宋_GBK"/>
          <w:sz w:val="72"/>
          <w:szCs w:val="72"/>
        </w:rPr>
      </w:pPr>
    </w:p>
    <w:p w14:paraId="14E7C433">
      <w:pPr>
        <w:pStyle w:val="12"/>
        <w:jc w:val="center"/>
        <w:rPr>
          <w:rFonts w:hint="eastAsia" w:ascii="方正小标宋_GBK" w:hAnsi="方正小标宋_GBK" w:eastAsia="方正小标宋_GBK" w:cs="方正小标宋_GBK"/>
          <w:sz w:val="72"/>
          <w:szCs w:val="72"/>
        </w:rPr>
      </w:pPr>
    </w:p>
    <w:p w14:paraId="4BE621A7">
      <w:pPr>
        <w:pStyle w:val="12"/>
        <w:jc w:val="both"/>
        <w:rPr>
          <w:rFonts w:hint="eastAsia" w:ascii="方正小标宋_GBK" w:hAnsi="方正小标宋_GBK" w:eastAsia="方正小标宋_GBK" w:cs="方正小标宋_GBK"/>
          <w:sz w:val="72"/>
          <w:szCs w:val="72"/>
        </w:rPr>
      </w:pPr>
    </w:p>
    <w:p w14:paraId="4720919D">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118710D2">
      <w:pPr>
        <w:pStyle w:val="12"/>
        <w:jc w:val="center"/>
        <w:rPr>
          <w:rFonts w:hint="eastAsia" w:ascii="方正小标宋_GBK" w:hAnsi="方正小标宋_GBK" w:eastAsia="方正小标宋_GBK" w:cs="方正小标宋_GBK"/>
          <w:sz w:val="70"/>
          <w:szCs w:val="70"/>
        </w:rPr>
      </w:pPr>
    </w:p>
    <w:p w14:paraId="1E40E492">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5854DF08">
      <w:pPr>
        <w:pStyle w:val="12"/>
        <w:jc w:val="center"/>
        <w:rPr>
          <w:rFonts w:hint="eastAsia" w:ascii="方正小标宋_GBK" w:hAnsi="方正小标宋_GBK" w:eastAsia="方正小标宋_GBK" w:cs="方正小标宋_GBK"/>
          <w:sz w:val="70"/>
          <w:szCs w:val="70"/>
        </w:rPr>
      </w:pPr>
    </w:p>
    <w:p w14:paraId="205ABEE9">
      <w:pPr>
        <w:pStyle w:val="12"/>
        <w:jc w:val="center"/>
        <w:rPr>
          <w:rFonts w:hint="eastAsia" w:ascii="方正小标宋_GBK" w:hAnsi="方正小标宋_GBK" w:eastAsia="方正小标宋_GBK" w:cs="方正小标宋_GBK"/>
          <w:sz w:val="70"/>
          <w:szCs w:val="70"/>
        </w:rPr>
      </w:pPr>
    </w:p>
    <w:p w14:paraId="0ED028AB">
      <w:pPr>
        <w:pStyle w:val="12"/>
        <w:jc w:val="center"/>
        <w:rPr>
          <w:rFonts w:hint="eastAsia" w:ascii="方正小标宋_GBK" w:hAnsi="方正小标宋_GBK" w:eastAsia="方正小标宋_GBK" w:cs="方正小标宋_GBK"/>
          <w:sz w:val="70"/>
          <w:szCs w:val="70"/>
        </w:rPr>
      </w:pPr>
    </w:p>
    <w:p w14:paraId="0C57FADD">
      <w:pPr>
        <w:pStyle w:val="12"/>
        <w:jc w:val="center"/>
        <w:rPr>
          <w:rFonts w:hint="eastAsia" w:ascii="方正小标宋_GBK" w:hAnsi="方正小标宋_GBK" w:eastAsia="方正小标宋_GBK" w:cs="方正小标宋_GBK"/>
          <w:sz w:val="70"/>
          <w:szCs w:val="70"/>
        </w:rPr>
      </w:pPr>
    </w:p>
    <w:p w14:paraId="7982928B">
      <w:pPr>
        <w:pStyle w:val="12"/>
        <w:jc w:val="center"/>
        <w:rPr>
          <w:rFonts w:hint="eastAsia" w:ascii="方正小标宋_GBK" w:hAnsi="方正小标宋_GBK" w:eastAsia="方正小标宋_GBK" w:cs="方正小标宋_GBK"/>
          <w:sz w:val="70"/>
          <w:szCs w:val="70"/>
        </w:rPr>
      </w:pPr>
    </w:p>
    <w:p w14:paraId="6A8A667E">
      <w:pPr>
        <w:pStyle w:val="12"/>
        <w:jc w:val="center"/>
        <w:rPr>
          <w:rFonts w:hint="eastAsia" w:ascii="方正小标宋_GBK" w:hAnsi="方正小标宋_GBK" w:eastAsia="方正小标宋_GBK" w:cs="方正小标宋_GBK"/>
          <w:sz w:val="70"/>
          <w:szCs w:val="70"/>
        </w:rPr>
      </w:pPr>
    </w:p>
    <w:p w14:paraId="0177F973">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1DA31F43">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C2BAC1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4818.37</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573.36</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13.5</w:t>
      </w:r>
      <w:r>
        <w:rPr>
          <w:rFonts w:hint="eastAsia" w:ascii="仿宋_GB2312" w:hAnsi="仿宋_GB2312" w:eastAsia="仿宋_GB2312" w:cs="仿宋_GB2312"/>
          <w:sz w:val="32"/>
          <w:szCs w:val="32"/>
        </w:rPr>
        <w:t>%，主要是因为因为</w:t>
      </w:r>
      <w:r>
        <w:rPr>
          <w:rFonts w:hint="eastAsia" w:ascii="仿宋_GB2312" w:hAnsi="仿宋_GB2312" w:eastAsia="仿宋_GB2312" w:cs="仿宋_GB2312"/>
          <w:sz w:val="32"/>
          <w:szCs w:val="32"/>
          <w:lang w:val="en-US" w:eastAsia="zh-CN"/>
        </w:rPr>
        <w:t>25年度人员变动增加基本支出148.97万元；切新增日常工作经费315万元，年中开展北斗峰会、低空等工作产生专项工作费用，导致比上年增加。</w:t>
      </w:r>
    </w:p>
    <w:p w14:paraId="1A69D5AE">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57AD24F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4818.37</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4787.15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99.35</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31.22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0.65</w:t>
      </w:r>
      <w:r>
        <w:rPr>
          <w:rFonts w:hint="eastAsia" w:ascii="仿宋_GB2312" w:hAnsi="仿宋_GB2312" w:eastAsia="仿宋_GB2312" w:cs="仿宋_GB2312"/>
          <w:sz w:val="32"/>
          <w:szCs w:val="32"/>
        </w:rPr>
        <w:t>%。</w:t>
      </w:r>
    </w:p>
    <w:p w14:paraId="4875DF5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41AF4DF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4818.37</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3394.28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70.44</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1424.08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29.56</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21F238C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6A07F75D">
      <w:pPr>
        <w:pStyle w:val="12"/>
        <w:keepNext w:val="0"/>
        <w:keepLines w:val="0"/>
        <w:pageBreakBefore w:val="0"/>
        <w:widowControl w:val="0"/>
        <w:kinsoku/>
        <w:wordWrap/>
        <w:overflowPunct/>
        <w:topLinePunct w:val="0"/>
        <w:bidi w:val="0"/>
        <w:snapToGrid/>
        <w:spacing w:line="600" w:lineRule="exact"/>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4787.15</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627.33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15.08</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25年度人员变动增加基本支出148.97万元；切新增日常工作经费315万元，年中开展北斗峰会、低空等工作产生专项工作费用，导致比上年增加。</w:t>
      </w:r>
    </w:p>
    <w:p w14:paraId="1F564703">
      <w:pPr>
        <w:pStyle w:val="12"/>
        <w:keepNext w:val="0"/>
        <w:keepLines w:val="0"/>
        <w:pageBreakBefore w:val="0"/>
        <w:widowControl w:val="0"/>
        <w:kinsoku/>
        <w:wordWrap/>
        <w:overflowPunct/>
        <w:topLinePunct w:val="0"/>
        <w:bidi w:val="0"/>
        <w:snapToGrid/>
        <w:spacing w:line="600" w:lineRule="exact"/>
        <w:textAlignment w:val="auto"/>
        <w:rPr>
          <w:rFonts w:hint="default" w:ascii="仿宋_GB2312" w:hAnsi="仿宋_GB2312" w:eastAsia="仿宋_GB2312" w:cs="仿宋_GB2312"/>
          <w:sz w:val="32"/>
          <w:szCs w:val="32"/>
          <w:lang w:val="en-US" w:eastAsia="zh-CN"/>
        </w:rPr>
      </w:pPr>
    </w:p>
    <w:p w14:paraId="685F6A6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0BEF9FE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5D961166">
      <w:pPr>
        <w:pStyle w:val="12"/>
        <w:keepNext w:val="0"/>
        <w:keepLines w:val="0"/>
        <w:pageBreakBefore w:val="0"/>
        <w:widowControl w:val="0"/>
        <w:kinsoku/>
        <w:wordWrap/>
        <w:overflowPunct/>
        <w:topLinePunct w:val="0"/>
        <w:bidi w:val="0"/>
        <w:snapToGrid/>
        <w:spacing w:line="60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4787.15</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99.35</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627.33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15.08</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25年度人员变动增加基本支出148.97万元；切新增日常工作经费315万元，年中开展北斗峰会、低空等工作产生专项工作费用，导致比上年增加。</w:t>
      </w:r>
    </w:p>
    <w:p w14:paraId="5B57FCF0">
      <w:pPr>
        <w:pStyle w:val="12"/>
        <w:keepNext w:val="0"/>
        <w:keepLines w:val="0"/>
        <w:pageBreakBefore w:val="0"/>
        <w:widowControl w:val="0"/>
        <w:kinsoku/>
        <w:wordWrap/>
        <w:overflowPunct/>
        <w:topLinePunct w:val="0"/>
        <w:bidi w:val="0"/>
        <w:snapToGrid/>
        <w:spacing w:line="600" w:lineRule="exact"/>
        <w:textAlignment w:val="auto"/>
        <w:rPr>
          <w:rFonts w:hint="default" w:ascii="仿宋_GB2312" w:hAnsi="仿宋_GB2312" w:eastAsia="仿宋_GB2312" w:cs="仿宋_GB2312"/>
          <w:sz w:val="32"/>
          <w:szCs w:val="32"/>
          <w:lang w:val="en-US" w:eastAsia="zh-CN"/>
        </w:rPr>
      </w:pPr>
    </w:p>
    <w:p w14:paraId="034C002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2E90041E">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4787.15</w:t>
      </w:r>
      <w:r>
        <w:rPr>
          <w:rFonts w:hint="eastAsia" w:ascii="仿宋_GB2312" w:hAnsi="仿宋_GB2312" w:eastAsia="仿宋_GB2312" w:cs="仿宋_GB2312"/>
          <w:sz w:val="32"/>
          <w:szCs w:val="32"/>
        </w:rPr>
        <w:t>万元，主要用于以下方面：一般公共服务（类）支出</w:t>
      </w:r>
      <w:r>
        <w:rPr>
          <w:rFonts w:hint="eastAsia" w:ascii="仿宋_GB2312" w:hAnsi="仿宋_GB2312" w:eastAsia="仿宋_GB2312" w:cs="仿宋_GB2312"/>
          <w:sz w:val="32"/>
          <w:szCs w:val="32"/>
          <w:lang w:val="en-US" w:eastAsia="zh-CN"/>
        </w:rPr>
        <w:t>3628.95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75.81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社会保障和就业（类）支出</w:t>
      </w:r>
      <w:r>
        <w:rPr>
          <w:rFonts w:hint="eastAsia" w:ascii="仿宋_GB2312" w:hAnsi="仿宋_GB2312" w:eastAsia="仿宋_GB2312" w:cs="仿宋_GB2312"/>
          <w:sz w:val="32"/>
          <w:szCs w:val="32"/>
          <w:lang w:val="en-US" w:eastAsia="zh-CN"/>
        </w:rPr>
        <w:t>408.60万元，占8.54%；卫生健康（类）支出162.99万元，占3.4%；节能环保（类）支出40万元，占0.84%；农林水（类）支出8.91万元，占0.19%；住房保障（类）支出141.32万元，占2.95%；粮油物资储备（类）支出279.68万元，占5.84%；其他支出116.7万元，占2.43%。</w:t>
      </w:r>
    </w:p>
    <w:p w14:paraId="272766D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645F0FC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度财政拨款支出年初预算数为3027.63万元，支出决算数为</w:t>
      </w:r>
      <w:r>
        <w:rPr>
          <w:rFonts w:hint="eastAsia" w:ascii="仿宋_GB2312" w:hAnsi="仿宋_GB2312" w:eastAsia="仿宋_GB2312" w:cs="仿宋_GB2312"/>
          <w:sz w:val="32"/>
          <w:szCs w:val="32"/>
          <w:lang w:val="en-US" w:eastAsia="zh-CN"/>
        </w:rPr>
        <w:t>4818.37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159.14</w:t>
      </w:r>
      <w:r>
        <w:rPr>
          <w:rFonts w:hint="eastAsia" w:ascii="仿宋_GB2312" w:hAnsi="仿宋_GB2312" w:eastAsia="仿宋_GB2312" w:cs="仿宋_GB2312"/>
          <w:sz w:val="32"/>
          <w:szCs w:val="32"/>
        </w:rPr>
        <w:t>%，其中：</w:t>
      </w:r>
    </w:p>
    <w:p w14:paraId="141A6A5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1、一般公共服务（类）</w:t>
      </w:r>
      <w:r>
        <w:rPr>
          <w:rFonts w:hint="eastAsia" w:ascii="仿宋_GB2312" w:hAnsi="仿宋_GB2312" w:eastAsia="仿宋_GB2312" w:cs="仿宋_GB2312"/>
          <w:sz w:val="32"/>
          <w:szCs w:val="32"/>
          <w:lang w:eastAsia="zh-CN"/>
        </w:rPr>
        <w:t>发展与改革事务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行政运行</w:t>
      </w:r>
      <w:r>
        <w:rPr>
          <w:rFonts w:hint="eastAsia" w:ascii="仿宋_GB2312" w:hAnsi="仿宋_GB2312" w:eastAsia="仿宋_GB2312" w:cs="仿宋_GB2312"/>
          <w:sz w:val="32"/>
          <w:szCs w:val="32"/>
        </w:rPr>
        <w:t>（项）。</w:t>
      </w:r>
    </w:p>
    <w:p w14:paraId="3E212EF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2113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2286.56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108.21</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eastAsia="zh-CN"/>
        </w:rPr>
        <w:t>年初工资调标资金未纳入预算，且财政结余结转部分资金，部分其他资金收入纳入该类。</w:t>
      </w:r>
    </w:p>
    <w:p w14:paraId="4FFB221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2、一般公共服务（类）</w:t>
      </w:r>
      <w:r>
        <w:rPr>
          <w:rFonts w:hint="eastAsia" w:ascii="仿宋_GB2312" w:hAnsi="仿宋_GB2312" w:eastAsia="仿宋_GB2312" w:cs="仿宋_GB2312"/>
          <w:sz w:val="32"/>
          <w:szCs w:val="32"/>
          <w:lang w:eastAsia="zh-CN"/>
        </w:rPr>
        <w:t>发展与改革事务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其他发展与改革事务支出</w:t>
      </w:r>
      <w:r>
        <w:rPr>
          <w:rFonts w:hint="eastAsia" w:ascii="仿宋_GB2312" w:hAnsi="仿宋_GB2312" w:eastAsia="仿宋_GB2312" w:cs="仿宋_GB2312"/>
          <w:sz w:val="32"/>
          <w:szCs w:val="32"/>
        </w:rPr>
        <w:t>（项）。</w:t>
      </w:r>
    </w:p>
    <w:p w14:paraId="32D6994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1041.81</w:t>
      </w:r>
      <w:r>
        <w:rPr>
          <w:rFonts w:hint="eastAsia" w:ascii="仿宋_GB2312" w:hAnsi="仿宋_GB2312" w:eastAsia="仿宋_GB2312" w:cs="仿宋_GB2312"/>
          <w:sz w:val="32"/>
          <w:szCs w:val="32"/>
        </w:rPr>
        <w:t>万元，，</w:t>
      </w:r>
      <w:r>
        <w:rPr>
          <w:rFonts w:hint="eastAsia" w:ascii="Times New Roman" w:hAnsi="Times New Roman" w:eastAsia="仿宋_GB2312"/>
          <w:sz w:val="32"/>
          <w:szCs w:val="32"/>
        </w:rPr>
        <w:t>由于预算数为0，无法计算百分比</w:t>
      </w:r>
      <w:r>
        <w:rPr>
          <w:rFonts w:hint="eastAsia" w:ascii="仿宋_GB2312" w:hAnsi="仿宋_GB2312" w:eastAsia="仿宋_GB2312" w:cs="仿宋_GB2312"/>
          <w:sz w:val="32"/>
          <w:szCs w:val="32"/>
        </w:rPr>
        <w:t>，决算数大于（小于）年初预算数的主要原因是：</w:t>
      </w:r>
      <w:r>
        <w:rPr>
          <w:rFonts w:hint="eastAsia" w:ascii="仿宋_GB2312" w:hAnsi="仿宋_GB2312" w:eastAsia="仿宋_GB2312" w:cs="仿宋_GB2312"/>
          <w:sz w:val="32"/>
          <w:szCs w:val="32"/>
          <w:lang w:eastAsia="zh-CN"/>
        </w:rPr>
        <w:t>该类主要为全年项目资金，未纳入年初预算。</w:t>
      </w:r>
    </w:p>
    <w:p w14:paraId="26023D1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、一般公共服务（类）</w:t>
      </w:r>
      <w:r>
        <w:rPr>
          <w:rFonts w:hint="eastAsia" w:ascii="仿宋_GB2312" w:hAnsi="仿宋_GB2312" w:eastAsia="仿宋_GB2312" w:cs="仿宋_GB2312"/>
          <w:sz w:val="32"/>
          <w:szCs w:val="32"/>
          <w:lang w:eastAsia="zh-CN"/>
        </w:rPr>
        <w:t>发展与改革事务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一般行政管理</w:t>
      </w:r>
      <w:r>
        <w:rPr>
          <w:rFonts w:hint="eastAsia" w:ascii="仿宋_GB2312" w:hAnsi="仿宋_GB2312" w:eastAsia="仿宋_GB2312" w:cs="仿宋_GB2312"/>
          <w:sz w:val="32"/>
          <w:szCs w:val="32"/>
          <w:u w:val="none"/>
          <w:lang w:eastAsia="zh-CN"/>
        </w:rPr>
        <w:t>事务</w:t>
      </w:r>
      <w:r>
        <w:rPr>
          <w:rFonts w:hint="eastAsia" w:ascii="仿宋_GB2312" w:hAnsi="仿宋_GB2312" w:eastAsia="仿宋_GB2312" w:cs="仿宋_GB2312"/>
          <w:sz w:val="32"/>
          <w:szCs w:val="32"/>
        </w:rPr>
        <w:t>（项）。</w:t>
      </w:r>
    </w:p>
    <w:p w14:paraId="110F046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315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306.84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，完</w:t>
      </w:r>
      <w:r>
        <w:rPr>
          <w:rFonts w:hint="eastAsia" w:ascii="仿宋_GB2312" w:hAnsi="仿宋_GB2312" w:eastAsia="仿宋_GB2312" w:cs="仿宋_GB2312"/>
          <w:sz w:val="32"/>
          <w:szCs w:val="32"/>
        </w:rPr>
        <w:t>成年初预算的</w:t>
      </w:r>
      <w:r>
        <w:rPr>
          <w:rFonts w:hint="eastAsia" w:ascii="仿宋_GB2312" w:hAnsi="仿宋_GB2312" w:eastAsia="仿宋_GB2312" w:cs="仿宋_GB2312"/>
          <w:sz w:val="32"/>
          <w:szCs w:val="32"/>
          <w:lang w:val="en-US" w:eastAsia="zh-CN"/>
        </w:rPr>
        <w:t>97.4</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z w:val="32"/>
          <w:szCs w:val="32"/>
          <w:lang w:eastAsia="zh-CN"/>
        </w:rPr>
        <w:t>该资金为</w:t>
      </w:r>
      <w:r>
        <w:rPr>
          <w:rFonts w:hint="eastAsia" w:ascii="仿宋_GB2312" w:hAnsi="仿宋_GB2312" w:eastAsia="仿宋_GB2312" w:cs="仿宋_GB2312"/>
          <w:sz w:val="32"/>
          <w:szCs w:val="32"/>
          <w:lang w:val="en-US" w:eastAsia="zh-CN"/>
        </w:rPr>
        <w:t>25年日常工作经费，年终支出限制，略有结余。</w:t>
      </w:r>
    </w:p>
    <w:p w14:paraId="3810852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、一般公</w:t>
      </w:r>
      <w:r>
        <w:rPr>
          <w:rFonts w:hint="eastAsia" w:ascii="仿宋_GB2312" w:hAnsi="仿宋_GB2312" w:eastAsia="仿宋_GB2312" w:cs="仿宋_GB2312"/>
          <w:color w:val="auto"/>
          <w:sz w:val="32"/>
          <w:szCs w:val="32"/>
        </w:rPr>
        <w:t>共服务（类</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发展与改革事务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物业管理</w:t>
      </w:r>
      <w:r>
        <w:rPr>
          <w:rFonts w:hint="eastAsia" w:ascii="仿宋_GB2312" w:hAnsi="仿宋_GB2312" w:eastAsia="仿宋_GB2312" w:cs="仿宋_GB2312"/>
          <w:sz w:val="32"/>
          <w:szCs w:val="32"/>
        </w:rPr>
        <w:t>（项）。</w:t>
      </w:r>
    </w:p>
    <w:p w14:paraId="49E0953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24.9</w:t>
      </w:r>
      <w:r>
        <w:rPr>
          <w:rFonts w:hint="eastAsia" w:ascii="仿宋_GB2312" w:hAnsi="仿宋_GB2312" w:eastAsia="仿宋_GB2312" w:cs="仿宋_GB2312"/>
          <w:sz w:val="32"/>
          <w:szCs w:val="32"/>
        </w:rPr>
        <w:t>万元，</w:t>
      </w:r>
      <w:r>
        <w:rPr>
          <w:rFonts w:hint="eastAsia" w:ascii="Times New Roman" w:hAnsi="Times New Roman" w:eastAsia="仿宋_GB2312"/>
          <w:sz w:val="32"/>
          <w:szCs w:val="32"/>
        </w:rPr>
        <w:t>由于预算数为0，无法计算百分比</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val="en-US" w:eastAsia="zh-CN"/>
        </w:rPr>
        <w:t>年中下达的省预算内调查经费等，未纳入年初预算</w:t>
      </w:r>
      <w:r>
        <w:rPr>
          <w:rFonts w:hint="eastAsia" w:ascii="仿宋_GB2312" w:hAnsi="仿宋_GB2312" w:eastAsia="仿宋_GB2312" w:cs="仿宋_GB2312"/>
          <w:sz w:val="32"/>
          <w:szCs w:val="32"/>
          <w:lang w:eastAsia="zh-CN"/>
        </w:rPr>
        <w:t>。</w:t>
      </w:r>
    </w:p>
    <w:p w14:paraId="5D3EECA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行政事业单位养老支出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行政单位离退休</w:t>
      </w:r>
      <w:r>
        <w:rPr>
          <w:rFonts w:hint="eastAsia" w:ascii="仿宋_GB2312" w:hAnsi="仿宋_GB2312" w:eastAsia="仿宋_GB2312" w:cs="仿宋_GB2312"/>
          <w:sz w:val="32"/>
          <w:szCs w:val="32"/>
        </w:rPr>
        <w:t>（项）。</w:t>
      </w:r>
    </w:p>
    <w:p w14:paraId="210077C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67.2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65.2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按要求完成</w:t>
      </w:r>
    </w:p>
    <w:p w14:paraId="67A1762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行政事业单位养老支出</w:t>
      </w:r>
      <w:r>
        <w:rPr>
          <w:rFonts w:hint="eastAsia" w:ascii="仿宋_GB2312" w:hAnsi="仿宋_GB2312" w:eastAsia="仿宋_GB2312" w:cs="仿宋_GB2312"/>
          <w:sz w:val="32"/>
          <w:szCs w:val="32"/>
        </w:rPr>
        <w:t>（款）机关事业单位基本养老保险缴费支出</w:t>
      </w:r>
      <w:r>
        <w:rPr>
          <w:rFonts w:hint="eastAsia" w:ascii="仿宋_GB2312" w:hAnsi="仿宋_GB2312" w:eastAsia="仿宋_GB2312" w:cs="仿宋_GB2312"/>
          <w:sz w:val="32"/>
          <w:szCs w:val="32"/>
          <w:lang w:eastAsia="zh-CN"/>
        </w:rPr>
        <w:t>（项）。</w:t>
      </w:r>
    </w:p>
    <w:p w14:paraId="2E0E894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196.08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180.52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92.06</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z w:val="32"/>
          <w:szCs w:val="32"/>
          <w:lang w:val="en-US" w:eastAsia="zh-CN"/>
        </w:rPr>
        <w:t>25年度有退休干部6名，该项支出减少。</w:t>
      </w:r>
    </w:p>
    <w:p w14:paraId="6C9F0A3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抚恤</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其他优抚支出（项）。</w:t>
      </w:r>
    </w:p>
    <w:p w14:paraId="701FF9F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130.48</w:t>
      </w:r>
      <w:r>
        <w:rPr>
          <w:rFonts w:hint="eastAsia" w:ascii="仿宋_GB2312" w:hAnsi="仿宋_GB2312" w:eastAsia="仿宋_GB2312" w:cs="仿宋_GB2312"/>
          <w:sz w:val="32"/>
          <w:szCs w:val="32"/>
        </w:rPr>
        <w:t>万元，</w:t>
      </w:r>
      <w:r>
        <w:rPr>
          <w:rFonts w:hint="eastAsia" w:ascii="Times New Roman" w:hAnsi="Times New Roman" w:eastAsia="仿宋_GB2312"/>
          <w:sz w:val="32"/>
          <w:szCs w:val="32"/>
        </w:rPr>
        <w:t>由于预算数为0，无法计算百分比</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val="en-US" w:eastAsia="zh-CN"/>
        </w:rPr>
        <w:t>25年我委过世3名退休干部，1名离休干部。</w:t>
      </w:r>
    </w:p>
    <w:p w14:paraId="2B9DD6D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退役安置</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军队转业干部安置（项）。</w:t>
      </w:r>
    </w:p>
    <w:p w14:paraId="099C28F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12.33</w:t>
      </w:r>
      <w:r>
        <w:rPr>
          <w:rFonts w:hint="eastAsia" w:ascii="仿宋_GB2312" w:hAnsi="仿宋_GB2312" w:eastAsia="仿宋_GB2312" w:cs="仿宋_GB2312"/>
          <w:sz w:val="32"/>
          <w:szCs w:val="32"/>
        </w:rPr>
        <w:t>万元，</w:t>
      </w:r>
      <w:r>
        <w:rPr>
          <w:rFonts w:hint="eastAsia" w:ascii="Times New Roman" w:hAnsi="Times New Roman" w:eastAsia="仿宋_GB2312"/>
          <w:sz w:val="32"/>
          <w:szCs w:val="32"/>
        </w:rPr>
        <w:t>由于预算数为0，无法计算百分比</w:t>
      </w:r>
      <w:r>
        <w:rPr>
          <w:rFonts w:hint="eastAsia" w:ascii="仿宋_GB2312" w:hAnsi="仿宋_GB2312" w:eastAsia="仿宋_GB2312" w:cs="仿宋_GB2312"/>
          <w:sz w:val="32"/>
          <w:szCs w:val="32"/>
        </w:rPr>
        <w:t>，决算数大于年初预算数的主要原因是：</w:t>
      </w:r>
      <w:r>
        <w:rPr>
          <w:rFonts w:hint="eastAsia" w:ascii="Times New Roman" w:hAnsi="Times New Roman" w:eastAsia="仿宋_GB2312"/>
          <w:sz w:val="32"/>
          <w:szCs w:val="32"/>
          <w:lang w:val="en-US" w:eastAsia="zh-CN"/>
        </w:rPr>
        <w:t>粮食部门转隶，划转企业军转干部费用。</w:t>
      </w:r>
    </w:p>
    <w:p w14:paraId="5FE556E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仿宋_GB2312" w:hAnsi="仿宋_GB2312" w:eastAsia="仿宋_GB2312" w:cs="仿宋_GB2312"/>
          <w:sz w:val="32"/>
          <w:szCs w:val="32"/>
          <w:lang w:val="en-US" w:eastAsia="zh-CN"/>
        </w:rPr>
        <w:t>9、</w:t>
      </w:r>
      <w:r>
        <w:rPr>
          <w:rFonts w:hint="eastAsia" w:ascii="Times New Roman" w:hAnsi="Times New Roman" w:eastAsia="仿宋_GB2312"/>
          <w:sz w:val="32"/>
          <w:szCs w:val="32"/>
        </w:rPr>
        <w:t>社会保障和就业支出（类）</w:t>
      </w:r>
      <w:r>
        <w:rPr>
          <w:rFonts w:hint="eastAsia" w:ascii="Times New Roman" w:hAnsi="Times New Roman" w:eastAsia="仿宋_GB2312"/>
          <w:sz w:val="32"/>
          <w:szCs w:val="32"/>
          <w:lang w:eastAsia="zh-CN"/>
        </w:rPr>
        <w:t>残疾人事业</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 xml:space="preserve"> 其他残疾人事业支出</w:t>
      </w:r>
      <w:r>
        <w:rPr>
          <w:rFonts w:hint="eastAsia" w:ascii="Times New Roman" w:hAnsi="Times New Roman" w:eastAsia="仿宋_GB2312"/>
          <w:sz w:val="32"/>
          <w:szCs w:val="32"/>
        </w:rPr>
        <w:t>（项）。</w:t>
      </w:r>
    </w:p>
    <w:p w14:paraId="13CD556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15.04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15.04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按要求完成。</w:t>
      </w:r>
    </w:p>
    <w:p w14:paraId="3D085A6F">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卫生健康支出（类）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 xml:space="preserve"> 行政单位医疗</w:t>
      </w:r>
      <w:r>
        <w:rPr>
          <w:rFonts w:hint="eastAsia" w:ascii="Times New Roman" w:hAnsi="Times New Roman" w:eastAsia="仿宋_GB2312"/>
          <w:sz w:val="32"/>
          <w:szCs w:val="32"/>
        </w:rPr>
        <w:t>（项）。</w:t>
      </w:r>
    </w:p>
    <w:p w14:paraId="5752B2D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155.12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162.98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105.06</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我委人员浮动大，年中追加人员预算，导致社保支出浮动</w:t>
      </w:r>
      <w:r>
        <w:rPr>
          <w:rFonts w:hint="eastAsia" w:ascii="Times New Roman" w:hAnsi="Times New Roman" w:eastAsia="仿宋_GB2312"/>
          <w:sz w:val="32"/>
          <w:szCs w:val="32"/>
          <w:lang w:val="en-US" w:eastAsia="zh-CN"/>
        </w:rPr>
        <w:t>。</w:t>
      </w:r>
    </w:p>
    <w:p w14:paraId="0CD9A03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11</w:t>
      </w:r>
      <w:r>
        <w:rPr>
          <w:rFonts w:hint="eastAsia" w:ascii="Times New Roman" w:hAnsi="Times New Roman" w:eastAsia="仿宋_GB2312"/>
          <w:color w:val="auto"/>
          <w:sz w:val="32"/>
          <w:szCs w:val="32"/>
        </w:rPr>
        <w:t>卫生健康支出（类）</w:t>
      </w:r>
      <w:r>
        <w:rPr>
          <w:rFonts w:hint="eastAsia" w:ascii="Times New Roman" w:hAnsi="Times New Roman" w:eastAsia="仿宋_GB2312"/>
          <w:color w:val="auto"/>
          <w:sz w:val="32"/>
          <w:szCs w:val="32"/>
          <w:lang w:eastAsia="zh-CN"/>
        </w:rPr>
        <w:t>行政事业单位医疗</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公务员医疗补助</w:t>
      </w:r>
      <w:r>
        <w:rPr>
          <w:rFonts w:hint="eastAsia" w:ascii="Times New Roman" w:hAnsi="Times New Roman" w:eastAsia="仿宋_GB2312"/>
          <w:color w:val="auto"/>
          <w:sz w:val="32"/>
          <w:szCs w:val="32"/>
        </w:rPr>
        <w:t>（项）。</w:t>
      </w:r>
    </w:p>
    <w:p w14:paraId="4FFF4E0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22.37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由于决算</w:t>
      </w:r>
      <w:r>
        <w:rPr>
          <w:rFonts w:hint="eastAsia" w:ascii="Times New Roman" w:hAnsi="Times New Roman" w:eastAsia="仿宋_GB2312"/>
          <w:color w:val="auto"/>
          <w:sz w:val="32"/>
          <w:szCs w:val="32"/>
        </w:rPr>
        <w:t>数为0，无法计算百分比，决算数</w:t>
      </w:r>
      <w:r>
        <w:rPr>
          <w:rFonts w:hint="eastAsia" w:ascii="Times New Roman" w:hAnsi="Times New Roman" w:eastAsia="仿宋_GB2312"/>
          <w:color w:val="auto"/>
          <w:sz w:val="32"/>
          <w:szCs w:val="32"/>
          <w:lang w:eastAsia="zh-CN"/>
        </w:rPr>
        <w:t>小</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实际未下达指标金额。</w:t>
      </w:r>
    </w:p>
    <w:p w14:paraId="4B661E2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节能环保支出（类）</w:t>
      </w:r>
      <w:r>
        <w:rPr>
          <w:rFonts w:hint="eastAsia" w:ascii="Times New Roman" w:hAnsi="Times New Roman" w:eastAsia="仿宋_GB2312"/>
          <w:sz w:val="32"/>
          <w:szCs w:val="32"/>
          <w:lang w:eastAsia="zh-CN"/>
        </w:rPr>
        <w:t>环境保护管理事务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生态环境保护宣传</w:t>
      </w:r>
      <w:r>
        <w:rPr>
          <w:rFonts w:hint="eastAsia" w:ascii="Times New Roman" w:hAnsi="Times New Roman" w:eastAsia="仿宋_GB2312"/>
          <w:sz w:val="32"/>
          <w:szCs w:val="32"/>
        </w:rPr>
        <w:t>（项）。</w:t>
      </w:r>
    </w:p>
    <w:p w14:paraId="36BF2CC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40</w:t>
      </w:r>
      <w:r>
        <w:rPr>
          <w:rFonts w:hint="eastAsia" w:ascii="Times New Roman" w:hAnsi="Times New Roman" w:eastAsia="仿宋_GB2312"/>
          <w:sz w:val="32"/>
          <w:szCs w:val="32"/>
        </w:rPr>
        <w:t>万元，由于预算数为0，无法计算百分比，决算数大于年初预算数的主要原因是：</w:t>
      </w:r>
      <w:r>
        <w:rPr>
          <w:rFonts w:hint="eastAsia" w:ascii="Times New Roman" w:hAnsi="Times New Roman" w:eastAsia="仿宋_GB2312"/>
          <w:sz w:val="32"/>
          <w:szCs w:val="32"/>
          <w:lang w:eastAsia="zh-CN"/>
        </w:rPr>
        <w:t>该经费为我委项目碳达峰工作经费，该</w:t>
      </w:r>
      <w:r>
        <w:rPr>
          <w:rFonts w:hint="eastAsia" w:ascii="Times New Roman" w:hAnsi="Times New Roman" w:eastAsia="仿宋_GB2312"/>
          <w:sz w:val="32"/>
          <w:szCs w:val="32"/>
        </w:rPr>
        <w:t>资金未纳入年初预算</w:t>
      </w:r>
      <w:r>
        <w:rPr>
          <w:rFonts w:hint="eastAsia" w:ascii="Times New Roman" w:hAnsi="Times New Roman" w:eastAsia="仿宋_GB2312"/>
          <w:sz w:val="32"/>
          <w:szCs w:val="32"/>
          <w:lang w:eastAsia="zh-CN"/>
        </w:rPr>
        <w:t>。</w:t>
      </w:r>
    </w:p>
    <w:p w14:paraId="3E9CDCF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农林水支出（类）</w:t>
      </w:r>
      <w:r>
        <w:rPr>
          <w:rFonts w:hint="eastAsia" w:ascii="Times New Roman" w:hAnsi="Times New Roman" w:eastAsia="仿宋_GB2312"/>
          <w:sz w:val="32"/>
          <w:szCs w:val="32"/>
          <w:lang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 xml:space="preserve"> 农产品质量安全</w:t>
      </w:r>
      <w:r>
        <w:rPr>
          <w:rFonts w:hint="eastAsia" w:ascii="Times New Roman" w:hAnsi="Times New Roman" w:eastAsia="仿宋_GB2312"/>
          <w:sz w:val="32"/>
          <w:szCs w:val="32"/>
        </w:rPr>
        <w:t>（项）。</w:t>
      </w:r>
    </w:p>
    <w:p w14:paraId="1506E1C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8.91</w:t>
      </w:r>
      <w:r>
        <w:rPr>
          <w:rFonts w:hint="eastAsia" w:ascii="Times New Roman" w:hAnsi="Times New Roman" w:eastAsia="仿宋_GB2312"/>
          <w:sz w:val="32"/>
          <w:szCs w:val="32"/>
        </w:rPr>
        <w:t>万元，由于预算数为0，无法计算百分比，决算数大于年初预算数的主要原因是：</w:t>
      </w:r>
      <w:r>
        <w:rPr>
          <w:rFonts w:hint="eastAsia" w:ascii="Times New Roman" w:hAnsi="Times New Roman" w:eastAsia="仿宋_GB2312"/>
          <w:sz w:val="32"/>
          <w:szCs w:val="32"/>
          <w:lang w:eastAsia="zh-CN"/>
        </w:rPr>
        <w:t>粮食储备监管经费上年结余结转，未纳入预算。</w:t>
      </w:r>
    </w:p>
    <w:p w14:paraId="347E2E9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14、</w:t>
      </w:r>
      <w:r>
        <w:rPr>
          <w:rFonts w:hint="eastAsia" w:ascii="Times New Roman" w:hAnsi="Times New Roman" w:eastAsia="仿宋_GB2312"/>
          <w:sz w:val="32"/>
          <w:szCs w:val="32"/>
          <w:lang w:eastAsia="zh-CN"/>
        </w:rPr>
        <w:t>住房保障支出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住房改革支出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 xml:space="preserve"> 住房公积金</w:t>
      </w:r>
      <w:r>
        <w:rPr>
          <w:rFonts w:hint="eastAsia" w:ascii="Times New Roman" w:hAnsi="Times New Roman" w:eastAsia="仿宋_GB2312"/>
          <w:sz w:val="32"/>
          <w:szCs w:val="32"/>
        </w:rPr>
        <w:t>（项）。</w:t>
      </w:r>
    </w:p>
    <w:p w14:paraId="245F597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141.32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141.32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按要求完成。</w:t>
      </w:r>
    </w:p>
    <w:p w14:paraId="36CFABE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lang w:eastAsia="zh-CN"/>
        </w:rPr>
        <w:t>粮油物资储备支出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粮油物资事务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其他粮油物资事务支出</w:t>
      </w:r>
      <w:r>
        <w:rPr>
          <w:rFonts w:hint="eastAsia" w:ascii="Times New Roman" w:hAnsi="Times New Roman" w:eastAsia="仿宋_GB2312"/>
          <w:sz w:val="32"/>
          <w:szCs w:val="32"/>
        </w:rPr>
        <w:t>（项）。</w:t>
      </w:r>
    </w:p>
    <w:p w14:paraId="69D3B48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279.68</w:t>
      </w:r>
      <w:r>
        <w:rPr>
          <w:rFonts w:hint="eastAsia" w:ascii="Times New Roman" w:hAnsi="Times New Roman" w:eastAsia="仿宋_GB2312"/>
          <w:sz w:val="32"/>
          <w:szCs w:val="32"/>
        </w:rPr>
        <w:t>万元，由于预算数为0，无法计算百分比，决算数大于年初预算数的主要原因是：</w:t>
      </w:r>
      <w:r>
        <w:rPr>
          <w:rFonts w:hint="eastAsia" w:ascii="Times New Roman" w:hAnsi="Times New Roman" w:eastAsia="仿宋_GB2312"/>
          <w:sz w:val="32"/>
          <w:szCs w:val="32"/>
          <w:lang w:eastAsia="zh-CN"/>
        </w:rPr>
        <w:t>该费用为</w:t>
      </w:r>
      <w:r>
        <w:rPr>
          <w:rFonts w:hint="eastAsia" w:ascii="Times New Roman" w:hAnsi="Times New Roman" w:eastAsia="仿宋_GB2312"/>
          <w:sz w:val="32"/>
          <w:szCs w:val="32"/>
          <w:lang w:val="en-US" w:eastAsia="zh-CN"/>
        </w:rPr>
        <w:t>商品粮大省奖励资金。</w:t>
      </w:r>
    </w:p>
    <w:p w14:paraId="691E444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16、其他支出（类）其他支出（款）其他支出（项）</w:t>
      </w:r>
    </w:p>
    <w:p w14:paraId="4CECDF9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116.7</w:t>
      </w:r>
      <w:r>
        <w:rPr>
          <w:rFonts w:hint="eastAsia" w:ascii="Times New Roman" w:hAnsi="Times New Roman" w:eastAsia="仿宋_GB2312"/>
          <w:sz w:val="32"/>
          <w:szCs w:val="32"/>
        </w:rPr>
        <w:t>万元，由于预算数为0，无法计算百分比，决算数大于年初预算数的主要原因是：</w:t>
      </w:r>
      <w:r>
        <w:rPr>
          <w:rFonts w:hint="eastAsia" w:ascii="Times New Roman" w:hAnsi="Times New Roman" w:eastAsia="仿宋_GB2312"/>
          <w:sz w:val="32"/>
          <w:szCs w:val="32"/>
          <w:lang w:eastAsia="zh-CN"/>
        </w:rPr>
        <w:t>该费用为</w:t>
      </w:r>
      <w:r>
        <w:rPr>
          <w:rFonts w:hint="eastAsia" w:ascii="Times New Roman" w:hAnsi="Times New Roman" w:eastAsia="仿宋_GB2312"/>
          <w:sz w:val="32"/>
          <w:szCs w:val="32"/>
          <w:lang w:val="en-US" w:eastAsia="zh-CN"/>
        </w:rPr>
        <w:t>上年结余结转资金，未纳入预算。</w:t>
      </w:r>
    </w:p>
    <w:p w14:paraId="5E0ED1D3">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747C572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3363.06</w:t>
      </w:r>
      <w:r>
        <w:rPr>
          <w:rFonts w:hint="eastAsia" w:ascii="仿宋_GB2312" w:hAnsi="仿宋_GB2312" w:eastAsia="仿宋_GB2312" w:cs="仿宋_GB2312"/>
          <w:sz w:val="32"/>
          <w:szCs w:val="32"/>
        </w:rPr>
        <w:t>万元，其中：</w:t>
      </w:r>
    </w:p>
    <w:p w14:paraId="7F1294F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2978.68</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88.57</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eastAsia="zh-CN"/>
        </w:rPr>
        <w:t>、绩效工资、</w:t>
      </w:r>
      <w:r>
        <w:rPr>
          <w:rFonts w:hint="eastAsia" w:ascii="Times New Roman" w:hAnsi="Times New Roman" w:eastAsia="仿宋_GB2312"/>
          <w:sz w:val="32"/>
          <w:szCs w:val="32"/>
          <w:lang w:eastAsia="zh-CN"/>
        </w:rPr>
        <w:t>机关事业单位基本养老保险缴费、职工基本医疗保险缴费、其他社会保障缴费；对个人和家庭的补助，其中包括退休费、抚恤金、生活补助、医疗费补助、奖励金、其他对个人和家庭的补助。</w:t>
      </w:r>
      <w:r>
        <w:rPr>
          <w:rFonts w:hint="eastAsia" w:ascii="仿宋_GB2312" w:hAnsi="仿宋_GB2312" w:eastAsia="仿宋_GB2312" w:cs="仿宋_GB2312"/>
          <w:sz w:val="32"/>
          <w:szCs w:val="32"/>
          <w:lang w:eastAsia="zh-CN"/>
        </w:rPr>
        <w:t>。</w:t>
      </w:r>
    </w:p>
    <w:p w14:paraId="3F18725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384.38</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11.43</w:t>
      </w:r>
      <w:r>
        <w:rPr>
          <w:rFonts w:hint="eastAsia" w:ascii="仿宋_GB2312" w:hAnsi="仿宋_GB2312" w:eastAsia="仿宋_GB2312" w:cs="仿宋_GB2312"/>
          <w:sz w:val="32"/>
          <w:szCs w:val="32"/>
        </w:rPr>
        <w:t>%，主要包括</w:t>
      </w:r>
      <w:r>
        <w:rPr>
          <w:rFonts w:hint="eastAsia" w:ascii="Times New Roman" w:hAnsi="Times New Roman" w:eastAsia="仿宋_GB2312"/>
          <w:sz w:val="32"/>
          <w:szCs w:val="32"/>
        </w:rPr>
        <w:t>办公费、印刷费、</w:t>
      </w:r>
      <w:r>
        <w:rPr>
          <w:rFonts w:hint="eastAsia" w:ascii="Times New Roman" w:hAnsi="Times New Roman" w:eastAsia="仿宋_GB2312"/>
          <w:sz w:val="32"/>
          <w:szCs w:val="32"/>
          <w:highlight w:val="none"/>
          <w:lang w:eastAsia="zh-CN"/>
        </w:rPr>
        <w:t>水费、电费、邮电费、物业管理费、差旅费、维修（护）费、租赁费、会议费、培训费、公务接待费、专用材料费、劳务费、委托业务费、工会经费、福利费、公务车运行维护费、其他交通费用、其他商品和服务支出</w:t>
      </w:r>
      <w:r>
        <w:rPr>
          <w:rFonts w:hint="eastAsia" w:ascii="仿宋_GB2312" w:hAnsi="仿宋_GB2312" w:eastAsia="仿宋_GB2312" w:cs="仿宋_GB2312"/>
          <w:sz w:val="32"/>
          <w:szCs w:val="32"/>
        </w:rPr>
        <w:t>。</w:t>
      </w:r>
    </w:p>
    <w:p w14:paraId="765562A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7604FB22">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b/>
          <w:bCs/>
          <w:i w:val="0"/>
          <w:iCs/>
          <w:color w:val="FF0000"/>
          <w:kern w:val="0"/>
          <w:sz w:val="36"/>
          <w:szCs w:val="36"/>
          <w:lang w:val="en-US" w:eastAsia="zh-CN" w:bidi="ar-SA"/>
        </w:rPr>
        <w:t xml:space="preserve"> </w:t>
      </w:r>
    </w:p>
    <w:p w14:paraId="57AD3BB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23F8911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2025年度国有资本经营预算财政拨款收入0万元；年初结转和结余0万；支出0万元，其中：基本支出0万元，项目支出0万元；年末结转和结余0万元。</w:t>
      </w:r>
    </w:p>
    <w:p w14:paraId="5DB0F70E">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26A9ED4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163CD693">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8.95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94.21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38.1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厉行节约，进一步压缩三公经费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根据机关事务局统一部署，年初将我部门</w:t>
      </w:r>
      <w:r>
        <w:rPr>
          <w:rFonts w:hint="eastAsia" w:ascii="Times New Roman" w:hAnsi="Times New Roman" w:eastAsia="仿宋_GB2312" w:cs="Times New Roman"/>
          <w:sz w:val="32"/>
          <w:szCs w:val="32"/>
          <w:lang w:val="en-US" w:eastAsia="zh-CN"/>
        </w:rPr>
        <w:t>5台公车</w:t>
      </w:r>
      <w:r>
        <w:rPr>
          <w:rFonts w:hint="eastAsia" w:ascii="Times New Roman" w:hAnsi="Times New Roman" w:eastAsia="仿宋_GB2312" w:cs="Times New Roman"/>
          <w:sz w:val="32"/>
          <w:szCs w:val="32"/>
          <w:lang w:eastAsia="zh-CN"/>
        </w:rPr>
        <w:t>核减至</w:t>
      </w:r>
      <w:r>
        <w:rPr>
          <w:rFonts w:hint="eastAsia" w:ascii="Times New Roman" w:hAnsi="Times New Roman" w:eastAsia="仿宋_GB2312" w:cs="Times New Roman"/>
          <w:sz w:val="32"/>
          <w:szCs w:val="32"/>
          <w:lang w:val="en-US" w:eastAsia="zh-CN"/>
        </w:rPr>
        <w:t>1台</w:t>
      </w:r>
      <w:r>
        <w:rPr>
          <w:rFonts w:hint="eastAsia" w:ascii="Times New Roman" w:hAnsi="Times New Roman" w:eastAsia="仿宋_GB2312" w:cs="Times New Roman"/>
          <w:sz w:val="32"/>
          <w:szCs w:val="32"/>
          <w:lang w:eastAsia="zh-CN"/>
        </w:rPr>
        <w:t>，导致公务用车运行维护费用减少</w:t>
      </w:r>
      <w:r>
        <w:rPr>
          <w:rFonts w:ascii="Times New Roman" w:hAnsi="Times New Roman" w:eastAsia="仿宋_GB2312" w:cs="Times New Roman"/>
          <w:sz w:val="32"/>
          <w:szCs w:val="32"/>
        </w:rPr>
        <w:t>。</w:t>
      </w:r>
    </w:p>
    <w:p w14:paraId="3DF85F1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1711DA1C">
      <w:pPr>
        <w:pStyle w:val="12"/>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1.因公出国（境）费支出预算为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决算数等于预算数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，主要原因是我单位严格按预算执行决算</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与上年一致，无增减变动，主要原因是未安排因公出国（境）活动。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度安排因公出国（境）团组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个，累计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人次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35C3329F">
      <w:pPr>
        <w:pStyle w:val="12"/>
        <w:overflowPunct w:val="0"/>
        <w:autoSpaceDE/>
        <w:autoSpaceDN/>
        <w:spacing w:line="600" w:lineRule="exact"/>
        <w:ind w:firstLine="640" w:firstLineChars="200"/>
        <w:jc w:val="both"/>
        <w:rPr>
          <w:rFonts w:ascii="Times New Roman" w:hAnsi="Times New Roman" w:eastAsia="楷体" w:cs="Times New Roman"/>
          <w:b/>
          <w:bCs/>
          <w:i/>
          <w:color w:val="000000" w:themeColor="text1"/>
          <w:sz w:val="32"/>
          <w:szCs w:val="32"/>
          <w14:textFill>
            <w14:solidFill>
              <w14:schemeClr w14:val="tx1"/>
            </w14:solidFill>
          </w14:textFill>
        </w:rPr>
      </w:pPr>
    </w:p>
    <w:p w14:paraId="79CC1513">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2.公务用车购置费及运行维护费支出预算为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决算数等于预算数</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与上年相比减少12万元，减少80%</w:t>
      </w:r>
      <w:r>
        <w:rPr>
          <w:rFonts w:ascii="Times New Roman" w:hAnsi="Times New Roman" w:eastAsia="仿宋_GB2312" w:cs="Times New Roman"/>
          <w:color w:val="000000" w:themeColor="text1"/>
          <w:sz w:val="32"/>
          <w:szCs w:val="32"/>
          <w14:textFill>
            <w14:solidFill>
              <w14:schemeClr w14:val="tx1"/>
            </w14:solidFill>
          </w14:textFill>
        </w:rPr>
        <w:t>。其中：</w:t>
      </w:r>
    </w:p>
    <w:p w14:paraId="3F04356F">
      <w:pPr>
        <w:pStyle w:val="12"/>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公务用车购置费支出预算为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决算数等于预算数，主要原因是我单位严格按预算执行决算</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与上年一致，无增减变动，主要原因是两年均未购置公务用车。本单位</w:t>
      </w:r>
      <w:r>
        <w:rPr>
          <w:rFonts w:ascii="Times New Roman" w:hAnsi="Times New Roman" w:eastAsia="仿宋_GB2312" w:cs="Times New Roman"/>
          <w:color w:val="000000" w:themeColor="text1"/>
          <w:sz w:val="32"/>
          <w:szCs w:val="32"/>
          <w14:textFill>
            <w14:solidFill>
              <w14:schemeClr w14:val="tx1"/>
            </w14:solidFill>
          </w14:textFill>
        </w:rPr>
        <w:t>更新公务用车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6CFA8BE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w:t>
      </w:r>
    </w:p>
    <w:p w14:paraId="023098F2">
      <w:pPr>
        <w:pStyle w:val="12"/>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sz w:val="32"/>
          <w:szCs w:val="32"/>
          <w:lang w:eastAsia="zh-CN"/>
        </w:rPr>
        <w:t>洗车费</w:t>
      </w:r>
      <w:r>
        <w:rPr>
          <w:rFonts w:hint="eastAsia" w:ascii="Times New Roman" w:hAnsi="Times New Roman" w:eastAsia="仿宋_GB2312"/>
          <w:sz w:val="32"/>
          <w:szCs w:val="32"/>
          <w:lang w:val="en-US" w:eastAsia="zh-CN"/>
        </w:rPr>
        <w:t>、ETC费用、维修维护费（车辆保险、油料费）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按要求完成</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38675AEC">
      <w:pPr>
        <w:pStyle w:val="1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90.76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厉行节约，进一步压缩三公经费</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rPr>
        <w:t>厉行节约，进一步压缩三公经费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371</w:t>
      </w:r>
      <w:r>
        <w:rPr>
          <w:rFonts w:ascii="Times New Roman" w:hAnsi="Times New Roman" w:eastAsia="仿宋_GB2312" w:cs="Times New Roman"/>
          <w:sz w:val="32"/>
          <w:szCs w:val="32"/>
        </w:rPr>
        <w:t>人次，主要是</w:t>
      </w:r>
      <w:r>
        <w:rPr>
          <w:rFonts w:hint="eastAsia" w:ascii="仿宋_GB2312" w:hAnsi="仿宋_GB2312" w:eastAsia="仿宋_GB2312" w:cs="仿宋_GB2312"/>
          <w:color w:val="000000" w:themeColor="text1"/>
          <w:sz w:val="32"/>
          <w:szCs w:val="32"/>
          <w:lang w:eastAsia="zh-CN"/>
          <w14:textFill>
            <w14:solidFill>
              <w14:schemeClr w14:val="tx1"/>
            </w14:solidFill>
          </w14:textFill>
        </w:rPr>
        <w:t>国家、</w:t>
      </w:r>
      <w:r>
        <w:rPr>
          <w:rFonts w:hint="eastAsia" w:ascii="Times New Roman" w:hAnsi="Times New Roman" w:eastAsia="仿宋_GB2312"/>
          <w:color w:val="000000" w:themeColor="text1"/>
          <w:sz w:val="32"/>
          <w:szCs w:val="32"/>
          <w:lang w:eastAsia="zh-CN"/>
          <w14:textFill>
            <w14:solidFill>
              <w14:schemeClr w14:val="tx1"/>
            </w14:solidFill>
          </w14:textFill>
        </w:rPr>
        <w:t>省委省政府及相关部门赴岳调研督导检查</w:t>
      </w:r>
      <w:r>
        <w:rPr>
          <w:rFonts w:hint="eastAsia" w:ascii="Times New Roman" w:hAnsi="Times New Roman" w:eastAsia="仿宋_GB2312"/>
          <w:color w:val="000000" w:themeColor="text1"/>
          <w:sz w:val="32"/>
          <w:szCs w:val="32"/>
          <w14:textFill>
            <w14:solidFill>
              <w14:schemeClr w14:val="tx1"/>
            </w14:solidFill>
          </w14:textFill>
        </w:rPr>
        <w:t>发生的接待支出。</w:t>
      </w:r>
    </w:p>
    <w:p w14:paraId="0058406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auto"/>
          <w:sz w:val="32"/>
          <w:szCs w:val="32"/>
          <w:lang w:eastAsia="zh-CN"/>
        </w:rPr>
      </w:pPr>
    </w:p>
    <w:p w14:paraId="27ECC94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085EE99F">
      <w:pPr>
        <w:pStyle w:val="12"/>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w:t>
      </w:r>
      <w:r>
        <w:rPr>
          <w:rFonts w:hint="eastAsia" w:ascii="仿宋_GB2312" w:hAnsi="仿宋_GB2312" w:eastAsia="仿宋_GB2312" w:cs="仿宋_GB2312"/>
          <w:sz w:val="32"/>
          <w:szCs w:val="32"/>
          <w:lang w:val="en-US" w:eastAsia="zh-CN"/>
        </w:rPr>
        <w:t>384.38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比年初预算数减少</w:t>
      </w:r>
      <w:r>
        <w:rPr>
          <w:rFonts w:hint="eastAsia" w:ascii="仿宋_GB2312" w:hAnsi="仿宋_GB2312" w:eastAsia="仿宋_GB2312" w:cs="仿宋_GB2312"/>
          <w:sz w:val="32"/>
          <w:szCs w:val="32"/>
          <w:highlight w:val="none"/>
          <w:lang w:val="en-US" w:eastAsia="zh-CN"/>
        </w:rPr>
        <w:t>23.2</w:t>
      </w:r>
      <w:r>
        <w:rPr>
          <w:rFonts w:hint="eastAsia" w:ascii="仿宋_GB2312" w:hAnsi="仿宋_GB2312" w:eastAsia="仿宋_GB2312" w:cs="仿宋_GB2312"/>
          <w:sz w:val="32"/>
          <w:szCs w:val="32"/>
          <w:highlight w:val="none"/>
        </w:rPr>
        <w:t xml:space="preserve"> 万元，降低</w:t>
      </w:r>
      <w:r>
        <w:rPr>
          <w:rFonts w:hint="eastAsia" w:ascii="仿宋_GB2312" w:hAnsi="仿宋_GB2312" w:eastAsia="仿宋_GB2312" w:cs="仿宋_GB2312"/>
          <w:sz w:val="32"/>
          <w:szCs w:val="32"/>
          <w:highlight w:val="none"/>
          <w:lang w:val="en-US" w:eastAsia="zh-CN"/>
        </w:rPr>
        <w:t>5.69</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sz w:val="32"/>
          <w:szCs w:val="32"/>
          <w:highlight w:val="none"/>
          <w:lang w:eastAsia="zh-CN"/>
        </w:rPr>
        <w:t>一是严格落实过紧日子要求，厉行节约，从严压减一般性支出，严控会议、培训、公务接待等非刚性开支；二是优化内部管理，统筹盘活存量资产，节约办公耗材、水电物业等日常运行成本；三是上年部分一次性专项工作已完成，本年不再安排对应经费，综合导致机关运行经费同比下降</w:t>
      </w:r>
      <w:r>
        <w:rPr>
          <w:rFonts w:hint="eastAsia" w:ascii="楷体" w:hAnsi="楷体" w:eastAsia="楷体" w:cs="楷体"/>
          <w:sz w:val="32"/>
          <w:szCs w:val="32"/>
        </w:rPr>
        <w:t>。</w:t>
      </w:r>
    </w:p>
    <w:p w14:paraId="3C01354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704D2D24">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年度，会议费年初预算1万元，支出决算为7.19万元，完成年初预算的719%。</w:t>
      </w:r>
      <w:r>
        <w:rPr>
          <w:rFonts w:hint="eastAsia" w:ascii="仿宋_GB2312" w:hAnsi="仿宋_GB2312" w:eastAsia="仿宋_GB2312" w:cs="仿宋_GB2312"/>
          <w:color w:val="000000"/>
          <w:kern w:val="0"/>
          <w:sz w:val="32"/>
          <w:szCs w:val="32"/>
          <w:lang w:val="en-US" w:eastAsia="zh-CN" w:bidi="ar-SA"/>
        </w:rPr>
        <w:t>用于</w:t>
      </w:r>
      <w:r>
        <w:rPr>
          <w:rFonts w:hint="eastAsia" w:ascii="仿宋_GB2312" w:hAnsi="仿宋_GB2312" w:eastAsia="仿宋_GB2312" w:cs="仿宋_GB2312"/>
          <w:sz w:val="32"/>
          <w:szCs w:val="32"/>
          <w:lang w:val="en-US" w:eastAsia="zh-CN"/>
        </w:rPr>
        <w:t>用于召开各类专项工作及全市粮食工作会议，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125</w:t>
      </w:r>
      <w:r>
        <w:rPr>
          <w:rFonts w:hint="eastAsia" w:ascii="仿宋_GB2312" w:hAnsi="仿宋_GB2312" w:eastAsia="仿宋_GB2312" w:cs="仿宋_GB2312"/>
          <w:sz w:val="32"/>
          <w:szCs w:val="32"/>
        </w:rPr>
        <w:t>人，</w:t>
      </w:r>
      <w:r>
        <w:rPr>
          <w:rFonts w:hint="eastAsia" w:ascii="仿宋_GB2312" w:hAnsi="仿宋_GB2312" w:eastAsia="仿宋_GB2312" w:cs="仿宋_GB2312"/>
          <w:color w:val="000000"/>
          <w:kern w:val="0"/>
          <w:sz w:val="32"/>
          <w:szCs w:val="32"/>
          <w:lang w:val="en-US" w:eastAsia="zh-CN" w:bidi="ar-SA"/>
        </w:rPr>
        <w:t>内容为</w:t>
      </w:r>
      <w:r>
        <w:rPr>
          <w:rFonts w:hint="eastAsia" w:ascii="Times New Roman" w:hAnsi="Times New Roman" w:eastAsia="仿宋_GB2312"/>
          <w:sz w:val="32"/>
          <w:szCs w:val="32"/>
          <w:lang w:eastAsia="zh-CN"/>
        </w:rPr>
        <w:t>根据市委市政府下达的工作任务开展“两重”、“两新”专项行动会务费；全市粮食收购工作会议等</w:t>
      </w:r>
      <w:r>
        <w:rPr>
          <w:rFonts w:hint="eastAsia" w:ascii="仿宋_GB2312" w:hAnsi="仿宋_GB2312" w:eastAsia="仿宋_GB2312" w:cs="仿宋_GB2312"/>
          <w:color w:val="000000"/>
          <w:kern w:val="0"/>
          <w:sz w:val="32"/>
          <w:szCs w:val="32"/>
          <w:lang w:val="en-US" w:eastAsia="zh-CN" w:bidi="ar-SA"/>
        </w:rPr>
        <w:t>。</w:t>
      </w:r>
    </w:p>
    <w:p w14:paraId="51B84D02">
      <w:pPr>
        <w:widowControl w:val="0"/>
        <w:autoSpaceDE w:val="0"/>
        <w:autoSpaceDN w:val="0"/>
        <w:adjustRightInd w:val="0"/>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kern w:val="0"/>
          <w:sz w:val="32"/>
          <w:szCs w:val="32"/>
          <w:lang w:val="en-US" w:eastAsia="zh-CN" w:bidi="ar-SA"/>
        </w:rPr>
        <w:t>培训费年初预算1万元，支出决算为6.3万元，</w:t>
      </w:r>
      <w:r>
        <w:rPr>
          <w:rFonts w:hint="eastAsia" w:ascii="仿宋_GB2312" w:hAnsi="仿宋_GB2312" w:eastAsia="仿宋_GB2312" w:cs="仿宋_GB2312"/>
          <w:sz w:val="32"/>
          <w:szCs w:val="32"/>
          <w:lang w:val="en-US" w:eastAsia="zh-CN"/>
        </w:rPr>
        <w:t>完成年初预算的630%。</w:t>
      </w:r>
      <w:r>
        <w:rPr>
          <w:rFonts w:hint="eastAsia" w:ascii="仿宋_GB2312" w:hAnsi="仿宋_GB2312" w:eastAsia="仿宋_GB2312" w:cs="仿宋_GB2312"/>
          <w:color w:val="000000"/>
          <w:kern w:val="0"/>
          <w:sz w:val="32"/>
          <w:szCs w:val="32"/>
          <w:lang w:val="en-US" w:eastAsia="zh-CN" w:bidi="ar-SA"/>
        </w:rPr>
        <w:t>用于开展各类业务培训，人数319人，内容为</w:t>
      </w:r>
      <w:r>
        <w:rPr>
          <w:rFonts w:hint="eastAsia" w:ascii="Times New Roman" w:hAnsi="Times New Roman" w:eastAsia="仿宋_GB2312"/>
          <w:sz w:val="32"/>
          <w:szCs w:val="32"/>
          <w:lang w:eastAsia="zh-CN"/>
        </w:rPr>
        <w:t>根据市委组织部安排的党校培训，自行组织的相关业务培训</w:t>
      </w:r>
      <w:r>
        <w:rPr>
          <w:rFonts w:hint="eastAsia" w:ascii="仿宋_GB2312" w:hAnsi="仿宋_GB2312" w:eastAsia="仿宋_GB2312" w:cs="仿宋_GB2312"/>
          <w:color w:val="000000"/>
          <w:kern w:val="0"/>
          <w:sz w:val="32"/>
          <w:szCs w:val="32"/>
          <w:lang w:val="en-US" w:eastAsia="zh-CN" w:bidi="ar-SA"/>
        </w:rPr>
        <w:t>。</w:t>
      </w:r>
    </w:p>
    <w:p w14:paraId="33167AC5">
      <w:pPr>
        <w:widowControl w:val="0"/>
        <w:autoSpaceDE w:val="0"/>
        <w:autoSpaceDN w:val="0"/>
        <w:adjustRightInd w:val="0"/>
        <w:ind w:firstLine="640" w:firstLineChars="200"/>
        <w:rPr>
          <w:rFonts w:hint="eastAsia" w:ascii="仿宋_GB2312" w:hAnsi="仿宋_GB2312" w:eastAsia="仿宋_GB2312" w:cs="仿宋_GB2312"/>
          <w:b/>
          <w:bCs/>
          <w:i/>
          <w:color w:val="FF0000"/>
          <w:kern w:val="0"/>
          <w:sz w:val="32"/>
          <w:szCs w:val="32"/>
          <w:highlight w:val="yellow"/>
          <w:lang w:val="en-US" w:eastAsia="zh-CN" w:bidi="ar-SA"/>
        </w:rPr>
      </w:pPr>
      <w:r>
        <w:rPr>
          <w:rFonts w:hint="eastAsia" w:ascii="仿宋_GB2312" w:hAnsi="仿宋_GB2312" w:eastAsia="仿宋_GB2312" w:cs="仿宋_GB2312"/>
          <w:color w:val="000000"/>
          <w:kern w:val="0"/>
          <w:sz w:val="32"/>
          <w:szCs w:val="32"/>
          <w:lang w:val="en-US" w:eastAsia="zh-CN" w:bidi="ar-SA"/>
        </w:rPr>
        <w:t>举办节庆、晚会、论坛、赛事活动年初预算0万元，支出决算为0万元，本单位无举办节庆、晚会、论坛、赛事等活动的预算和支出决算数。</w:t>
      </w:r>
    </w:p>
    <w:p w14:paraId="1760BEA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0D7B25C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741.83</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134.3</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607.53</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741.83</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741.83</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18.1</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81.9</w:t>
      </w:r>
      <w:r>
        <w:rPr>
          <w:rFonts w:hint="eastAsia" w:ascii="仿宋_GB2312" w:hAnsi="仿宋_GB2312" w:eastAsia="仿宋_GB2312" w:cs="仿宋_GB2312"/>
          <w:color w:val="auto"/>
          <w:sz w:val="32"/>
          <w:szCs w:val="32"/>
        </w:rPr>
        <w:t>%。</w:t>
      </w:r>
    </w:p>
    <w:p w14:paraId="4BD56387">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138BA95F">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7700BEDE">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p>
    <w:p w14:paraId="613E3447">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25E2A3EB">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7B1F2C11">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1424.09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1424.09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14:paraId="2A989060">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w:t>
      </w:r>
      <w:r>
        <w:rPr>
          <w:rFonts w:hint="eastAsia" w:ascii="Times New Roman" w:hAnsi="Times New Roman" w:eastAsia="仿宋_GB2312" w:cs="Times New Roman"/>
          <w:sz w:val="32"/>
          <w:szCs w:val="32"/>
          <w:lang w:eastAsia="zh-CN"/>
        </w:rPr>
        <w:t>重大项目前期工作经费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财经办经费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“粮食监督应急保障经费”、“十五五规划编制工作经费”“碳达峰工作经费”、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1424.09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49183A02">
      <w:pPr>
        <w:overflowPunct w:val="0"/>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本单位及所属单位本年度未新增重大政策和重大项目，所以无事前绩效评估开展情况。</w:t>
      </w:r>
    </w:p>
    <w:p w14:paraId="705CC1B3">
      <w:pPr>
        <w:overflowPunct w:val="0"/>
        <w:spacing w:line="600" w:lineRule="exact"/>
        <w:ind w:firstLine="640" w:firstLineChars="200"/>
        <w:rPr>
          <w:rFonts w:ascii="Times New Roman" w:hAnsi="Times New Roman" w:eastAsia="楷体" w:cs="Times New Roman"/>
          <w:b/>
          <w:bCs/>
          <w:sz w:val="32"/>
          <w:szCs w:val="32"/>
        </w:rPr>
      </w:pPr>
    </w:p>
    <w:p w14:paraId="09B067A7">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3000F26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4818.37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4818.37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b w:val="0"/>
          <w:bCs w:val="0"/>
          <w:color w:val="000000"/>
          <w:kern w:val="0"/>
          <w:sz w:val="32"/>
          <w:szCs w:val="32"/>
          <w:lang w:val="en-US" w:eastAsia="zh-CN" w:bidi="ar-SA"/>
        </w:rPr>
        <w:t>一是开展成本监审工作的数量超过20个，开展重点项目超过300个；二是高质量完成各项项目，为政府提供有效决策。三是按时完成各项项目目标；四是节约资金未超出项目预算；五是社会效益、经济效益、生态效益指标平稳发展，无负面影响；六是服务对象满意度有所提升</w:t>
      </w:r>
      <w:r>
        <w:rPr>
          <w:rFonts w:ascii="Times New Roman" w:hAnsi="Times New Roman" w:eastAsia="仿宋_GB2312" w:cs="Times New Roman"/>
          <w:sz w:val="32"/>
          <w:szCs w:val="32"/>
        </w:rPr>
        <w:t>。发现的主要问题及原因：</w:t>
      </w:r>
      <w:r>
        <w:rPr>
          <w:rFonts w:hint="eastAsia" w:ascii="Times New Roman" w:hAnsi="Times New Roman" w:eastAsia="仿宋_GB2312"/>
          <w:sz w:val="32"/>
          <w:szCs w:val="32"/>
        </w:rPr>
        <w:t>一是预算编制有待严格执行。预算编制与实际支出项目有一定差距。二是预算拨付资金滞后。有的项目资金和公用经费都是在年末才拨付到位，以至年终资金结存较大</w:t>
      </w:r>
      <w:r>
        <w:rPr>
          <w:rFonts w:ascii="Times New Roman" w:hAnsi="Times New Roman" w:eastAsia="仿宋_GB2312" w:cs="Times New Roman"/>
          <w:sz w:val="32"/>
          <w:szCs w:val="32"/>
        </w:rPr>
        <w:t>。下一步改进措施：</w:t>
      </w:r>
      <w:r>
        <w:rPr>
          <w:rFonts w:hint="eastAsia" w:ascii="仿宋_GB2312" w:hAnsi="仿宋_GB2312" w:eastAsia="仿宋_GB2312" w:cs="仿宋_GB2312"/>
          <w:b w:val="0"/>
          <w:bCs w:val="0"/>
          <w:color w:val="000000"/>
          <w:kern w:val="0"/>
          <w:sz w:val="32"/>
          <w:szCs w:val="32"/>
          <w:lang w:val="en-US" w:eastAsia="zh-CN" w:bidi="ar-SA"/>
        </w:rPr>
        <w:t>一是加强部门工作对接；二是严格按预算编制执行</w:t>
      </w:r>
      <w:r>
        <w:rPr>
          <w:rFonts w:ascii="Times New Roman" w:hAnsi="Times New Roman" w:eastAsia="仿宋_GB2312" w:cs="Times New Roman"/>
          <w:sz w:val="32"/>
          <w:szCs w:val="32"/>
        </w:rPr>
        <w:t>。</w:t>
      </w:r>
    </w:p>
    <w:p w14:paraId="26F68B0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p>
    <w:p w14:paraId="79F4F490">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sz w:val="32"/>
          <w:szCs w:val="32"/>
          <w:lang w:val="en-US" w:eastAsia="zh-CN"/>
        </w:rPr>
        <w:t>15个</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1424.09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1424.09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sz w:val="32"/>
          <w:szCs w:val="32"/>
        </w:rPr>
        <w:t>一是预算编制有待严格执行。预算编制与实际支出项目有一定差距。二是预算拨付资金滞后。有的项目资金和公用经费都是在年末才拨付到位，以至年终资金结存较大</w:t>
      </w:r>
      <w:r>
        <w:rPr>
          <w:rFonts w:ascii="Times New Roman" w:hAnsi="Times New Roman" w:eastAsia="仿宋_GB2312" w:cs="Times New Roman"/>
          <w:sz w:val="32"/>
          <w:szCs w:val="32"/>
        </w:rPr>
        <w:t>。下一步改进措施：</w:t>
      </w:r>
      <w:r>
        <w:rPr>
          <w:rFonts w:hint="eastAsia" w:ascii="仿宋_GB2312" w:hAnsi="仿宋_GB2312" w:eastAsia="仿宋_GB2312" w:cs="仿宋_GB2312"/>
          <w:b w:val="0"/>
          <w:bCs w:val="0"/>
          <w:color w:val="000000"/>
          <w:kern w:val="0"/>
          <w:sz w:val="32"/>
          <w:szCs w:val="32"/>
          <w:lang w:val="en-US" w:eastAsia="zh-CN" w:bidi="ar-SA"/>
        </w:rPr>
        <w:t>一是加强部门工作对接；二是严格按预算编制执行</w:t>
      </w:r>
      <w:r>
        <w:rPr>
          <w:rFonts w:ascii="Times New Roman" w:hAnsi="Times New Roman" w:eastAsia="仿宋_GB2312" w:cs="Times New Roman"/>
          <w:sz w:val="32"/>
          <w:szCs w:val="32"/>
        </w:rPr>
        <w:t>。</w:t>
      </w:r>
    </w:p>
    <w:p w14:paraId="3CBCF8AE">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kern w:val="0"/>
          <w:sz w:val="32"/>
          <w:szCs w:val="32"/>
          <w:highlight w:val="none"/>
          <w:lang w:eastAsia="zh-CN"/>
        </w:rPr>
        <w:t>2025年</w:t>
      </w:r>
      <w:r>
        <w:rPr>
          <w:rFonts w:ascii="Times New Roman" w:hAnsi="Times New Roman" w:eastAsia="仿宋_GB2312" w:cs="Times New Roman"/>
          <w:kern w:val="0"/>
          <w:sz w:val="32"/>
          <w:szCs w:val="32"/>
          <w:highlight w:val="none"/>
        </w:rPr>
        <w:t>度</w:t>
      </w:r>
      <w:r>
        <w:rPr>
          <w:rFonts w:hint="eastAsia" w:ascii="Times New Roman" w:hAnsi="Times New Roman" w:eastAsia="仿宋_GB2312" w:cs="Times New Roman"/>
          <w:sz w:val="32"/>
          <w:szCs w:val="32"/>
          <w:highlight w:val="none"/>
          <w:lang w:val="en-US" w:eastAsia="zh-CN"/>
        </w:rPr>
        <w:t>15</w:t>
      </w:r>
      <w:r>
        <w:rPr>
          <w:rFonts w:ascii="Times New Roman" w:hAnsi="Times New Roman" w:eastAsia="仿宋_GB2312" w:cs="Times New Roman"/>
          <w:kern w:val="0"/>
          <w:sz w:val="32"/>
          <w:szCs w:val="32"/>
          <w:highlight w:val="none"/>
        </w:rPr>
        <w:t>个重大项目事前绩效评估，其中，</w:t>
      </w:r>
      <w:r>
        <w:rPr>
          <w:rFonts w:hint="eastAsia" w:ascii="Times New Roman" w:hAnsi="Times New Roman" w:eastAsia="仿宋_GB2312" w:cs="Times New Roman"/>
          <w:sz w:val="32"/>
          <w:szCs w:val="32"/>
          <w:highlight w:val="none"/>
          <w:lang w:val="en-US" w:eastAsia="zh-CN"/>
        </w:rPr>
        <w:t>14</w:t>
      </w:r>
      <w:r>
        <w:rPr>
          <w:rFonts w:ascii="Times New Roman" w:hAnsi="Times New Roman" w:eastAsia="仿宋_GB2312" w:cs="Times New Roman"/>
          <w:kern w:val="0"/>
          <w:sz w:val="32"/>
          <w:szCs w:val="32"/>
          <w:highlight w:val="none"/>
        </w:rPr>
        <w:t>个项目评估通过，涉及资金</w:t>
      </w:r>
      <w:r>
        <w:rPr>
          <w:rFonts w:hint="eastAsia" w:ascii="Times New Roman" w:hAnsi="Times New Roman" w:eastAsia="仿宋_GB2312" w:cs="Times New Roman"/>
          <w:sz w:val="32"/>
          <w:szCs w:val="32"/>
          <w:lang w:val="en-US" w:eastAsia="zh-CN"/>
        </w:rPr>
        <w:t>1424.09</w:t>
      </w:r>
      <w:r>
        <w:rPr>
          <w:rFonts w:ascii="Times New Roman" w:hAnsi="Times New Roman" w:eastAsia="仿宋_GB2312" w:cs="Times New Roman"/>
          <w:kern w:val="0"/>
          <w:sz w:val="32"/>
          <w:szCs w:val="32"/>
          <w:highlight w:val="none"/>
        </w:rPr>
        <w:t>万元，</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个项目评估不通过，涉及资金</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w:t>
      </w:r>
      <w:r>
        <w:rPr>
          <w:rFonts w:hint="eastAsia" w:ascii="Times New Roman" w:hAnsi="Times New Roman" w:eastAsia="仿宋_GB2312" w:cs="Times New Roman"/>
          <w:kern w:val="0"/>
          <w:sz w:val="32"/>
          <w:szCs w:val="32"/>
          <w:highlight w:val="none"/>
          <w:lang w:val="en-US" w:eastAsia="zh-CN"/>
        </w:rPr>
        <w:t>。</w:t>
      </w:r>
    </w:p>
    <w:p w14:paraId="00D0E7BF">
      <w:pPr>
        <w:pStyle w:val="12"/>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color w:val="FF0000"/>
          <w:sz w:val="32"/>
          <w:szCs w:val="32"/>
        </w:rPr>
      </w:pPr>
    </w:p>
    <w:p w14:paraId="1B05C6CA">
      <w:pPr>
        <w:numPr>
          <w:ilvl w:val="0"/>
          <w:numId w:val="4"/>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7A32B62C">
      <w:pPr>
        <w:numPr>
          <w:ilvl w:val="0"/>
          <w:numId w:val="0"/>
        </w:numPr>
        <w:autoSpaceDE w:val="0"/>
        <w:autoSpaceDN w:val="0"/>
        <w:adjustRightInd w:val="0"/>
        <w:ind w:firstLine="640" w:firstLineChars="200"/>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请根据</w:t>
      </w:r>
      <w:r>
        <w:rPr>
          <w:rFonts w:hint="eastAsia" w:ascii="Times New Roman" w:hAnsi="Times New Roman" w:eastAsia="仿宋_GB2312" w:cs="Times New Roman"/>
          <w:color w:val="auto"/>
          <w:sz w:val="32"/>
          <w:szCs w:val="32"/>
          <w:highlight w:val="none"/>
          <w:lang w:eastAsia="zh-CN"/>
        </w:rPr>
        <w:t>2025年</w:t>
      </w:r>
      <w:r>
        <w:rPr>
          <w:rFonts w:ascii="Times New Roman" w:hAnsi="Times New Roman" w:eastAsia="仿宋_GB2312" w:cs="Times New Roman"/>
          <w:color w:val="auto"/>
          <w:sz w:val="32"/>
          <w:szCs w:val="32"/>
          <w:highlight w:val="none"/>
        </w:rPr>
        <w:t>度绩效自评结果、部门评价结果、</w:t>
      </w:r>
      <w:r>
        <w:rPr>
          <w:rFonts w:hint="eastAsia" w:ascii="Times New Roman" w:hAnsi="Times New Roman" w:eastAsia="仿宋_GB2312" w:cs="Times New Roman"/>
          <w:color w:val="auto"/>
          <w:sz w:val="32"/>
          <w:szCs w:val="32"/>
          <w:highlight w:val="none"/>
          <w:lang w:eastAsia="zh-CN"/>
        </w:rPr>
        <w:t>事前绩效</w:t>
      </w:r>
      <w:r>
        <w:rPr>
          <w:rFonts w:ascii="Times New Roman" w:hAnsi="Times New Roman" w:eastAsia="仿宋_GB2312" w:cs="Times New Roman"/>
          <w:color w:val="auto"/>
          <w:sz w:val="32"/>
          <w:szCs w:val="32"/>
          <w:highlight w:val="none"/>
        </w:rPr>
        <w:t>评价结果对本部门2025年度预算安排，支出结构调整，资金管理，制度建设等方面结果运用进行简要说明。</w:t>
      </w:r>
    </w:p>
    <w:p w14:paraId="509815DB">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4630BED5">
      <w:pPr>
        <w:pStyle w:val="2"/>
        <w:rPr>
          <w:rFonts w:hint="eastAsia"/>
          <w:lang w:val="en-US" w:eastAsia="zh-CN"/>
        </w:rPr>
      </w:pPr>
    </w:p>
    <w:p w14:paraId="18D107EC">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2E79E7A2">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r>
        <w:rPr>
          <w:rFonts w:hint="eastAsia" w:ascii="楷体" w:hAnsi="楷体" w:eastAsia="楷体" w:cs="楷体"/>
          <w:b/>
          <w:bCs/>
          <w:i w:val="0"/>
          <w:iCs w:val="0"/>
          <w:color w:val="FF0000"/>
          <w:kern w:val="0"/>
          <w:sz w:val="36"/>
          <w:szCs w:val="36"/>
          <w:lang w:val="en-US" w:eastAsia="zh-CN"/>
        </w:rPr>
        <w:t>1、绩效评价报告（含整体支出和项目支出绩效自评表）必须作为附件上传；</w:t>
      </w:r>
    </w:p>
    <w:p w14:paraId="3AE12065">
      <w:pPr>
        <w:numPr>
          <w:ilvl w:val="0"/>
          <w:numId w:val="0"/>
        </w:numPr>
        <w:autoSpaceDE w:val="0"/>
        <w:autoSpaceDN w:val="0"/>
        <w:adjustRightInd w:val="0"/>
        <w:jc w:val="left"/>
        <w:rPr>
          <w:sz w:val="72"/>
          <w:szCs w:val="72"/>
        </w:rPr>
      </w:pPr>
      <w:r>
        <w:rPr>
          <w:rFonts w:hint="eastAsia" w:ascii="楷体" w:hAnsi="楷体" w:eastAsia="楷体" w:cs="楷体"/>
          <w:b/>
          <w:bCs/>
          <w:i w:val="0"/>
          <w:iCs w:val="0"/>
          <w:color w:val="FF0000"/>
          <w:kern w:val="0"/>
          <w:sz w:val="36"/>
          <w:szCs w:val="36"/>
          <w:lang w:val="en-US" w:eastAsia="zh-CN"/>
        </w:rPr>
        <w:t>2、凡是有公开表3支出决算表中有项目支出的，绩效自评报告中要包含《2025年度项目支出绩效自评表》。</w:t>
      </w:r>
    </w:p>
    <w:p w14:paraId="2D1A0977">
      <w:pPr>
        <w:pStyle w:val="12"/>
        <w:jc w:val="both"/>
        <w:rPr>
          <w:rFonts w:hint="eastAsia" w:ascii="方正小标宋_GBK" w:hAnsi="方正小标宋_GBK" w:eastAsia="方正小标宋_GBK" w:cs="方正小标宋_GBK"/>
          <w:sz w:val="24"/>
          <w:szCs w:val="24"/>
        </w:rPr>
      </w:pPr>
    </w:p>
    <w:p w14:paraId="43F96B67">
      <w:pPr>
        <w:pStyle w:val="12"/>
        <w:jc w:val="center"/>
        <w:rPr>
          <w:rFonts w:hint="eastAsia" w:ascii="方正小标宋_GBK" w:hAnsi="方正小标宋_GBK" w:eastAsia="方正小标宋_GBK" w:cs="方正小标宋_GBK"/>
          <w:sz w:val="72"/>
          <w:szCs w:val="72"/>
        </w:rPr>
      </w:pPr>
    </w:p>
    <w:p w14:paraId="057664E8">
      <w:pPr>
        <w:pStyle w:val="12"/>
        <w:jc w:val="center"/>
        <w:rPr>
          <w:rFonts w:hint="eastAsia" w:ascii="方正小标宋_GBK" w:hAnsi="方正小标宋_GBK" w:eastAsia="方正小标宋_GBK" w:cs="方正小标宋_GBK"/>
          <w:sz w:val="72"/>
          <w:szCs w:val="72"/>
        </w:rPr>
      </w:pPr>
    </w:p>
    <w:p w14:paraId="3EA3F68E">
      <w:pPr>
        <w:pStyle w:val="12"/>
        <w:jc w:val="center"/>
        <w:rPr>
          <w:rFonts w:hint="eastAsia" w:ascii="方正小标宋_GBK" w:hAnsi="方正小标宋_GBK" w:eastAsia="方正小标宋_GBK" w:cs="方正小标宋_GBK"/>
          <w:sz w:val="72"/>
          <w:szCs w:val="72"/>
        </w:rPr>
      </w:pPr>
    </w:p>
    <w:p w14:paraId="1B2D1A5E">
      <w:pPr>
        <w:pStyle w:val="12"/>
        <w:jc w:val="center"/>
        <w:rPr>
          <w:rFonts w:hint="eastAsia" w:ascii="方正小标宋_GBK" w:hAnsi="方正小标宋_GBK" w:eastAsia="方正小标宋_GBK" w:cs="方正小标宋_GBK"/>
          <w:sz w:val="72"/>
          <w:szCs w:val="72"/>
        </w:rPr>
      </w:pPr>
    </w:p>
    <w:p w14:paraId="27A38984">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2DF6C9A">
      <w:pPr>
        <w:jc w:val="center"/>
        <w:rPr>
          <w:rFonts w:hint="eastAsia" w:ascii="方正小标宋_GBK" w:hAnsi="方正小标宋_GBK" w:eastAsia="方正小标宋_GBK" w:cs="方正小标宋_GBK"/>
          <w:color w:val="000000"/>
          <w:kern w:val="0"/>
          <w:sz w:val="70"/>
          <w:szCs w:val="70"/>
        </w:rPr>
      </w:pPr>
    </w:p>
    <w:p w14:paraId="24A5460E">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234C85EA">
      <w:pPr>
        <w:pStyle w:val="2"/>
      </w:pPr>
    </w:p>
    <w:p w14:paraId="3741B587">
      <w:pPr>
        <w:pStyle w:val="3"/>
      </w:pPr>
    </w:p>
    <w:p w14:paraId="22C2E451"/>
    <w:p w14:paraId="5BE42591">
      <w:pPr>
        <w:pStyle w:val="2"/>
      </w:pPr>
    </w:p>
    <w:p w14:paraId="2AFA3513">
      <w:pPr>
        <w:pStyle w:val="3"/>
      </w:pPr>
    </w:p>
    <w:p w14:paraId="4E4FBD9D"/>
    <w:p w14:paraId="579539E5">
      <w:pPr>
        <w:pStyle w:val="2"/>
      </w:pPr>
    </w:p>
    <w:p w14:paraId="647B6A10">
      <w:pPr>
        <w:pStyle w:val="3"/>
      </w:pPr>
    </w:p>
    <w:p w14:paraId="0EF43678"/>
    <w:p w14:paraId="0320B35B">
      <w:pPr>
        <w:pStyle w:val="2"/>
      </w:pPr>
    </w:p>
    <w:p w14:paraId="6F0D5893">
      <w:pPr>
        <w:pStyle w:val="3"/>
      </w:pPr>
    </w:p>
    <w:p w14:paraId="1B6FF55F"/>
    <w:p w14:paraId="0BBDEEF1">
      <w:pPr>
        <w:pStyle w:val="2"/>
      </w:pPr>
    </w:p>
    <w:p w14:paraId="25540C2F">
      <w:pPr>
        <w:pStyle w:val="3"/>
      </w:pPr>
    </w:p>
    <w:p w14:paraId="2F830784"/>
    <w:p w14:paraId="4F45E71F">
      <w:pPr>
        <w:pStyle w:val="2"/>
      </w:pPr>
    </w:p>
    <w:p w14:paraId="04C5239B">
      <w:pPr>
        <w:ind w:firstLine="640" w:firstLineChars="200"/>
        <w:jc w:val="left"/>
        <w:rPr>
          <w:rFonts w:hint="eastAsia" w:ascii="仿宋_GB2312" w:hAnsi="仿宋_GB2312" w:eastAsia="仿宋_GB2312" w:cs="仿宋_GB2312"/>
          <w:color w:val="000000"/>
          <w:kern w:val="0"/>
          <w:sz w:val="32"/>
          <w:szCs w:val="32"/>
        </w:rPr>
      </w:pPr>
    </w:p>
    <w:p w14:paraId="6761BD76">
      <w:pPr>
        <w:ind w:firstLine="640" w:firstLineChars="200"/>
        <w:jc w:val="left"/>
        <w:rPr>
          <w:rFonts w:hint="eastAsia" w:ascii="仿宋_GB2312" w:hAnsi="仿宋_GB2312" w:eastAsia="仿宋_GB2312" w:cs="仿宋_GB2312"/>
          <w:color w:val="000000"/>
          <w:kern w:val="0"/>
          <w:sz w:val="32"/>
          <w:szCs w:val="32"/>
        </w:rPr>
      </w:pPr>
    </w:p>
    <w:p w14:paraId="7565444B">
      <w:pPr>
        <w:ind w:firstLine="640" w:firstLineChars="200"/>
        <w:jc w:val="left"/>
        <w:rPr>
          <w:rFonts w:hint="eastAsia" w:ascii="仿宋_GB2312" w:hAnsi="仿宋_GB2312" w:eastAsia="仿宋_GB2312" w:cs="仿宋_GB2312"/>
          <w:color w:val="000000"/>
          <w:kern w:val="0"/>
          <w:sz w:val="32"/>
          <w:szCs w:val="32"/>
        </w:rPr>
      </w:pPr>
    </w:p>
    <w:p w14:paraId="32443140">
      <w:pPr>
        <w:pStyle w:val="2"/>
        <w:rPr>
          <w:rFonts w:hint="eastAsia"/>
        </w:rPr>
      </w:pPr>
    </w:p>
    <w:p w14:paraId="50F12424">
      <w:pPr>
        <w:ind w:firstLine="640" w:firstLineChars="200"/>
        <w:jc w:val="left"/>
        <w:rPr>
          <w:rFonts w:hint="eastAsia" w:ascii="仿宋_GB2312" w:hAnsi="仿宋_GB2312" w:eastAsia="仿宋_GB2312" w:cs="仿宋_GB2312"/>
          <w:color w:val="000000"/>
          <w:kern w:val="0"/>
          <w:sz w:val="32"/>
          <w:szCs w:val="32"/>
        </w:rPr>
      </w:pPr>
    </w:p>
    <w:p w14:paraId="2DC914D6">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83B6A48">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455EB746">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三、</w:t>
      </w:r>
      <w:r>
        <w:rPr>
          <w:rFonts w:hint="eastAsia" w:ascii="仿宋_GB2312" w:hAnsi="仿宋_GB2312" w:eastAsia="仿宋_GB2312" w:cs="仿宋_GB2312"/>
          <w:color w:val="000000"/>
          <w:kern w:val="0"/>
          <w:sz w:val="32"/>
          <w:szCs w:val="32"/>
          <w:lang w:eastAsia="zh-CN"/>
        </w:rPr>
        <w:t>……</w:t>
      </w:r>
    </w:p>
    <w:p w14:paraId="28A0060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p>
    <w:p w14:paraId="3EA1636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r>
        <w:rPr>
          <w:rFonts w:hint="eastAsia" w:ascii="仿宋_GB2312" w:hAnsi="仿宋_GB2312" w:eastAsia="仿宋_GB2312" w:cs="仿宋_GB2312"/>
          <w:b/>
          <w:bCs/>
          <w:i/>
          <w:color w:val="FF0000"/>
          <w:kern w:val="0"/>
          <w:sz w:val="32"/>
          <w:szCs w:val="32"/>
          <w:lang w:val="en-US" w:eastAsia="zh-CN" w:bidi="ar-SA"/>
        </w:rPr>
        <w:t>（名词解释应包含本部门专有名词，如省财政厅应有对“财政事务”科目的解释，可参考中央相关部门的名词解释）</w:t>
      </w:r>
    </w:p>
    <w:p w14:paraId="0045BBDD">
      <w:pPr>
        <w:pStyle w:val="12"/>
        <w:jc w:val="center"/>
        <w:rPr>
          <w:rFonts w:hint="eastAsia" w:ascii="仿宋_GB2312" w:hAnsi="仿宋_GB2312" w:eastAsia="仿宋_GB2312" w:cs="仿宋_GB2312"/>
          <w:sz w:val="32"/>
          <w:szCs w:val="32"/>
        </w:rPr>
      </w:pPr>
    </w:p>
    <w:p w14:paraId="75BEB6B5">
      <w:pPr>
        <w:pStyle w:val="3"/>
      </w:pPr>
    </w:p>
    <w:p w14:paraId="76EE91C0"/>
    <w:p w14:paraId="3CE372A9">
      <w:pPr>
        <w:pStyle w:val="2"/>
      </w:pPr>
    </w:p>
    <w:p w14:paraId="6C69A5AC">
      <w:pPr>
        <w:pStyle w:val="3"/>
      </w:pPr>
    </w:p>
    <w:p w14:paraId="29CCE782"/>
    <w:p w14:paraId="4FEBE1BC">
      <w:pPr>
        <w:pStyle w:val="2"/>
      </w:pPr>
    </w:p>
    <w:p w14:paraId="3A020634">
      <w:pPr>
        <w:pStyle w:val="3"/>
      </w:pPr>
    </w:p>
    <w:p w14:paraId="668F573D"/>
    <w:p w14:paraId="6F51A741">
      <w:pPr>
        <w:pStyle w:val="2"/>
      </w:pPr>
    </w:p>
    <w:p w14:paraId="2FF1EE15">
      <w:pPr>
        <w:pStyle w:val="3"/>
      </w:pPr>
    </w:p>
    <w:p w14:paraId="1637A57E"/>
    <w:p w14:paraId="428B2EA8">
      <w:pPr>
        <w:pStyle w:val="2"/>
      </w:pPr>
    </w:p>
    <w:p w14:paraId="5B4BE576">
      <w:pPr>
        <w:pStyle w:val="3"/>
      </w:pPr>
    </w:p>
    <w:p w14:paraId="09A5EF57"/>
    <w:p w14:paraId="263F83B8">
      <w:pPr>
        <w:pStyle w:val="2"/>
      </w:pPr>
    </w:p>
    <w:p w14:paraId="2410757B">
      <w:pPr>
        <w:pStyle w:val="3"/>
      </w:pPr>
    </w:p>
    <w:p w14:paraId="651D7197"/>
    <w:p w14:paraId="0EE60D6D">
      <w:pPr>
        <w:pStyle w:val="2"/>
      </w:pPr>
    </w:p>
    <w:p w14:paraId="05E72C38">
      <w:pPr>
        <w:pStyle w:val="3"/>
      </w:pPr>
    </w:p>
    <w:p w14:paraId="1B97EB16"/>
    <w:p w14:paraId="531359B7"/>
    <w:p w14:paraId="237FB23F">
      <w:pPr>
        <w:pStyle w:val="2"/>
      </w:pPr>
    </w:p>
    <w:p w14:paraId="7FDC633F">
      <w:pPr>
        <w:pStyle w:val="12"/>
        <w:jc w:val="both"/>
        <w:rPr>
          <w:rFonts w:hint="eastAsia" w:ascii="方正小标宋_GBK" w:hAnsi="方正小标宋_GBK" w:eastAsia="方正小标宋_GBK" w:cs="方正小标宋_GBK"/>
          <w:sz w:val="72"/>
          <w:szCs w:val="72"/>
        </w:rPr>
      </w:pPr>
    </w:p>
    <w:p w14:paraId="6C503330">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195854FC">
      <w:pPr>
        <w:pStyle w:val="12"/>
        <w:jc w:val="both"/>
        <w:rPr>
          <w:rFonts w:hint="eastAsia" w:ascii="方正小标宋_GBK" w:hAnsi="方正小标宋_GBK" w:eastAsia="方正小标宋_GBK" w:cs="方正小标宋_GBK"/>
          <w:sz w:val="70"/>
          <w:szCs w:val="70"/>
          <w:lang w:eastAsia="zh-CN"/>
        </w:rPr>
      </w:pPr>
    </w:p>
    <w:p w14:paraId="2D909E7E">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70A1F6BD">
      <w:pPr>
        <w:ind w:firstLine="640" w:firstLineChars="200"/>
        <w:jc w:val="left"/>
        <w:rPr>
          <w:rFonts w:hint="eastAsia" w:ascii="宋体" w:hAnsi="宋体" w:eastAsia="宋体" w:cs="黑体"/>
          <w:b/>
          <w:color w:val="000000"/>
          <w:kern w:val="0"/>
          <w:sz w:val="32"/>
          <w:szCs w:val="32"/>
          <w:lang w:val="en-US" w:eastAsia="zh-CN"/>
        </w:rPr>
      </w:pPr>
    </w:p>
    <w:p w14:paraId="6B23CE7D">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3BD472AA">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1FD0AB2B"/>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B3FD518C"/>
    <w:multiLevelType w:val="singleLevel"/>
    <w:tmpl w:val="B3FD518C"/>
    <w:lvl w:ilvl="0" w:tentative="0">
      <w:start w:val="1"/>
      <w:numFmt w:val="decimal"/>
      <w:suff w:val="nothing"/>
      <w:lvlText w:val="%1、"/>
      <w:lvlJc w:val="left"/>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920BB28"/>
    <w:multiLevelType w:val="singleLevel"/>
    <w:tmpl w:val="4920BB28"/>
    <w:lvl w:ilvl="0" w:tentative="0">
      <w:start w:val="2"/>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A1044"/>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11944E2C"/>
    <w:rsid w:val="12583BA5"/>
    <w:rsid w:val="13BA5B9C"/>
    <w:rsid w:val="17547388"/>
    <w:rsid w:val="1D97DEFF"/>
    <w:rsid w:val="1DFF72E5"/>
    <w:rsid w:val="1EFC6F07"/>
    <w:rsid w:val="1F0527A6"/>
    <w:rsid w:val="22AC03C2"/>
    <w:rsid w:val="283B15FE"/>
    <w:rsid w:val="28AD6E3B"/>
    <w:rsid w:val="29341AF5"/>
    <w:rsid w:val="298B4AE3"/>
    <w:rsid w:val="2A2E377B"/>
    <w:rsid w:val="2FDF85B8"/>
    <w:rsid w:val="2FFFEE04"/>
    <w:rsid w:val="31322DBE"/>
    <w:rsid w:val="31C95635"/>
    <w:rsid w:val="34DF85B0"/>
    <w:rsid w:val="356D6ABA"/>
    <w:rsid w:val="395B397F"/>
    <w:rsid w:val="3B8F36BC"/>
    <w:rsid w:val="3BF045F9"/>
    <w:rsid w:val="43EB5BA5"/>
    <w:rsid w:val="491FF225"/>
    <w:rsid w:val="4EC310A1"/>
    <w:rsid w:val="4FFD214C"/>
    <w:rsid w:val="5352765A"/>
    <w:rsid w:val="5777D4F5"/>
    <w:rsid w:val="57EBA9D6"/>
    <w:rsid w:val="57F22B6F"/>
    <w:rsid w:val="59DD8326"/>
    <w:rsid w:val="5B555777"/>
    <w:rsid w:val="5D32536C"/>
    <w:rsid w:val="5DEF592A"/>
    <w:rsid w:val="5FC6BB1E"/>
    <w:rsid w:val="5FF720F1"/>
    <w:rsid w:val="622964C1"/>
    <w:rsid w:val="627666FF"/>
    <w:rsid w:val="66B43DFE"/>
    <w:rsid w:val="67FF5C0B"/>
    <w:rsid w:val="6BAA4A2F"/>
    <w:rsid w:val="6DDEC5C0"/>
    <w:rsid w:val="6EFC0924"/>
    <w:rsid w:val="6F9E8580"/>
    <w:rsid w:val="6FB74722"/>
    <w:rsid w:val="6FEF8B7E"/>
    <w:rsid w:val="717FE77F"/>
    <w:rsid w:val="719C57E0"/>
    <w:rsid w:val="71A6591B"/>
    <w:rsid w:val="737D59BA"/>
    <w:rsid w:val="737F32B1"/>
    <w:rsid w:val="73BD3FCA"/>
    <w:rsid w:val="770E33B0"/>
    <w:rsid w:val="776BDA01"/>
    <w:rsid w:val="77C37683"/>
    <w:rsid w:val="79FF515B"/>
    <w:rsid w:val="7B282809"/>
    <w:rsid w:val="7CF60710"/>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24</Pages>
  <Words>7918</Words>
  <Characters>8505</Characters>
  <Lines>63</Lines>
  <Paragraphs>18</Paragraphs>
  <TotalTime>3</TotalTime>
  <ScaleCrop>false</ScaleCrop>
  <LinksUpToDate>false</LinksUpToDate>
  <CharactersWithSpaces>8538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茜</cp:lastModifiedBy>
  <cp:lastPrinted>2024-08-11T18:20:00Z</cp:lastPrinted>
  <dcterms:modified xsi:type="dcterms:W3CDTF">2026-09-21T08:07:18Z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D2C8E1BF4FA4437A9A72B011722CA2FF_13</vt:lpwstr>
  </property>
  <property fmtid="{D5CDD505-2E9C-101B-9397-08002B2CF9AE}" pid="4" name="KSOTemplateDocerSaveRecord">
    <vt:lpwstr>eyJoZGlkIjoiNWMwZjU3MjVhM2UyYmVhNTE2MmY0NzdiZmRjMWVkOTAiLCJ1c2VySWQiOiIxNDgxMDAwNzIyIn0=</vt:lpwstr>
  </property>
</Properties>
</file>