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9FFA4"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 w14:paraId="7744C019"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34C773AC">
      <w:pPr>
        <w:jc w:val="center"/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</w:pP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  <w:lang w:eastAsia="zh-CN"/>
        </w:rPr>
        <w:t>2025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  <w:t>年度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  <w:lang w:val="en-US" w:eastAsia="zh-CN"/>
        </w:rPr>
        <w:t>岳阳市养老和工伤保险服务中心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  <w:t>部门（单位）整体支出</w:t>
      </w:r>
    </w:p>
    <w:p w14:paraId="5F8CA39C">
      <w:pPr>
        <w:jc w:val="center"/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</w:pP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  <w:t>绩效自评报告</w:t>
      </w:r>
    </w:p>
    <w:p w14:paraId="3E2B890D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 w14:paraId="18AC8D6F">
      <w:pPr>
        <w:jc w:val="center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</w:p>
    <w:p w14:paraId="42F455B5">
      <w:pPr>
        <w:jc w:val="center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</w:p>
    <w:p w14:paraId="23EB27B0">
      <w:pPr>
        <w:jc w:val="center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</w:p>
    <w:p w14:paraId="702FC92D">
      <w:pPr>
        <w:jc w:val="center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</w:p>
    <w:p w14:paraId="409331C6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01E23D4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368E38B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F157AFF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393B6A2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5A8EE425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3CF704E3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0EFE75D">
      <w:pPr>
        <w:spacing w:line="600" w:lineRule="exact"/>
        <w:jc w:val="center"/>
        <w:rPr>
          <w:rFonts w:hint="default" w:ascii="Times New Roman" w:hAnsi="Times New Roman" w:eastAsia="FangSong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  <w:u w:val="single"/>
        </w:rPr>
        <w:t>（盖章）</w:t>
      </w:r>
    </w:p>
    <w:p w14:paraId="727F51DA">
      <w:pPr>
        <w:spacing w:line="600" w:lineRule="exact"/>
        <w:jc w:val="center"/>
        <w:rPr>
          <w:rFonts w:hint="default" w:ascii="Times New Roman" w:hAnsi="Times New Roman" w:eastAsia="KaiTi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KaiTi_GB2312" w:cs="Times New Roman"/>
          <w:sz w:val="32"/>
          <w:szCs w:val="32"/>
          <w:highlight w:val="none"/>
          <w:lang w:val="en-US" w:eastAsia="zh-CN"/>
        </w:rPr>
        <w:t>2026</w:t>
      </w:r>
      <w:r>
        <w:rPr>
          <w:rFonts w:hint="default" w:ascii="Times New Roman" w:hAnsi="Times New Roman" w:eastAsia="KaiTi_GB2312" w:cs="Times New Roman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KaiTi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KaiTi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KaiTi_GB2312" w:cs="Times New Roman"/>
          <w:sz w:val="32"/>
          <w:szCs w:val="32"/>
          <w:highlight w:val="none"/>
          <w:lang w:val="en-US" w:eastAsia="zh-CN"/>
        </w:rPr>
        <w:t>22</w:t>
      </w:r>
      <w:r>
        <w:rPr>
          <w:rFonts w:hint="default" w:ascii="Times New Roman" w:hAnsi="Times New Roman" w:eastAsia="KaiTi_GB2312" w:cs="Times New Roman"/>
          <w:sz w:val="32"/>
          <w:szCs w:val="32"/>
          <w:highlight w:val="none"/>
        </w:rPr>
        <w:t>日</w:t>
      </w:r>
    </w:p>
    <w:p w14:paraId="080A50E0">
      <w:pPr>
        <w:jc w:val="center"/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（此页为封面）</w:t>
      </w: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br w:type="page"/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  <w:lang w:eastAsia="zh-CN"/>
        </w:rPr>
        <w:t>2025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  <w:t>年度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  <w:lang w:val="en-US" w:eastAsia="zh-CN"/>
        </w:rPr>
        <w:t>岳阳市养老和工伤保险服务中心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  <w:t>部门（单位）整体支出</w:t>
      </w:r>
    </w:p>
    <w:p w14:paraId="50377EAF">
      <w:pPr>
        <w:jc w:val="center"/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</w:pP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  <w:t>绩效自评报告</w:t>
      </w:r>
    </w:p>
    <w:p w14:paraId="1EAC17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</w:p>
    <w:p w14:paraId="680286C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 w14:paraId="0F4F5A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岳阳市养老和工伤保险服务中心位于岳阳楼区炮台山路102号，隶属岳阳市人力资源和社会保障局，是专门从事企业养老保险、机关事业单位养老保险、工伤保险经办工作的公益一类副处级财政全额拨款事业单位。现有人员编制</w:t>
      </w:r>
      <w:r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val="en-US" w:eastAsia="zh-CN"/>
        </w:rPr>
        <w:t>85</w:t>
      </w: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名，下设部室：综合部、参保登记部、企保个人账户部、企保退休待遇部、工伤待遇部、工伤预防部、城居保部、内控稽核部、财务部、机关事保所、离退服务所、工伤事故勘察所、</w:t>
      </w:r>
      <w:r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val="en-US" w:eastAsia="zh-CN"/>
        </w:rPr>
        <w:t>统计信息部</w:t>
      </w:r>
      <w:r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eastAsia="zh-CN"/>
        </w:rPr>
        <w:t>。</w:t>
      </w:r>
    </w:p>
    <w:p w14:paraId="7B6D963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 w14:paraId="7E1EF72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  <w:t>（一）基本支出情况</w:t>
      </w:r>
    </w:p>
    <w:p w14:paraId="542CB93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2025年基本支出为1540.38万元，其中：人员经费1373.89万元、日常公用经费166.49万元。</w:t>
      </w:r>
    </w:p>
    <w:p w14:paraId="077320A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三公经费使用情况：三公经费合计使用0.41万元，全部为公务接待费，接待费实际开支占年初预算的20.59%。2025年“三公”经费支出决算数小于预算数的主要原因是认真贯彻落实中央“八项规定”精神和厉行节约要求，进一步从严控制“三公”经费开支，全年实际支出与预算有所节约。</w:t>
      </w:r>
    </w:p>
    <w:p w14:paraId="34126674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  <w:t>项目支出情况</w:t>
      </w:r>
    </w:p>
    <w:p w14:paraId="261EE69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本单位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2025</w:t>
      </w: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年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项目支出为123.69万元，其中一般公共预算财政拨款64.25万元，国有资本经营预算财政拨款59.44万元。</w:t>
      </w:r>
    </w:p>
    <w:p w14:paraId="1709343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三、政府性基金预算支出情况</w:t>
      </w:r>
    </w:p>
    <w:p w14:paraId="6D7B47A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本单位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2025</w:t>
      </w: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年度无政府性基金预算支出。</w:t>
      </w:r>
    </w:p>
    <w:p w14:paraId="750DBE1E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 w14:paraId="4FEAF53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2025年国有资本经营预算支出为59.44万元，为国有企业退休人员社会化管理补助支出，均为项目支出，该项目为非基建项目，用于市本级国有企业退休职工社会化管理服务、短信服务、政策宣传、上门资格认证服务等开支。具体为：办公费17.00万元、印刷费15.00万元、劳务费0.06万元、委托业务费25.37、生活补助2.01万元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。</w:t>
      </w:r>
    </w:p>
    <w:p w14:paraId="7B05EEBE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 w14:paraId="093E015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本单位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2025</w:t>
      </w: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年度在经费账套内无社会保险基金预算支出，社会保险基金设有独立账套核算，单独进行了绩效评价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。</w:t>
      </w:r>
    </w:p>
    <w:p w14:paraId="4174F9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 w14:paraId="42546F6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1、预算配置方面：财政供养人员控制在预算编制内。</w:t>
      </w:r>
    </w:p>
    <w:p w14:paraId="67E701A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2、预算管理方面：本着厉行节俭、只减不增的原则，严格执行“三公经费”标准和审批制度与程序，公用经费、“三公经费”都得到了有效控制。</w:t>
      </w:r>
    </w:p>
    <w:p w14:paraId="258B024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3、资产管理方面：健全内部控制制度，资产配置合理。对需要经过政府采购的项目均进行了政府采购，制度执行总体有效。</w:t>
      </w:r>
    </w:p>
    <w:p w14:paraId="296C3C8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4、职责履行方面：较好</w:t>
      </w:r>
      <w:r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eastAsia="zh-CN"/>
        </w:rPr>
        <w:t>地</w:t>
      </w: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完成了市本级企业职工基本养老保险、机关事业单位养老保险、工伤保险经办管理工作，切实大力宣传各种政策制度，优化服务，社会效益良好，社会公众满意度高。</w:t>
      </w:r>
    </w:p>
    <w:p w14:paraId="6D90C09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七、存在的问题及原因分析</w:t>
      </w:r>
    </w:p>
    <w:p w14:paraId="0F37B6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认真对照市委市政府和局党组的要求，当前工作还存在着一定困难与问题，一是养老保险参保扩面和提高缴费率有一定难度。养老保险已基本实现全覆盖，目前未参保人员较少，加之养老保险缴费额逐年提高，参保人员存在一定的缴费负担，参保扩面与提高缴费率工作还需进一步攻坚克难。二是追缴违规领取社保基金有一定难度。由于目前暂未实现与公安、民政等部门的实时数据共享，只能通过人社部或省人社厅下发预警信息且信息预警准确度不高，仅靠人社部门追缴手段有限。</w:t>
      </w:r>
    </w:p>
    <w:p w14:paraId="32AA4F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</w:p>
    <w:p w14:paraId="5F009F53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 w14:paraId="300C5B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一）坚持党建引领。把党的政治建设摆在首位，把旗帜鲜明讲政治贯穿于经办工作的全过程、各方面，守好意识形态工作主阵地。推进全面从严治党，深化党风廉政建设和“三型四有”、作风建设主题活动，加强作风建设，夯实全市养老和工伤保险系统干部职工真抓实干的工作作风。</w:t>
      </w:r>
    </w:p>
    <w:p w14:paraId="379E8B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二）提升社会保障。继续落实企业职工养老保险全国统筹和工伤保险省级统筹。聚焦“温暖社保”行动计划，加大全面参保专项行动力度。推行社保服务“一窗办”“暖心办”“延伸办”，推进便民服务，实现经办能力全面提升。深入开展</w:t>
      </w:r>
      <w:bookmarkStart w:id="0" w:name="_GoBack"/>
      <w:bookmarkEnd w:id="0"/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集中宣传活动，提升宣传效果。</w:t>
      </w:r>
    </w:p>
    <w:p w14:paraId="711B2A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（三）维护基金安全。加强部稽核考核系统、省社保中心、基金监管预警系统等渠道下发的疑点数据的分发和核查，加强部门联动,以“零容忍”态度严厉打击、严肃查处违规骗取社会保险待遇违法违纪行为。</w:t>
      </w:r>
    </w:p>
    <w:p w14:paraId="74EDD6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（四）突出创先争优。强化绩效考核和真抓实干督查激励考核，严格落实考核机制，全面完成省委省政府、市委市政府以及省、市人社部门下达的目标任务，推动我市社会保障事业高质量、可持续发展。</w:t>
      </w:r>
    </w:p>
    <w:p w14:paraId="5C84E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</w:p>
    <w:p w14:paraId="011400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</w:p>
    <w:p w14:paraId="596409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九、部门整体支出绩效自评结果拟应用和公开情况</w:t>
      </w:r>
    </w:p>
    <w:p w14:paraId="7F3599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本单位部门整体支出绩效自评报告已在本单位门户网站公开。</w:t>
      </w:r>
    </w:p>
    <w:p w14:paraId="1F209E2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十、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 w14:paraId="13F919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FangSong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FangSong_GB2312" w:cs="Times New Roman"/>
          <w:sz w:val="32"/>
          <w:szCs w:val="32"/>
          <w:highlight w:val="none"/>
          <w:lang w:val="en-US" w:eastAsia="zh-CN"/>
        </w:rPr>
        <w:t>无。</w:t>
      </w:r>
    </w:p>
    <w:p w14:paraId="2E6C9E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ZXiaoBiaoSong-B05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53C349"/>
    <w:multiLevelType w:val="singleLevel"/>
    <w:tmpl w:val="9553C34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674F6A9"/>
    <w:multiLevelType w:val="singleLevel"/>
    <w:tmpl w:val="3674F6A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F067417"/>
    <w:multiLevelType w:val="singleLevel"/>
    <w:tmpl w:val="5F0674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465031E"/>
    <w:multiLevelType w:val="singleLevel"/>
    <w:tmpl w:val="7465031E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463BE"/>
    <w:rsid w:val="00501EE6"/>
    <w:rsid w:val="06B156A8"/>
    <w:rsid w:val="080A5070"/>
    <w:rsid w:val="0A1B17B6"/>
    <w:rsid w:val="0BAC78DB"/>
    <w:rsid w:val="0C12272B"/>
    <w:rsid w:val="1C3E1334"/>
    <w:rsid w:val="1DF443A0"/>
    <w:rsid w:val="2F5C1DA5"/>
    <w:rsid w:val="2FA06136"/>
    <w:rsid w:val="31B77767"/>
    <w:rsid w:val="359A3628"/>
    <w:rsid w:val="466B7502"/>
    <w:rsid w:val="49CB13F2"/>
    <w:rsid w:val="4C0A12CF"/>
    <w:rsid w:val="4EA43D60"/>
    <w:rsid w:val="5A753B98"/>
    <w:rsid w:val="67024A05"/>
    <w:rsid w:val="6B0625EA"/>
    <w:rsid w:val="6BEB4146"/>
    <w:rsid w:val="6C3B62C3"/>
    <w:rsid w:val="7CC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1730</Words>
  <Characters>1821</Characters>
  <Lines>0</Lines>
  <Paragraphs>0</Paragraphs>
  <TotalTime>17</TotalTime>
  <ScaleCrop>false</ScaleCrop>
  <LinksUpToDate>false</LinksUpToDate>
  <CharactersWithSpaces>1828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2025-06-23T09:39:00Z</dcterms:created>
  <dc:creator>.</dc:creator>
  <cp:lastModifiedBy>.</cp:lastModifiedBy>
  <cp:lastPrinted>2025-06-27T08:10:00Z</cp:lastPrinted>
  <dcterms:modified xsi:type="dcterms:W3CDTF">2026-07-22T09:53:12Z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1C31B7CE8BFC4BE7AA4DF745F88F58E4_11</vt:lpwstr>
  </property>
  <property fmtid="{D5CDD505-2E9C-101B-9397-08002B2CF9AE}" pid="4" name="KSOTemplateDocerSaveRecord">
    <vt:lpwstr>eyJoZGlkIjoiMTg0ZDQ4ZDc1NTM3Zjc0NmEzYjUzNjM5MDc2NjBjMWIiLCJ1c2VySWQiOiI2ODA2MTI2MTEifQ==</vt:lpwstr>
  </property>
</Properties>
</file>