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年度岳阳市绿色建筑产业发展服务中心整体支出绩效自评报告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spacing w:line="600" w:lineRule="exact"/>
        <w:jc w:val="center"/>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default" w:ascii="Times New Roman" w:hAnsi="Times New Roman" w:eastAsia="仿宋_GB2312" w:cs="Times New Roman"/>
          <w:sz w:val="32"/>
          <w:szCs w:val="32"/>
          <w:u w:val="single"/>
        </w:rPr>
        <w:t>（盖章）</w:t>
      </w:r>
    </w:p>
    <w:p>
      <w:pPr>
        <w:spacing w:line="600" w:lineRule="exact"/>
        <w:jc w:val="center"/>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2026</w:t>
      </w:r>
      <w:r>
        <w:rPr>
          <w:rFonts w:hint="default" w:ascii="Times New Roman" w:hAnsi="Times New Roman" w:eastAsia="楷体_GB2312" w:cs="Times New Roman"/>
          <w:sz w:val="32"/>
          <w:szCs w:val="32"/>
        </w:rPr>
        <w:t>年</w:t>
      </w:r>
      <w:r>
        <w:rPr>
          <w:rFonts w:hint="eastAsia" w:ascii="Times New Roman" w:hAnsi="Times New Roman" w:eastAsia="楷体_GB2312" w:cs="Times New Roman"/>
          <w:sz w:val="32"/>
          <w:szCs w:val="32"/>
          <w:lang w:val="en-US" w:eastAsia="zh-CN"/>
        </w:rPr>
        <w:t>3</w:t>
      </w:r>
      <w:r>
        <w:rPr>
          <w:rFonts w:hint="default" w:ascii="Times New Roman" w:hAnsi="Times New Roman" w:eastAsia="楷体_GB2312" w:cs="Times New Roman"/>
          <w:sz w:val="32"/>
          <w:szCs w:val="32"/>
        </w:rPr>
        <w:t>月</w:t>
      </w:r>
      <w:r>
        <w:rPr>
          <w:rFonts w:hint="eastAsia" w:ascii="Times New Roman" w:hAnsi="Times New Roman" w:eastAsia="楷体_GB2312" w:cs="Times New Roman"/>
          <w:sz w:val="32"/>
          <w:szCs w:val="32"/>
          <w:lang w:val="en-US" w:eastAsia="zh-CN"/>
        </w:rPr>
        <w:t>30</w:t>
      </w:r>
      <w:r>
        <w:rPr>
          <w:rFonts w:hint="default" w:ascii="Times New Roman" w:hAnsi="Times New Roman" w:eastAsia="楷体_GB2312" w:cs="Times New Roman"/>
          <w:sz w:val="32"/>
          <w:szCs w:val="32"/>
        </w:rPr>
        <w:t>日</w:t>
      </w:r>
    </w:p>
    <w:p>
      <w:pPr>
        <w:jc w:val="center"/>
        <w:rPr>
          <w:rFonts w:hint="default" w:ascii="Times New Roman" w:hAnsi="Times New Roman" w:eastAsia="仿宋_GB2312" w:cs="Times New Roman"/>
          <w:sz w:val="32"/>
          <w:szCs w:val="32"/>
        </w:rPr>
      </w:pPr>
    </w:p>
    <w:p>
      <w:pPr>
        <w:jc w:val="both"/>
        <w:rPr>
          <w:rFonts w:hint="eastAsia" w:ascii="Times New Roman" w:hAnsi="Times New Roman" w:eastAsia="仿宋_GB2312" w:cs="Times New Roman"/>
          <w:sz w:val="32"/>
          <w:szCs w:val="32"/>
          <w:lang w:eastAsia="zh-CN"/>
        </w:rPr>
      </w:pPr>
    </w:p>
    <w:p>
      <w:pPr>
        <w:jc w:val="center"/>
        <w:rPr>
          <w:rFonts w:hint="eastAsia" w:ascii="方正小标宋简体" w:hAnsi="方正小标宋简体" w:eastAsia="方正小标宋简体" w:cs="方正小标宋简体"/>
          <w:sz w:val="44"/>
          <w:szCs w:val="44"/>
        </w:rPr>
      </w:pPr>
      <w:r>
        <w:rPr>
          <w:rFonts w:hint="default" w:ascii="Times New Roman" w:hAnsi="Times New Roman" w:eastAsia="仿宋_GB2312" w:cs="Times New Roman"/>
          <w:sz w:val="32"/>
          <w:szCs w:val="32"/>
        </w:rPr>
        <w:br w:type="page"/>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年度岳阳市绿色建筑产业发展服务中心整体支出绩效自评报告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numPr>
          <w:ilvl w:val="0"/>
          <w:numId w:val="1"/>
        </w:numPr>
        <w:tabs>
          <w:tab w:val="center" w:pos="4153"/>
        </w:tabs>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部门（单位）基本情况</w:t>
      </w:r>
      <w:r>
        <w:rPr>
          <w:rFonts w:hint="eastAsia" w:ascii="Times New Roman" w:hAnsi="Times New Roman" w:eastAsia="黑体" w:cs="Times New Roman"/>
          <w:sz w:val="32"/>
          <w:szCs w:val="32"/>
          <w:lang w:eastAsia="zh-CN"/>
        </w:rPr>
        <w:tab/>
      </w:r>
    </w:p>
    <w:p>
      <w:pPr>
        <w:keepNext w:val="0"/>
        <w:keepLines w:val="0"/>
        <w:widowControl w:val="0"/>
        <w:suppressLineNumbers w:val="0"/>
        <w:spacing w:before="0" w:beforeAutospacing="0" w:after="0" w:afterAutospacing="0" w:line="600" w:lineRule="exact"/>
        <w:ind w:left="0" w:right="0" w:firstLine="643" w:firstLineChars="200"/>
        <w:jc w:val="both"/>
        <w:rPr>
          <w:rFonts w:hint="eastAsia" w:ascii="仿宋_GB2312" w:eastAsia="仿宋_GB2312" w:cs="仿宋_GB2312"/>
          <w:b/>
          <w:bCs/>
          <w:sz w:val="32"/>
          <w:szCs w:val="32"/>
          <w:lang w:val="en-US"/>
        </w:rPr>
      </w:pPr>
      <w:r>
        <w:rPr>
          <w:rFonts w:hint="eastAsia" w:ascii="仿宋_GB2312" w:hAnsi="Times New Roman" w:eastAsia="仿宋_GB2312" w:cs="仿宋_GB2312"/>
          <w:b/>
          <w:bCs/>
          <w:snapToGrid w:val="0"/>
          <w:color w:val="000000"/>
          <w:kern w:val="2"/>
          <w:sz w:val="32"/>
          <w:szCs w:val="32"/>
          <w:lang w:val="en-US" w:eastAsia="zh-CN" w:bidi="ar"/>
        </w:rPr>
        <w:t>1.为局机关提供支持保障的职能：</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①贯彻执行《湖南省绿色建筑发展条例》、《湖南省民用建筑节能条例》、《湖南省新型墙体材料推广应用条例》、《湖南省散装水泥条例》等法律法规和政策规定，结合岳阳市实际情况，拟定本市相关政策措施。</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②承担绿色建筑、建筑节能、新型墙体材料、散装水泥（含预拌混凝土、预拌砂浆、水泥制品）的技术检查工作及相关政策标准执行过程中违法违规行为查处的事务性工作。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③负责绿色建筑、新型墙体材料、散装水泥（预拌混凝土、预拌砂浆、水泥制品）、建筑节能的推广应用、质量监督、绿色发展及参与建筑工程竣工验收等事务性工作。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④负责工程建设领域内部新型墙体材料、散装水泥推广应用工作，承担新型墙体材料、预拌混凝土、预拌砂浆认证认定事务性工作。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⑤负责组织全市绿色建筑及相关的建筑节能、推广散装水泥、墙体材料革新和推广装配式建筑的技术培训、信息交流、情况统计及宣传普及工作。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⑥指导全市各县市区墙体材料改革、散装水泥、绿色建筑、建筑节能、装配式建筑等行业工作。</w:t>
      </w:r>
    </w:p>
    <w:p>
      <w:pPr>
        <w:keepNext w:val="0"/>
        <w:keepLines w:val="0"/>
        <w:widowControl w:val="0"/>
        <w:suppressLineNumbers w:val="0"/>
        <w:spacing w:before="0" w:beforeAutospacing="0" w:after="0" w:afterAutospacing="0" w:line="600" w:lineRule="exact"/>
        <w:ind w:left="0" w:right="0" w:firstLine="643" w:firstLineChars="200"/>
        <w:jc w:val="both"/>
        <w:rPr>
          <w:rFonts w:hint="eastAsia" w:ascii="仿宋_GB2312" w:eastAsia="仿宋_GB2312" w:cs="仿宋_GB2312"/>
          <w:b/>
          <w:bCs/>
          <w:sz w:val="32"/>
          <w:szCs w:val="32"/>
          <w:lang w:val="en-US"/>
        </w:rPr>
      </w:pPr>
      <w:r>
        <w:rPr>
          <w:rFonts w:hint="eastAsia" w:ascii="仿宋_GB2312" w:hAnsi="Times New Roman" w:eastAsia="仿宋_GB2312" w:cs="仿宋_GB2312"/>
          <w:b/>
          <w:bCs/>
          <w:snapToGrid w:val="0"/>
          <w:color w:val="000000"/>
          <w:kern w:val="2"/>
          <w:sz w:val="32"/>
          <w:szCs w:val="32"/>
          <w:lang w:val="en-US" w:eastAsia="zh-CN" w:bidi="ar"/>
        </w:rPr>
        <w:t>2.面向社会提供公益服务的职能：</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①负责监督指导全市新型墙体材料、散装水泥、预拌混凝土、预拌砂浆、装配式建筑、建筑节能等新型建筑材料的产品质量建设；</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②负责指导全市新建、改建、扩建新型墙体材料项目产品研发、生产技术和工艺；指导全市新型墙体材料产品升级认定和淘汰落后产能工作；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③负责指导协调全市散装水泥的生产、运输、使用以及新建、扩建预拌混凝土和预拌砂浆项目工作。</w:t>
      </w:r>
    </w:p>
    <w:p>
      <w:pPr>
        <w:keepNext w:val="0"/>
        <w:keepLines w:val="0"/>
        <w:widowControl w:val="0"/>
        <w:suppressLineNumbers w:val="0"/>
        <w:spacing w:before="0" w:beforeAutospacing="0" w:after="0" w:afterAutospacing="0" w:line="600" w:lineRule="exact"/>
        <w:ind w:left="0" w:right="0" w:firstLine="643" w:firstLineChars="200"/>
        <w:jc w:val="both"/>
        <w:rPr>
          <w:rFonts w:hint="eastAsia" w:ascii="Times New Roman" w:hAnsi="Times New Roman" w:eastAsia="黑体" w:cs="Times New Roman"/>
          <w:sz w:val="32"/>
          <w:szCs w:val="32"/>
          <w:lang w:eastAsia="zh-CN"/>
        </w:rPr>
      </w:pPr>
      <w:r>
        <w:rPr>
          <w:rFonts w:hint="eastAsia" w:ascii="仿宋_GB2312" w:hAnsi="Times New Roman" w:eastAsia="仿宋_GB2312" w:cs="仿宋_GB2312"/>
          <w:b/>
          <w:bCs/>
          <w:snapToGrid w:val="0"/>
          <w:color w:val="000000"/>
          <w:kern w:val="2"/>
          <w:sz w:val="32"/>
          <w:szCs w:val="32"/>
          <w:lang w:val="en-US" w:eastAsia="zh-CN" w:bidi="ar"/>
        </w:rPr>
        <w:t>3.完成市住房和城乡建设局交办的其他任务。</w:t>
      </w:r>
    </w:p>
    <w:p>
      <w:pPr>
        <w:pStyle w:val="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pPr>
        <w:pStyle w:val="5"/>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（一）基本支出情况</w:t>
      </w:r>
    </w:p>
    <w:p>
      <w:pPr>
        <w:keepNext w:val="0"/>
        <w:keepLines w:val="0"/>
        <w:widowControl/>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eastAsia" w:ascii="Times New Roman" w:hAnsi="Times New Roman" w:eastAsia="仿宋_GB2312" w:cs="仿宋_GB2312"/>
          <w:color w:val="000000"/>
          <w:kern w:val="0"/>
          <w:sz w:val="32"/>
          <w:szCs w:val="32"/>
          <w:lang w:val="en-US" w:eastAsia="zh-CN" w:bidi="ar"/>
        </w:rPr>
        <w:t>基本支出主要是保障机构正常运转、完成日常工作任务而发生的各项支出，包括在职和退休人员工资福利支出、三公经费、水电、办公经费等商品和服务支出。</w:t>
      </w:r>
    </w:p>
    <w:p>
      <w:pPr>
        <w:keepNext w:val="0"/>
        <w:keepLines w:val="0"/>
        <w:widowControl/>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0"/>
          <w:sz w:val="32"/>
          <w:szCs w:val="32"/>
          <w:lang w:val="en-US" w:eastAsia="zh-CN" w:bidi="ar"/>
        </w:rPr>
        <w:t>1</w:t>
      </w:r>
      <w:r>
        <w:rPr>
          <w:rFonts w:hint="eastAsia" w:ascii="Times New Roman" w:hAnsi="Times New Roman" w:eastAsia="仿宋_GB2312" w:cs="仿宋_GB2312"/>
          <w:color w:val="000000"/>
          <w:kern w:val="0"/>
          <w:sz w:val="32"/>
          <w:szCs w:val="32"/>
          <w:lang w:val="en-US" w:eastAsia="zh-CN" w:bidi="ar"/>
        </w:rPr>
        <w:t>、基本支出具体使用情况：工资福利支出为</w:t>
      </w:r>
      <w:r>
        <w:rPr>
          <w:rFonts w:hint="default" w:ascii="Times New Roman" w:hAnsi="Times New Roman" w:eastAsia="仿宋_GB2312" w:cs="Times New Roman"/>
          <w:color w:val="000000"/>
          <w:kern w:val="0"/>
          <w:sz w:val="32"/>
          <w:szCs w:val="32"/>
          <w:lang w:val="en-US" w:eastAsia="zh-CN" w:bidi="ar"/>
        </w:rPr>
        <w:t>127.98</w:t>
      </w:r>
      <w:r>
        <w:rPr>
          <w:rFonts w:hint="eastAsia" w:ascii="Times New Roman" w:hAnsi="Times New Roman" w:eastAsia="仿宋_GB2312" w:cs="仿宋_GB2312"/>
          <w:color w:val="000000"/>
          <w:kern w:val="0"/>
          <w:sz w:val="32"/>
          <w:szCs w:val="32"/>
          <w:lang w:val="en-US" w:eastAsia="zh-CN" w:bidi="ar"/>
        </w:rPr>
        <w:t>万；商品和服务支出为</w:t>
      </w:r>
      <w:r>
        <w:rPr>
          <w:rFonts w:hint="default" w:ascii="Times New Roman" w:hAnsi="Times New Roman" w:eastAsia="仿宋_GB2312" w:cs="Times New Roman"/>
          <w:color w:val="000000"/>
          <w:kern w:val="0"/>
          <w:sz w:val="32"/>
          <w:szCs w:val="32"/>
          <w:lang w:val="en-US" w:eastAsia="zh-CN" w:bidi="ar"/>
        </w:rPr>
        <w:t>18.75</w:t>
      </w:r>
      <w:r>
        <w:rPr>
          <w:rFonts w:hint="eastAsia" w:ascii="Times New Roman" w:hAnsi="Times New Roman" w:eastAsia="仿宋_GB2312" w:cs="仿宋_GB2312"/>
          <w:color w:val="000000"/>
          <w:kern w:val="0"/>
          <w:sz w:val="32"/>
          <w:szCs w:val="32"/>
          <w:lang w:val="en-US" w:eastAsia="zh-CN" w:bidi="ar"/>
        </w:rPr>
        <w:t>万；对个人和家庭的补助为</w:t>
      </w:r>
      <w:r>
        <w:rPr>
          <w:rFonts w:hint="default" w:ascii="Times New Roman" w:hAnsi="Times New Roman" w:eastAsia="仿宋_GB2312" w:cs="Times New Roman"/>
          <w:color w:val="000000"/>
          <w:kern w:val="0"/>
          <w:sz w:val="32"/>
          <w:szCs w:val="32"/>
          <w:lang w:val="en-US" w:eastAsia="zh-CN" w:bidi="ar"/>
        </w:rPr>
        <w:t>52.62</w:t>
      </w:r>
      <w:r>
        <w:rPr>
          <w:rFonts w:hint="eastAsia" w:ascii="Times New Roman" w:hAnsi="Times New Roman" w:eastAsia="仿宋_GB2312" w:cs="仿宋_GB2312"/>
          <w:color w:val="000000"/>
          <w:kern w:val="0"/>
          <w:sz w:val="32"/>
          <w:szCs w:val="32"/>
          <w:lang w:val="en-US" w:eastAsia="zh-CN" w:bidi="ar"/>
        </w:rPr>
        <w:t>万；资本性支出为</w:t>
      </w:r>
      <w:r>
        <w:rPr>
          <w:rFonts w:hint="default" w:ascii="Times New Roman" w:hAnsi="Times New Roman" w:eastAsia="仿宋_GB2312" w:cs="Times New Roman"/>
          <w:color w:val="000000"/>
          <w:kern w:val="0"/>
          <w:sz w:val="32"/>
          <w:szCs w:val="32"/>
          <w:lang w:val="en-US" w:eastAsia="zh-CN" w:bidi="ar"/>
        </w:rPr>
        <w:t>0</w:t>
      </w:r>
      <w:r>
        <w:rPr>
          <w:rFonts w:hint="eastAsia" w:ascii="Times New Roman" w:hAnsi="Times New Roman" w:eastAsia="仿宋_GB2312" w:cs="仿宋_GB2312"/>
          <w:color w:val="000000"/>
          <w:kern w:val="0"/>
          <w:sz w:val="32"/>
          <w:szCs w:val="32"/>
          <w:lang w:val="en-US" w:eastAsia="zh-CN" w:bidi="ar"/>
        </w:rPr>
        <w:t>万。</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仿宋_GB2312" w:cs="Times New Roman"/>
          <w:color w:val="000000"/>
          <w:kern w:val="0"/>
          <w:sz w:val="32"/>
          <w:szCs w:val="32"/>
          <w:lang w:val="en-US" w:eastAsia="zh-CN" w:bidi="ar"/>
        </w:rPr>
        <w:t>2</w:t>
      </w:r>
      <w:r>
        <w:rPr>
          <w:rFonts w:hint="eastAsia" w:ascii="Times New Roman" w:hAnsi="Times New Roman" w:eastAsia="仿宋_GB2312" w:cs="Times New Roman"/>
          <w:color w:val="000000"/>
          <w:kern w:val="0"/>
          <w:sz w:val="32"/>
          <w:szCs w:val="32"/>
          <w:lang w:val="en-US" w:eastAsia="zh-CN" w:bidi="ar"/>
        </w:rPr>
        <w:t>、三公经费具体支出情况：我单位</w:t>
      </w:r>
      <w:r>
        <w:rPr>
          <w:rFonts w:hint="default" w:ascii="Times New Roman" w:hAnsi="Times New Roman" w:eastAsia="仿宋_GB2312" w:cs="Times New Roman"/>
          <w:color w:val="000000"/>
          <w:kern w:val="0"/>
          <w:sz w:val="32"/>
          <w:szCs w:val="32"/>
          <w:lang w:val="en-US" w:eastAsia="zh-CN" w:bidi="ar"/>
        </w:rPr>
        <w:t>202</w:t>
      </w:r>
      <w:r>
        <w:rPr>
          <w:rFonts w:hint="eastAsia" w:ascii="Times New Roman" w:hAnsi="Times New Roman" w:eastAsia="仿宋_GB2312" w:cs="Times New Roman"/>
          <w:color w:val="000000"/>
          <w:kern w:val="0"/>
          <w:sz w:val="32"/>
          <w:szCs w:val="32"/>
          <w:lang w:val="en-US" w:eastAsia="zh-CN" w:bidi="ar"/>
        </w:rPr>
        <w:t>5年三公经费总支出为</w:t>
      </w:r>
      <w:r>
        <w:rPr>
          <w:rFonts w:hint="default" w:ascii="Times New Roman" w:hAnsi="Times New Roman" w:eastAsia="仿宋_GB2312" w:cs="Times New Roman"/>
          <w:color w:val="000000"/>
          <w:kern w:val="0"/>
          <w:sz w:val="32"/>
          <w:szCs w:val="32"/>
          <w:lang w:val="en-US" w:eastAsia="zh-CN" w:bidi="ar"/>
        </w:rPr>
        <w:t>0</w:t>
      </w:r>
      <w:r>
        <w:rPr>
          <w:rFonts w:hint="eastAsia" w:ascii="Times New Roman" w:hAnsi="Times New Roman" w:eastAsia="仿宋_GB2312" w:cs="Times New Roman"/>
          <w:color w:val="000000"/>
          <w:kern w:val="0"/>
          <w:sz w:val="32"/>
          <w:szCs w:val="32"/>
          <w:lang w:val="en-US" w:eastAsia="zh-CN" w:bidi="ar"/>
        </w:rPr>
        <w:t>万，其中公务接待费</w:t>
      </w:r>
      <w:r>
        <w:rPr>
          <w:rFonts w:hint="default" w:ascii="Times New Roman" w:hAnsi="Times New Roman" w:eastAsia="仿宋_GB2312" w:cs="Times New Roman"/>
          <w:color w:val="000000"/>
          <w:kern w:val="0"/>
          <w:sz w:val="32"/>
          <w:szCs w:val="32"/>
          <w:lang w:val="en-US" w:eastAsia="zh-CN" w:bidi="ar"/>
        </w:rPr>
        <w:t>0</w:t>
      </w:r>
      <w:r>
        <w:rPr>
          <w:rFonts w:hint="eastAsia" w:ascii="Times New Roman" w:hAnsi="Times New Roman" w:eastAsia="仿宋_GB2312" w:cs="Times New Roman"/>
          <w:color w:val="000000"/>
          <w:kern w:val="0"/>
          <w:sz w:val="32"/>
          <w:szCs w:val="32"/>
          <w:lang w:val="en-US" w:eastAsia="zh-CN" w:bidi="ar"/>
        </w:rPr>
        <w:t>万；公务用车购置及运行维护费</w:t>
      </w:r>
      <w:r>
        <w:rPr>
          <w:rFonts w:hint="default" w:ascii="Times New Roman" w:hAnsi="Times New Roman" w:eastAsia="仿宋_GB2312" w:cs="Times New Roman"/>
          <w:color w:val="000000"/>
          <w:kern w:val="0"/>
          <w:sz w:val="32"/>
          <w:szCs w:val="32"/>
          <w:lang w:val="en-US" w:eastAsia="zh-CN" w:bidi="ar"/>
        </w:rPr>
        <w:t>0</w:t>
      </w:r>
      <w:r>
        <w:rPr>
          <w:rFonts w:hint="eastAsia" w:ascii="Times New Roman" w:hAnsi="Times New Roman" w:eastAsia="仿宋_GB2312" w:cs="Times New Roman"/>
          <w:color w:val="000000"/>
          <w:kern w:val="0"/>
          <w:sz w:val="32"/>
          <w:szCs w:val="32"/>
          <w:lang w:val="en-US" w:eastAsia="zh-CN" w:bidi="ar"/>
        </w:rPr>
        <w:t>万，因公出国</w:t>
      </w:r>
      <w:r>
        <w:rPr>
          <w:rFonts w:hint="default" w:ascii="Times New Roman" w:hAnsi="Times New Roman" w:eastAsia="仿宋_GB2312" w:cs="Times New Roman"/>
          <w:color w:val="000000"/>
          <w:kern w:val="0"/>
          <w:sz w:val="32"/>
          <w:szCs w:val="32"/>
          <w:lang w:val="en-US" w:eastAsia="zh-CN" w:bidi="ar"/>
        </w:rPr>
        <w:t>(</w:t>
      </w:r>
      <w:r>
        <w:rPr>
          <w:rFonts w:hint="eastAsia" w:ascii="Times New Roman" w:hAnsi="Times New Roman" w:eastAsia="仿宋_GB2312" w:cs="Times New Roman"/>
          <w:color w:val="000000"/>
          <w:kern w:val="0"/>
          <w:sz w:val="32"/>
          <w:szCs w:val="32"/>
          <w:lang w:val="en-US" w:eastAsia="zh-CN" w:bidi="ar"/>
        </w:rPr>
        <w:t>境</w:t>
      </w:r>
      <w:r>
        <w:rPr>
          <w:rFonts w:hint="default" w:ascii="Times New Roman" w:hAnsi="Times New Roman" w:eastAsia="仿宋_GB2312" w:cs="Times New Roman"/>
          <w:color w:val="000000"/>
          <w:kern w:val="0"/>
          <w:sz w:val="32"/>
          <w:szCs w:val="32"/>
          <w:lang w:val="en-US" w:eastAsia="zh-CN" w:bidi="ar"/>
        </w:rPr>
        <w:t>)</w:t>
      </w:r>
      <w:r>
        <w:rPr>
          <w:rFonts w:hint="eastAsia" w:ascii="Times New Roman" w:hAnsi="Times New Roman" w:eastAsia="仿宋_GB2312" w:cs="Times New Roman"/>
          <w:color w:val="000000"/>
          <w:kern w:val="0"/>
          <w:sz w:val="32"/>
          <w:szCs w:val="32"/>
          <w:lang w:val="en-US" w:eastAsia="zh-CN" w:bidi="ar"/>
        </w:rPr>
        <w:t>支出</w:t>
      </w:r>
      <w:r>
        <w:rPr>
          <w:rFonts w:hint="default" w:ascii="Times New Roman" w:hAnsi="Times New Roman" w:eastAsia="仿宋_GB2312" w:cs="Times New Roman"/>
          <w:color w:val="000000"/>
          <w:kern w:val="0"/>
          <w:sz w:val="32"/>
          <w:szCs w:val="32"/>
          <w:lang w:val="en-US" w:eastAsia="zh-CN" w:bidi="ar"/>
        </w:rPr>
        <w:t>0</w:t>
      </w:r>
      <w:r>
        <w:rPr>
          <w:rFonts w:hint="eastAsia" w:ascii="Times New Roman" w:hAnsi="Times New Roman" w:eastAsia="仿宋_GB2312" w:cs="Times New Roman"/>
          <w:color w:val="000000"/>
          <w:kern w:val="0"/>
          <w:sz w:val="32"/>
          <w:szCs w:val="32"/>
          <w:lang w:val="en-US" w:eastAsia="zh-CN" w:bidi="ar"/>
        </w:rPr>
        <w:t>万。</w:t>
      </w:r>
    </w:p>
    <w:p>
      <w:pPr>
        <w:pStyle w:val="5"/>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（二）项目支出情况</w:t>
      </w:r>
    </w:p>
    <w:p>
      <w:pPr>
        <w:keepNext w:val="0"/>
        <w:keepLines w:val="0"/>
        <w:widowControl/>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kern w:val="0"/>
          <w:sz w:val="32"/>
          <w:szCs w:val="32"/>
          <w:lang w:val="en-US" w:eastAsia="zh-CN" w:bidi="ar"/>
        </w:rPr>
        <w:t>1、项目资金收支情况分析</w:t>
      </w:r>
    </w:p>
    <w:p>
      <w:pPr>
        <w:keepNext w:val="0"/>
        <w:keepLines w:val="0"/>
        <w:widowControl/>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kern w:val="0"/>
          <w:sz w:val="32"/>
          <w:szCs w:val="32"/>
          <w:lang w:val="en-US" w:eastAsia="zh-CN" w:bidi="ar"/>
        </w:rPr>
        <w:t>2025年年初市财政共安排专项资金20万，其中：业务工作经费支出20万元，主要用于日常工作经费、工会经费补助、伙食补助等方面。</w:t>
      </w:r>
    </w:p>
    <w:p>
      <w:pPr>
        <w:keepNext w:val="0"/>
        <w:keepLines w:val="0"/>
        <w:widowControl/>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kern w:val="0"/>
          <w:sz w:val="32"/>
          <w:szCs w:val="32"/>
          <w:lang w:val="en-US" w:eastAsia="zh-CN" w:bidi="ar"/>
        </w:rPr>
        <w:t>2、专项资金实际使用情况分析</w:t>
      </w:r>
    </w:p>
    <w:p>
      <w:pPr>
        <w:keepNext w:val="0"/>
        <w:keepLines w:val="0"/>
        <w:widowControl/>
        <w:suppressLineNumbers w:val="0"/>
        <w:spacing w:before="0" w:beforeAutospacing="0" w:after="0" w:afterAutospacing="0" w:line="560" w:lineRule="exact"/>
        <w:ind w:left="0" w:right="0" w:firstLine="640" w:firstLineChars="200"/>
        <w:jc w:val="both"/>
        <w:rPr>
          <w:rFonts w:hint="default" w:ascii="仿宋_GB2312" w:hAnsi="仿宋_GB2312" w:eastAsia="仿宋_GB2312" w:cs="仿宋_GB2312"/>
          <w:color w:val="000000"/>
          <w:sz w:val="32"/>
          <w:szCs w:val="32"/>
          <w:lang w:val="en-US"/>
        </w:rPr>
      </w:pPr>
      <w:r>
        <w:rPr>
          <w:rFonts w:hint="eastAsia" w:ascii="仿宋_GB2312" w:hAnsi="仿宋_GB2312" w:eastAsia="仿宋_GB2312" w:cs="仿宋_GB2312"/>
          <w:color w:val="000000"/>
          <w:kern w:val="0"/>
          <w:sz w:val="32"/>
          <w:szCs w:val="32"/>
          <w:lang w:val="en-US" w:eastAsia="zh-CN" w:bidi="ar"/>
        </w:rPr>
        <w:t>2025年共支出专项资金193.18万，主要是省级绿色建造、浅层地热能建筑规模化应用试点补助资金172.5万元、日常工作经费20.68万元。</w:t>
      </w:r>
    </w:p>
    <w:p>
      <w:pPr>
        <w:keepNext w:val="0"/>
        <w:keepLines w:val="0"/>
        <w:widowControl/>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kern w:val="0"/>
          <w:sz w:val="32"/>
          <w:szCs w:val="32"/>
          <w:lang w:val="en-US" w:eastAsia="zh-CN" w:bidi="ar"/>
        </w:rPr>
        <w:t>3、专项资金管理情况分析</w:t>
      </w:r>
    </w:p>
    <w:p>
      <w:pPr>
        <w:keepNext w:val="0"/>
        <w:keepLines w:val="0"/>
        <w:widowControl/>
        <w:suppressLineNumbers w:val="0"/>
        <w:jc w:val="left"/>
        <w:rPr>
          <w:rFonts w:hint="default" w:ascii="Times New Roman" w:hAnsi="Times New Roman" w:eastAsia="楷体_GB2312" w:cs="Times New Roman"/>
          <w:b/>
          <w:sz w:val="32"/>
          <w:szCs w:val="32"/>
        </w:rPr>
      </w:pPr>
      <w:r>
        <w:rPr>
          <w:rFonts w:hint="eastAsia" w:ascii="仿宋_GB2312" w:hAnsi="仿宋_GB2312" w:eastAsia="仿宋_GB2312" w:cs="仿宋_GB2312"/>
          <w:color w:val="000000"/>
          <w:kern w:val="0"/>
          <w:sz w:val="32"/>
          <w:szCs w:val="32"/>
          <w:lang w:val="en-US" w:eastAsia="zh-CN" w:bidi="ar"/>
        </w:rPr>
        <w:t>专项资金实行综合预算，量入为出，专款专用，确保工作顺利开展。制定专项资金管理办法，规范专项资金使用；严格政府采购程序，做到按章办事，规范操作。</w:t>
      </w:r>
    </w:p>
    <w:p>
      <w:pPr>
        <w:pStyle w:val="5"/>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政府性基金预算支出情况</w:t>
      </w:r>
    </w:p>
    <w:p>
      <w:pPr>
        <w:pStyle w:val="6"/>
        <w:keepNext w:val="0"/>
        <w:keepLines w:val="0"/>
        <w:widowControl/>
        <w:suppressLineNumbers w:val="0"/>
        <w:spacing w:line="560" w:lineRule="exact"/>
        <w:ind w:left="560" w:leftChars="200" w:firstLine="0" w:firstLineChars="0"/>
        <w:rPr>
          <w:rFonts w:hint="default" w:ascii="Times New Roman" w:hAnsi="Times New Roman" w:eastAsia="黑体" w:cs="Times New Roman"/>
          <w:sz w:val="32"/>
          <w:szCs w:val="32"/>
        </w:rPr>
      </w:pPr>
      <w:r>
        <w:rPr>
          <w:rFonts w:hint="eastAsia" w:ascii="Times New Roman" w:hAnsi="Times New Roman" w:eastAsia="仿宋_GB2312" w:cs="仿宋_GB2312"/>
          <w:color w:val="000000"/>
          <w:sz w:val="32"/>
          <w:szCs w:val="32"/>
          <w:lang w:eastAsia="zh-CN"/>
        </w:rPr>
        <w:t>本单位无政府性基金预算支出。</w:t>
      </w:r>
    </w:p>
    <w:p>
      <w:pPr>
        <w:pStyle w:val="5"/>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国有资本经营预算支出情况</w:t>
      </w:r>
    </w:p>
    <w:p>
      <w:pPr>
        <w:pStyle w:val="2"/>
        <w:keepNext w:val="0"/>
        <w:keepLines w:val="0"/>
        <w:widowControl/>
        <w:suppressLineNumbers w:val="0"/>
        <w:spacing w:before="0" w:beforeAutospacing="0" w:after="0" w:afterAutospacing="0" w:line="560" w:lineRule="exact"/>
        <w:ind w:left="560" w:leftChars="200" w:right="0" w:firstLine="0" w:firstLineChars="0"/>
        <w:jc w:val="both"/>
        <w:rPr>
          <w:rFonts w:hint="default" w:ascii="Times New Roman" w:hAnsi="Times New Roman" w:eastAsia="黑体" w:cs="Times New Roman"/>
          <w:sz w:val="32"/>
          <w:szCs w:val="32"/>
        </w:rPr>
      </w:pPr>
      <w:r>
        <w:rPr>
          <w:rFonts w:hint="eastAsia" w:ascii="Times New Roman" w:hAnsi="Times New Roman" w:eastAsia="仿宋_GB2312" w:cs="仿宋_GB2312"/>
          <w:color w:val="000000"/>
          <w:kern w:val="0"/>
          <w:sz w:val="32"/>
          <w:szCs w:val="32"/>
          <w:lang w:val="en-US" w:eastAsia="zh-CN" w:bidi="ar"/>
        </w:rPr>
        <w:t>本单位无</w:t>
      </w:r>
      <w:r>
        <w:rPr>
          <w:rFonts w:hint="default" w:ascii="Times New Roman" w:hAnsi="Times New Roman" w:eastAsia="仿宋_GB2312" w:cs="仿宋_GB2312"/>
          <w:color w:val="000000"/>
          <w:kern w:val="0"/>
          <w:sz w:val="32"/>
          <w:szCs w:val="32"/>
          <w:lang w:val="en-US" w:eastAsia="zh-CN" w:bidi="ar"/>
        </w:rPr>
        <w:t>国有资本经营</w:t>
      </w:r>
      <w:r>
        <w:rPr>
          <w:rFonts w:hint="eastAsia" w:ascii="Times New Roman" w:hAnsi="Times New Roman" w:eastAsia="仿宋_GB2312" w:cs="仿宋_GB2312"/>
          <w:color w:val="000000"/>
          <w:kern w:val="0"/>
          <w:sz w:val="32"/>
          <w:szCs w:val="32"/>
          <w:lang w:val="en-US" w:eastAsia="zh-CN" w:bidi="ar"/>
        </w:rPr>
        <w:t>预算支出。</w:t>
      </w:r>
    </w:p>
    <w:p>
      <w:pPr>
        <w:pStyle w:val="5"/>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社会保险基金预算支出情况</w:t>
      </w:r>
    </w:p>
    <w:p>
      <w:pPr>
        <w:pStyle w:val="2"/>
        <w:keepNext w:val="0"/>
        <w:keepLines w:val="0"/>
        <w:widowControl/>
        <w:suppressLineNumbers w:val="0"/>
        <w:spacing w:before="0" w:beforeAutospacing="0" w:after="0" w:afterAutospacing="0" w:line="560" w:lineRule="exact"/>
        <w:ind w:left="560" w:leftChars="200" w:right="0" w:firstLine="0" w:firstLineChars="0"/>
        <w:jc w:val="both"/>
        <w:rPr>
          <w:rFonts w:hint="default" w:ascii="Times New Roman" w:hAnsi="Times New Roman" w:eastAsia="黑体" w:cs="Times New Roman"/>
          <w:sz w:val="32"/>
          <w:szCs w:val="32"/>
        </w:rPr>
      </w:pPr>
      <w:r>
        <w:rPr>
          <w:rFonts w:hint="eastAsia" w:ascii="Times New Roman" w:hAnsi="Times New Roman" w:eastAsia="仿宋_GB2312" w:cs="仿宋_GB2312"/>
          <w:color w:val="000000"/>
          <w:kern w:val="0"/>
          <w:sz w:val="32"/>
          <w:szCs w:val="32"/>
          <w:lang w:val="en-US" w:eastAsia="zh-CN" w:bidi="ar"/>
        </w:rPr>
        <w:t>本单位无社会保险基金预算支出。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pStyle w:val="2"/>
        <w:keepNext w:val="0"/>
        <w:keepLines w:val="0"/>
        <w:widowControl/>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color w:val="000000"/>
          <w:kern w:val="0"/>
          <w:sz w:val="32"/>
          <w:szCs w:val="32"/>
          <w:lang w:val="en-US" w:eastAsia="zh-CN" w:bidi="ar-SA"/>
        </w:rPr>
      </w:pPr>
      <w:r>
        <w:rPr>
          <w:rFonts w:hint="eastAsia" w:ascii="仿宋_GB2312" w:hAnsi="仿宋_GB2312" w:eastAsia="仿宋_GB2312" w:cs="仿宋_GB2312"/>
          <w:color w:val="auto"/>
          <w:sz w:val="32"/>
          <w:szCs w:val="32"/>
        </w:rPr>
        <w:t>2025年，在局党组的坚强领导下，我中心锚定省级绿色建造、浅层地热能规模化应用试点任务，全力</w:t>
      </w:r>
      <w:r>
        <w:rPr>
          <w:rFonts w:hint="eastAsia" w:ascii="仿宋_GB2312" w:hAnsi="仿宋_GB2312" w:eastAsia="仿宋_GB2312" w:cs="仿宋_GB2312"/>
          <w:b w:val="0"/>
          <w:bCs w:val="0"/>
          <w:color w:val="auto"/>
          <w:sz w:val="32"/>
          <w:szCs w:val="32"/>
        </w:rPr>
        <w:t>推动</w:t>
      </w:r>
      <w:r>
        <w:rPr>
          <w:rFonts w:hint="eastAsia" w:ascii="仿宋_GB2312" w:hAnsi="仿宋_GB2312" w:eastAsia="仿宋_GB2312" w:cs="仿宋_GB2312"/>
          <w:color w:val="auto"/>
          <w:sz w:val="32"/>
          <w:szCs w:val="32"/>
        </w:rPr>
        <w:t>建筑行业绿色转型，严格执行《湖南省散装水泥条例》《湖南省新型墙体材料推广应用条例》《湖南省绿色建筑发展条例》，各项工作取得阶段性成效</w:t>
      </w:r>
      <w:r>
        <w:rPr>
          <w:rFonts w:hint="eastAsia" w:ascii="Times New Roman" w:hAnsi="Times New Roman" w:eastAsia="仿宋_GB2312" w:cs="Times New Roman"/>
          <w:color w:val="000000"/>
          <w:kern w:val="0"/>
          <w:sz w:val="32"/>
          <w:szCs w:val="32"/>
          <w:lang w:val="en-US" w:eastAsia="zh-CN" w:bidi="ar-SA"/>
        </w:rPr>
        <w:t>，较好的完成了各项绩效目标。</w:t>
      </w:r>
    </w:p>
    <w:p>
      <w:pPr>
        <w:pStyle w:val="2"/>
        <w:keepNext w:val="0"/>
        <w:keepLines w:val="0"/>
        <w:widowControl/>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预算控制率97.86%，财政供养人员控制在预算编制以内。预算执行方面：根据“总量控制、计划管理”的要求从严控制行政经费，压缩公务费开支，严格控制“三公”经费，支出总额控制在预算总额以内。预算管理方面：切实有效地执行了各项财务管理制度、车辆、资产内部管理制度，资产配置严格政府采购，按照预算科目规定使用财政资金，保障资金支出的规范化、制度化，项目资金坚持按专项资金管理制度有效执行，确保专款专用；履职效能方面：一是坚持党建引领，建设清廉机关，二是全面真抓实干，纵深推进重点改革，三是贴近服务民生，创新拓展经办服务，四是坚持问题导向，全面加强自身建设，群众满意度达到95%以上。</w:t>
      </w:r>
    </w:p>
    <w:p>
      <w:pPr>
        <w:pStyle w:val="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七、存在的问题及原因分析</w:t>
      </w:r>
    </w:p>
    <w:p>
      <w:pPr>
        <w:pStyle w:val="2"/>
        <w:keepNext w:val="0"/>
        <w:keepLines w:val="0"/>
        <w:widowControl/>
        <w:suppressLineNumbers w:val="0"/>
        <w:spacing w:before="0" w:beforeAutospacing="0" w:after="0" w:afterAutospacing="0" w:line="560" w:lineRule="exact"/>
        <w:ind w:left="0" w:right="0" w:firstLine="643" w:firstLineChars="200"/>
        <w:jc w:val="both"/>
        <w:rPr>
          <w:rFonts w:hint="default" w:ascii="Times New Roman" w:hAnsi="Times New Roman" w:eastAsia="楷体_GB2312" w:cs="Times New Roman"/>
          <w:b/>
          <w:bCs w:val="0"/>
          <w:sz w:val="32"/>
          <w:szCs w:val="32"/>
          <w:lang w:val="en-US"/>
        </w:rPr>
      </w:pPr>
      <w:r>
        <w:rPr>
          <w:rFonts w:hint="eastAsia" w:ascii="Times New Roman" w:hAnsi="Times New Roman" w:eastAsia="楷体_GB2312" w:cs="楷体_GB2312"/>
          <w:b/>
          <w:bCs w:val="0"/>
          <w:kern w:val="0"/>
          <w:sz w:val="32"/>
          <w:szCs w:val="32"/>
          <w:lang w:val="en-US" w:eastAsia="zh-CN" w:bidi="ar"/>
        </w:rPr>
        <w:t>（一）履职效能方面：绩效评价人员匮乏，绩效意识薄弱、专业能力不足</w:t>
      </w:r>
    </w:p>
    <w:p>
      <w:pPr>
        <w:pStyle w:val="2"/>
        <w:keepNext w:val="0"/>
        <w:keepLines w:val="0"/>
        <w:widowControl/>
        <w:suppressLineNumbers w:val="0"/>
        <w:shd w:val="clear" w:color="auto" w:fill="FFFFFF"/>
        <w:spacing w:before="0" w:beforeAutospacing="0" w:after="0" w:afterAutospacing="0" w:line="480" w:lineRule="atLeast"/>
        <w:ind w:left="0" w:right="0" w:firstLine="640" w:firstLineChars="200"/>
        <w:rPr>
          <w:rFonts w:hint="default" w:ascii="Times New Roman" w:hAnsi="Times New Roman" w:eastAsia="仿宋_GB2312" w:cs="Times New Roman"/>
          <w:color w:val="000000"/>
          <w:sz w:val="32"/>
          <w:szCs w:val="32"/>
          <w:shd w:val="clear" w:color="auto" w:fill="FFFFFF"/>
          <w:lang w:val="en-US"/>
        </w:rPr>
      </w:pPr>
      <w:r>
        <w:rPr>
          <w:rFonts w:hint="eastAsia" w:ascii="Times New Roman" w:hAnsi="Times New Roman" w:eastAsia="仿宋_GB2312" w:cs="仿宋_GB2312"/>
          <w:color w:val="000000"/>
          <w:sz w:val="32"/>
          <w:szCs w:val="32"/>
          <w:shd w:val="clear" w:color="auto" w:fill="FFFFFF"/>
          <w:lang w:eastAsia="zh-CN"/>
        </w:rPr>
        <w:t>目前各级政府部门均未设置预算绩效管理部门，无人员配备，大部分是由财务人员兼职，时间和精力分配不足</w:t>
      </w:r>
      <w:r>
        <w:rPr>
          <w:rFonts w:hint="default" w:ascii="Times New Roman" w:hAnsi="Times New Roman" w:eastAsia="仿宋_GB2312" w:cs="Times New Roman"/>
          <w:color w:val="000000"/>
          <w:sz w:val="32"/>
          <w:szCs w:val="32"/>
          <w:shd w:val="clear" w:color="auto" w:fill="FFFFFF"/>
          <w:lang w:val="en-US"/>
        </w:rPr>
        <w:t>;</w:t>
      </w:r>
      <w:r>
        <w:rPr>
          <w:rFonts w:hint="eastAsia" w:ascii="Times New Roman" w:hAnsi="Times New Roman" w:eastAsia="仿宋_GB2312" w:cs="仿宋_GB2312"/>
          <w:color w:val="000000"/>
          <w:sz w:val="32"/>
          <w:szCs w:val="32"/>
          <w:shd w:val="clear" w:color="auto" w:fill="FFFFFF"/>
          <w:lang w:eastAsia="zh-CN"/>
        </w:rPr>
        <w:t>同时，财务人员大多是会计、财务管理、经济学等专业，而绩效评价工作人员不仅需要掌握财经知识，还要熟悉相关政策、了解财政、预算、项目业务，这就要求必须具备管理学、法学、统计学、工程学等方面的知识，并持续更新知识体系</w:t>
      </w:r>
      <w:r>
        <w:rPr>
          <w:rFonts w:hint="default" w:ascii="Times New Roman" w:hAnsi="Times New Roman" w:eastAsia="仿宋_GB2312" w:cs="Times New Roman"/>
          <w:color w:val="000000"/>
          <w:sz w:val="32"/>
          <w:szCs w:val="32"/>
          <w:shd w:val="clear" w:color="auto" w:fill="FFFFFF"/>
          <w:lang w:val="en-US"/>
        </w:rPr>
        <w:t>;</w:t>
      </w:r>
      <w:r>
        <w:rPr>
          <w:rFonts w:hint="eastAsia" w:ascii="Times New Roman" w:hAnsi="Times New Roman" w:eastAsia="仿宋_GB2312" w:cs="仿宋_GB2312"/>
          <w:color w:val="000000"/>
          <w:sz w:val="32"/>
          <w:szCs w:val="32"/>
          <w:shd w:val="clear" w:color="auto" w:fill="FFFFFF"/>
          <w:lang w:eastAsia="zh-CN"/>
        </w:rPr>
        <w:t>另外，第三方评价机构对行业部门业务不熟，技术支撑力量不足，需要积极开展培育并引导规范。</w:t>
      </w:r>
    </w:p>
    <w:p>
      <w:pPr>
        <w:pStyle w:val="2"/>
        <w:keepNext w:val="0"/>
        <w:keepLines w:val="0"/>
        <w:widowControl/>
        <w:suppressLineNumbers w:val="0"/>
        <w:spacing w:before="0" w:beforeAutospacing="0" w:after="0" w:afterAutospacing="0" w:line="560" w:lineRule="exact"/>
        <w:ind w:left="0" w:right="0" w:firstLine="643" w:firstLineChars="200"/>
        <w:jc w:val="both"/>
        <w:rPr>
          <w:rFonts w:hint="default" w:ascii="Times New Roman" w:hAnsi="Times New Roman" w:eastAsia="楷体_GB2312" w:cs="Times New Roman"/>
          <w:b/>
          <w:bCs w:val="0"/>
          <w:sz w:val="32"/>
          <w:szCs w:val="32"/>
          <w:lang w:val="en-US"/>
        </w:rPr>
      </w:pPr>
      <w:r>
        <w:rPr>
          <w:rFonts w:hint="eastAsia" w:ascii="Times New Roman" w:hAnsi="Times New Roman" w:eastAsia="楷体_GB2312" w:cs="楷体_GB2312"/>
          <w:b/>
          <w:bCs w:val="0"/>
          <w:kern w:val="0"/>
          <w:sz w:val="32"/>
          <w:szCs w:val="32"/>
          <w:lang w:val="en-US" w:eastAsia="zh-CN" w:bidi="ar"/>
        </w:rPr>
        <w:t>（二）预算和绩效管理方面：绩效目标编制不规范，设定不完整</w:t>
      </w:r>
    </w:p>
    <w:p>
      <w:pPr>
        <w:pStyle w:val="2"/>
        <w:keepNext w:val="0"/>
        <w:keepLines w:val="0"/>
        <w:widowControl/>
        <w:suppressLineNumbers w:val="0"/>
        <w:shd w:val="clear" w:color="auto" w:fill="FFFFFF"/>
        <w:spacing w:before="0" w:beforeAutospacing="0" w:after="0" w:afterAutospacing="0" w:line="480" w:lineRule="atLeast"/>
        <w:ind w:left="0" w:right="0" w:firstLine="640" w:firstLineChars="200"/>
        <w:rPr>
          <w:rFonts w:hint="default" w:ascii="Times New Roman" w:hAnsi="Times New Roman" w:eastAsia="仿宋_GB2312" w:cs="Times New Roman"/>
          <w:color w:val="000000"/>
          <w:sz w:val="32"/>
          <w:szCs w:val="32"/>
          <w:shd w:val="clear" w:color="auto" w:fill="FFFFFF"/>
          <w:lang w:val="en-US"/>
        </w:rPr>
      </w:pPr>
      <w:r>
        <w:rPr>
          <w:rFonts w:hint="eastAsia" w:ascii="Times New Roman" w:hAnsi="Times New Roman" w:eastAsia="仿宋_GB2312" w:cs="仿宋_GB2312"/>
          <w:color w:val="000000"/>
          <w:sz w:val="32"/>
          <w:szCs w:val="32"/>
          <w:shd w:val="clear" w:color="auto" w:fill="FFFFFF"/>
          <w:lang w:eastAsia="zh-CN"/>
        </w:rPr>
        <w:t>绩效目标是项目立项、预算执行、绩效评价的依据。现阶段缺乏对资金使用效果、效率、预算执行刚性约束等动态情况具体、有针对性的考量</w:t>
      </w:r>
      <w:r>
        <w:rPr>
          <w:rFonts w:hint="default" w:ascii="Times New Roman" w:hAnsi="Times New Roman" w:eastAsia="仿宋_GB2312" w:cs="Times New Roman"/>
          <w:color w:val="000000"/>
          <w:sz w:val="32"/>
          <w:szCs w:val="32"/>
          <w:shd w:val="clear" w:color="auto" w:fill="FFFFFF"/>
          <w:lang w:val="en-US"/>
        </w:rPr>
        <w:t>;</w:t>
      </w:r>
      <w:r>
        <w:rPr>
          <w:rFonts w:hint="eastAsia" w:ascii="Times New Roman" w:hAnsi="Times New Roman" w:eastAsia="仿宋_GB2312" w:cs="仿宋_GB2312"/>
          <w:color w:val="000000"/>
          <w:sz w:val="32"/>
          <w:szCs w:val="32"/>
          <w:shd w:val="clear" w:color="auto" w:fill="FFFFFF"/>
          <w:lang w:eastAsia="zh-CN"/>
        </w:rPr>
        <w:t>部分资金仍未按要求设定绩效目标或设定不完整</w:t>
      </w:r>
      <w:r>
        <w:rPr>
          <w:rFonts w:hint="default" w:ascii="Times New Roman" w:hAnsi="Times New Roman" w:eastAsia="仿宋_GB2312" w:cs="Times New Roman"/>
          <w:color w:val="000000"/>
          <w:sz w:val="32"/>
          <w:szCs w:val="32"/>
          <w:shd w:val="clear" w:color="auto" w:fill="FFFFFF"/>
          <w:lang w:val="en-US"/>
        </w:rPr>
        <w:t>;</w:t>
      </w:r>
      <w:r>
        <w:rPr>
          <w:rFonts w:hint="eastAsia" w:ascii="Times New Roman" w:hAnsi="Times New Roman" w:eastAsia="仿宋_GB2312" w:cs="仿宋_GB2312"/>
          <w:color w:val="000000"/>
          <w:sz w:val="32"/>
          <w:szCs w:val="32"/>
          <w:shd w:val="clear" w:color="auto" w:fill="FFFFFF"/>
          <w:lang w:eastAsia="zh-CN"/>
        </w:rPr>
        <w:t>绩效目标的设定较为空洞，指标没有细化量化，可衡量性不强，甚至存在不合理现象：如重投入轻效益、关键指标设定低于规划要求、量化指标与项目内容无关、目标设置不能体现总体目标实现程度或与计划数、投资额不匹配。</w:t>
      </w:r>
    </w:p>
    <w:p>
      <w:pPr>
        <w:pStyle w:val="2"/>
        <w:keepNext w:val="0"/>
        <w:keepLines w:val="0"/>
        <w:widowControl/>
        <w:suppressLineNumbers w:val="0"/>
        <w:spacing w:before="0" w:beforeAutospacing="0" w:after="0" w:afterAutospacing="0" w:line="560" w:lineRule="exact"/>
        <w:ind w:left="0" w:right="0" w:firstLine="643" w:firstLineChars="200"/>
        <w:jc w:val="both"/>
        <w:rPr>
          <w:rFonts w:hint="default" w:ascii="Times New Roman" w:hAnsi="Times New Roman" w:eastAsia="楷体_GB2312" w:cs="Times New Roman"/>
          <w:b/>
          <w:bCs w:val="0"/>
          <w:sz w:val="32"/>
          <w:szCs w:val="32"/>
          <w:lang w:val="en-US"/>
        </w:rPr>
      </w:pPr>
      <w:r>
        <w:rPr>
          <w:rFonts w:hint="eastAsia" w:ascii="Times New Roman" w:hAnsi="Times New Roman" w:eastAsia="楷体_GB2312" w:cs="楷体_GB2312"/>
          <w:b/>
          <w:bCs w:val="0"/>
          <w:kern w:val="0"/>
          <w:sz w:val="32"/>
          <w:szCs w:val="32"/>
          <w:lang w:val="en-US" w:eastAsia="zh-CN" w:bidi="ar"/>
        </w:rPr>
        <w:t>（三）资金分配使用和管理方面</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480" w:lineRule="atLeast"/>
        <w:ind w:left="0" w:leftChars="0" w:right="0" w:firstLine="640" w:firstLineChars="200"/>
        <w:textAlignment w:val="auto"/>
        <w:rPr>
          <w:rFonts w:hint="default" w:ascii="Times New Roman" w:hAnsi="Times New Roman" w:eastAsia="仿宋_GB2312" w:cs="Times New Roman"/>
          <w:color w:val="000000"/>
          <w:sz w:val="32"/>
          <w:szCs w:val="32"/>
          <w:shd w:val="clear" w:color="auto" w:fill="FFFFFF"/>
          <w:lang w:val="en-US"/>
        </w:rPr>
      </w:pPr>
      <w:r>
        <w:rPr>
          <w:rFonts w:hint="eastAsia" w:ascii="Times New Roman" w:hAnsi="Times New Roman" w:eastAsia="仿宋_GB2312" w:cs="仿宋_GB2312"/>
          <w:color w:val="000000"/>
          <w:sz w:val="32"/>
          <w:szCs w:val="32"/>
          <w:shd w:val="clear" w:color="auto" w:fill="FFFFFF"/>
          <w:lang w:eastAsia="zh-CN"/>
        </w:rPr>
        <w:t>资金分配与项目预算不匹配，使用过程中与压缩财政一般性支出要求不相适。资金分配由财政主导，行业部门需根据政府财力获取分配资金，目前各级各部门存在经费保障不足的困境，政府出台了相关措施压缩经费支出，造成与使用过程中不相适应的局面。</w:t>
      </w:r>
    </w:p>
    <w:p>
      <w:pPr>
        <w:pStyle w:val="2"/>
        <w:keepNext w:val="0"/>
        <w:keepLines w:val="0"/>
        <w:widowControl/>
        <w:suppressLineNumbers w:val="0"/>
        <w:spacing w:before="0" w:beforeAutospacing="0" w:after="0" w:afterAutospacing="0" w:line="560" w:lineRule="exact"/>
        <w:ind w:left="0" w:right="0" w:firstLine="643" w:firstLineChars="200"/>
        <w:jc w:val="both"/>
        <w:rPr>
          <w:rFonts w:hint="default" w:ascii="Times New Roman" w:hAnsi="Times New Roman" w:eastAsia="楷体_GB2312" w:cs="Times New Roman"/>
          <w:b/>
          <w:bCs w:val="0"/>
          <w:sz w:val="32"/>
          <w:szCs w:val="32"/>
          <w:lang w:val="en-US"/>
        </w:rPr>
      </w:pPr>
      <w:r>
        <w:rPr>
          <w:rFonts w:hint="eastAsia" w:ascii="Times New Roman" w:hAnsi="Times New Roman" w:eastAsia="楷体_GB2312" w:cs="楷体_GB2312"/>
          <w:b/>
          <w:bCs w:val="0"/>
          <w:kern w:val="0"/>
          <w:sz w:val="32"/>
          <w:szCs w:val="32"/>
          <w:lang w:val="en-US" w:eastAsia="zh-CN" w:bidi="ar"/>
        </w:rPr>
        <w:t>（四）资产和财务管理与政府采购方面</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color w:val="000000"/>
          <w:kern w:val="0"/>
          <w:sz w:val="32"/>
          <w:szCs w:val="32"/>
          <w:lang w:val="en-US" w:eastAsia="zh-CN" w:bidi="ar"/>
        </w:rPr>
        <w:t>资产采购不够科学。在实际预算执行中，全年实际执行与年初编制预算会存在一定偏差。部分资产管理存在报废年限长</w:t>
      </w:r>
      <w:r>
        <w:rPr>
          <w:rFonts w:hint="default" w:ascii="Times New Roman" w:hAnsi="Times New Roman" w:eastAsia="仿宋_GB2312" w:cs="Times New Roman"/>
          <w:sz w:val="32"/>
          <w:szCs w:val="32"/>
        </w:rPr>
        <w:t>。</w:t>
      </w:r>
    </w:p>
    <w:p>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下一步改进措施</w:t>
      </w:r>
    </w:p>
    <w:p>
      <w:pPr>
        <w:pStyle w:val="2"/>
        <w:keepNext w:val="0"/>
        <w:keepLines w:val="0"/>
        <w:widowControl/>
        <w:suppressLineNumbers w:val="0"/>
        <w:shd w:val="clear" w:color="auto" w:fill="FFFFFF"/>
        <w:spacing w:before="0" w:beforeAutospacing="0" w:after="0" w:afterAutospacing="0" w:line="480" w:lineRule="atLeast"/>
        <w:ind w:left="0" w:right="0" w:firstLine="420"/>
        <w:rPr>
          <w:rFonts w:hint="default" w:ascii="Times New Roman" w:hAnsi="Times New Roman" w:eastAsia="仿宋_GB2312" w:cs="Times New Roman"/>
          <w:color w:val="000000"/>
          <w:sz w:val="32"/>
          <w:szCs w:val="32"/>
          <w:shd w:val="clear" w:color="auto" w:fill="FFFFFF"/>
          <w:lang w:val="en-US"/>
        </w:rPr>
      </w:pPr>
      <w:r>
        <w:rPr>
          <w:rFonts w:hint="eastAsia" w:ascii="Times New Roman" w:hAnsi="Times New Roman" w:eastAsia="楷体_GB2312" w:cs="楷体_GB2312"/>
          <w:b/>
          <w:bCs w:val="0"/>
          <w:color w:val="auto"/>
          <w:sz w:val="32"/>
          <w:szCs w:val="32"/>
          <w:shd w:val="clear" w:color="auto" w:fill="FFFFFF"/>
          <w:lang w:eastAsia="zh-CN"/>
        </w:rPr>
        <w:t>（一）加快基层队伍建设，提高绩效意识和管理人员专业水平。</w:t>
      </w:r>
      <w:r>
        <w:rPr>
          <w:rFonts w:hint="eastAsia" w:ascii="Times New Roman" w:hAnsi="Times New Roman" w:eastAsia="仿宋_GB2312" w:cs="仿宋_GB2312"/>
          <w:color w:val="000000"/>
          <w:sz w:val="32"/>
          <w:szCs w:val="32"/>
          <w:shd w:val="clear" w:color="auto" w:fill="FFFFFF"/>
          <w:lang w:eastAsia="zh-CN"/>
        </w:rPr>
        <w:t>增设专门的机构来对预算绩效做管理，并配置相应的人员编制，引入第三方机构，并做好专家和第三方机构的交流和监管。强化专业培训，工作调研，学习交流等措施，培养“一专多能”的复合型人才，重点让主要领导和分管负责人参与到培训中来。</w:t>
      </w:r>
    </w:p>
    <w:p>
      <w:pPr>
        <w:pStyle w:val="2"/>
        <w:keepNext w:val="0"/>
        <w:keepLines w:val="0"/>
        <w:widowControl/>
        <w:suppressLineNumbers w:val="0"/>
        <w:shd w:val="clear" w:color="auto" w:fill="FFFFFF"/>
        <w:spacing w:before="0" w:beforeAutospacing="0" w:after="0" w:afterAutospacing="0" w:line="480" w:lineRule="atLeast"/>
        <w:ind w:left="0" w:right="0" w:firstLine="420"/>
        <w:rPr>
          <w:rFonts w:hint="default" w:ascii="Times New Roman" w:hAnsi="Times New Roman" w:eastAsia="仿宋_GB2312" w:cs="Times New Roman"/>
          <w:color w:val="000000"/>
          <w:sz w:val="32"/>
          <w:szCs w:val="32"/>
          <w:shd w:val="clear" w:color="auto" w:fill="FFFFFF"/>
          <w:lang w:val="en-US"/>
        </w:rPr>
      </w:pPr>
      <w:r>
        <w:rPr>
          <w:rFonts w:hint="eastAsia" w:ascii="Times New Roman" w:hAnsi="Times New Roman" w:eastAsia="楷体_GB2312" w:cs="楷体_GB2312"/>
          <w:b/>
          <w:bCs w:val="0"/>
          <w:color w:val="auto"/>
          <w:sz w:val="32"/>
          <w:szCs w:val="32"/>
          <w:shd w:val="clear" w:color="auto" w:fill="FFFFFF"/>
          <w:lang w:eastAsia="zh-CN"/>
        </w:rPr>
        <w:t>（二）强化绩效目标管理，践行相关程序。</w:t>
      </w:r>
      <w:r>
        <w:rPr>
          <w:rFonts w:hint="eastAsia" w:ascii="Times New Roman" w:hAnsi="Times New Roman" w:eastAsia="仿宋_GB2312" w:cs="仿宋_GB2312"/>
          <w:color w:val="000000"/>
          <w:sz w:val="32"/>
          <w:szCs w:val="32"/>
          <w:shd w:val="clear" w:color="auto" w:fill="FFFFFF"/>
          <w:lang w:eastAsia="zh-CN"/>
        </w:rPr>
        <w:t>绩效目标要随文下达，有项目就有绩效目标</w:t>
      </w:r>
      <w:r>
        <w:rPr>
          <w:rFonts w:hint="default" w:ascii="Times New Roman" w:hAnsi="Times New Roman" w:eastAsia="仿宋_GB2312" w:cs="Times New Roman"/>
          <w:color w:val="000000"/>
          <w:sz w:val="32"/>
          <w:szCs w:val="32"/>
          <w:shd w:val="clear" w:color="auto" w:fill="FFFFFF"/>
          <w:lang w:val="en-US"/>
        </w:rPr>
        <w:t>;</w:t>
      </w:r>
      <w:r>
        <w:rPr>
          <w:rFonts w:hint="eastAsia" w:ascii="Times New Roman" w:hAnsi="Times New Roman" w:eastAsia="仿宋_GB2312" w:cs="仿宋_GB2312"/>
          <w:color w:val="000000"/>
          <w:sz w:val="32"/>
          <w:szCs w:val="32"/>
          <w:shd w:val="clear" w:color="auto" w:fill="FFFFFF"/>
          <w:lang w:eastAsia="zh-CN"/>
        </w:rPr>
        <w:t>在事前绩效评估和项目评审的基础上，按照具体可衡量、关联可细化、现实可达到、轻重相匹配的原则系统分析，科学设立绩效目标，反映资金活动的范围、方向与效果</w:t>
      </w:r>
      <w:r>
        <w:rPr>
          <w:rFonts w:hint="default" w:ascii="Times New Roman" w:hAnsi="Times New Roman" w:eastAsia="仿宋_GB2312" w:cs="Times New Roman"/>
          <w:color w:val="000000"/>
          <w:sz w:val="32"/>
          <w:szCs w:val="32"/>
          <w:shd w:val="clear" w:color="auto" w:fill="FFFFFF"/>
          <w:lang w:val="en-US"/>
        </w:rPr>
        <w:t>;</w:t>
      </w:r>
      <w:r>
        <w:rPr>
          <w:rFonts w:hint="eastAsia" w:ascii="Times New Roman" w:hAnsi="Times New Roman" w:eastAsia="仿宋_GB2312" w:cs="仿宋_GB2312"/>
          <w:color w:val="000000"/>
          <w:sz w:val="32"/>
          <w:szCs w:val="32"/>
          <w:shd w:val="clear" w:color="auto" w:fill="FFFFFF"/>
          <w:lang w:eastAsia="zh-CN"/>
        </w:rPr>
        <w:t>特别要设计一些反映项目内容与成果的指向性指标，以直观判断项目实施效果，避免项目单位利用已有成果</w:t>
      </w:r>
    </w:p>
    <w:p>
      <w:pPr>
        <w:pStyle w:val="2"/>
        <w:keepNext w:val="0"/>
        <w:keepLines w:val="0"/>
        <w:widowControl/>
        <w:suppressLineNumbers w:val="0"/>
        <w:shd w:val="clear" w:color="auto" w:fill="FFFFFF"/>
        <w:spacing w:before="0" w:beforeAutospacing="0" w:after="0" w:afterAutospacing="0" w:line="480" w:lineRule="atLeast"/>
        <w:ind w:left="0" w:right="0" w:firstLine="420"/>
        <w:rPr>
          <w:rFonts w:hint="default" w:ascii="Times New Roman" w:hAnsi="Times New Roman" w:eastAsia="仿宋_GB2312" w:cs="Times New Roman"/>
          <w:color w:val="000000"/>
          <w:sz w:val="32"/>
          <w:szCs w:val="32"/>
          <w:shd w:val="clear" w:color="auto" w:fill="FFFFFF"/>
          <w:lang w:val="en-US"/>
        </w:rPr>
      </w:pPr>
      <w:r>
        <w:rPr>
          <w:rFonts w:hint="eastAsia" w:ascii="Times New Roman" w:hAnsi="Times New Roman" w:eastAsia="楷体_GB2312" w:cs="楷体_GB2312"/>
          <w:b/>
          <w:bCs w:val="0"/>
          <w:color w:val="auto"/>
          <w:sz w:val="32"/>
          <w:szCs w:val="32"/>
          <w:shd w:val="clear" w:color="auto" w:fill="FFFFFF"/>
          <w:lang w:eastAsia="zh-CN"/>
        </w:rPr>
        <w:t>（三）科学分配预算资金，切实有效保障资金供给。</w:t>
      </w:r>
      <w:r>
        <w:rPr>
          <w:rFonts w:hint="eastAsia" w:ascii="Times New Roman" w:hAnsi="Times New Roman" w:eastAsia="仿宋_GB2312" w:cs="仿宋_GB2312"/>
          <w:color w:val="000000"/>
          <w:sz w:val="32"/>
          <w:szCs w:val="32"/>
          <w:shd w:val="clear" w:color="auto" w:fill="FFFFFF"/>
          <w:lang w:eastAsia="zh-CN"/>
        </w:rPr>
        <w:t>需财政部门加强开源节流，充分保障单位人员经费和公用经费开支，项目设定后严格按年初计划予以保障，以便工作能顺利开展。</w:t>
      </w:r>
    </w:p>
    <w:p>
      <w:pPr>
        <w:pStyle w:val="2"/>
        <w:keepNext w:val="0"/>
        <w:keepLines w:val="0"/>
        <w:widowControl/>
        <w:suppressLineNumbers w:val="0"/>
        <w:shd w:val="clear" w:color="auto" w:fill="FFFFFF"/>
        <w:spacing w:before="0" w:beforeAutospacing="0" w:after="0" w:afterAutospacing="0" w:line="480" w:lineRule="atLeast"/>
        <w:ind w:left="0" w:right="0" w:firstLine="420"/>
        <w:rPr>
          <w:rFonts w:hint="eastAsia" w:ascii="Times New Roman" w:hAnsi="Times New Roman" w:eastAsia="黑体" w:cs="Times New Roman"/>
          <w:sz w:val="32"/>
          <w:szCs w:val="32"/>
          <w:lang w:val="en-US" w:eastAsia="zh-CN"/>
        </w:rPr>
      </w:pPr>
      <w:r>
        <w:rPr>
          <w:rFonts w:hint="eastAsia" w:ascii="Times New Roman" w:hAnsi="Times New Roman" w:eastAsia="楷体_GB2312" w:cs="楷体_GB2312"/>
          <w:b/>
          <w:bCs w:val="0"/>
          <w:color w:val="auto"/>
          <w:sz w:val="32"/>
          <w:szCs w:val="32"/>
          <w:shd w:val="clear" w:color="auto" w:fill="FFFFFF"/>
          <w:lang w:eastAsia="zh-CN"/>
        </w:rPr>
        <w:t>（四）全面编制预算，充分运用信息化手段不断完善资产管理水平。</w:t>
      </w:r>
      <w:r>
        <w:rPr>
          <w:rFonts w:hint="eastAsia" w:ascii="Times New Roman" w:hAnsi="Times New Roman" w:eastAsia="仿宋_GB2312" w:cs="仿宋_GB2312"/>
          <w:color w:val="000000"/>
          <w:sz w:val="32"/>
          <w:szCs w:val="32"/>
          <w:shd w:val="clear" w:color="auto" w:fill="FFFFFF"/>
          <w:lang w:eastAsia="zh-CN"/>
        </w:rPr>
        <w:t>严格加强政府采购预算管理工作，政府采购预算编制是否科学、规范，采购项目是否完善、细致直接关系到整个政府采购活动的质量。优化政府采购预算的编制，将预计的省市、其他资金等全口径进行预算，细化采购项目预算的编制工作，制定切实可行的采购计划，增强采购的计划性，减少随意性。</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pPr>
        <w:keepNext w:val="0"/>
        <w:keepLines w:val="0"/>
        <w:widowControl/>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仿宋_GB2312"/>
          <w:color w:val="000000"/>
          <w:kern w:val="0"/>
          <w:sz w:val="32"/>
          <w:szCs w:val="32"/>
          <w:lang w:val="en-US" w:eastAsia="zh-CN" w:bidi="ar"/>
        </w:rPr>
        <w:t>按要求予以公开。</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bidi="ar"/>
        </w:rPr>
        <w:t>2025年度部门整体</w:t>
      </w:r>
      <w:r>
        <w:rPr>
          <w:rFonts w:hint="eastAsia" w:ascii="仿宋_GB2312" w:hAnsi="仿宋_GB2312" w:eastAsia="仿宋_GB2312" w:cs="仿宋_GB2312"/>
          <w:sz w:val="32"/>
          <w:szCs w:val="32"/>
        </w:rPr>
        <w:t>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bidi="ar"/>
        </w:rPr>
        <w:t>2025年度部门</w:t>
      </w:r>
      <w:r>
        <w:rPr>
          <w:rFonts w:hint="eastAsia" w:ascii="仿宋_GB2312" w:hAnsi="仿宋_GB2312" w:eastAsia="仿宋_GB2312" w:cs="仿宋_GB2312"/>
          <w:sz w:val="32"/>
          <w:szCs w:val="32"/>
        </w:rPr>
        <w:t>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bidi="ar"/>
        </w:rPr>
        <w:t>2025年度</w:t>
      </w:r>
      <w:r>
        <w:rPr>
          <w:rFonts w:hint="eastAsia" w:ascii="仿宋_GB2312" w:hAnsi="仿宋_GB2312" w:eastAsia="仿宋_GB2312" w:cs="仿宋_GB2312"/>
          <w:sz w:val="32"/>
          <w:szCs w:val="32"/>
        </w:rPr>
        <w:t>项目支出绩效自评表</w:t>
      </w:r>
    </w:p>
    <w:p>
      <w:pPr>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overflowPunct/>
        <w:topLinePunct w:val="0"/>
        <w:autoSpaceDE/>
        <w:autoSpaceDN/>
        <w:bidi w:val="0"/>
        <w:adjustRightInd/>
        <w:snapToGrid/>
        <w:spacing w:after="0" w:afterLines="0" w:line="500" w:lineRule="exact"/>
        <w:ind w:firstLine="320" w:firstLineChars="10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keepNext w:val="0"/>
        <w:keepLines w:val="0"/>
        <w:pageBreakBefore w:val="0"/>
        <w:widowControl w:val="0"/>
        <w:kinsoku/>
        <w:overflowPunct/>
        <w:topLinePunct w:val="0"/>
        <w:autoSpaceDE/>
        <w:autoSpaceDN/>
        <w:bidi w:val="0"/>
        <w:adjustRightInd/>
        <w:snapToGrid/>
        <w:spacing w:after="120" w:afterLines="50" w:line="600" w:lineRule="exact"/>
        <w:jc w:val="center"/>
        <w:textAlignment w:val="auto"/>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5</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3"/>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9</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8</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88.89%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108.72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194.05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lang w:val="en-US" w:eastAsia="zh-CN"/>
              </w:rPr>
              <w:t>193.18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108.72</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194.05</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193.18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color w:val="000000"/>
                <w:sz w:val="20"/>
                <w:szCs w:val="20"/>
                <w:highlight w:val="none"/>
              </w:rPr>
              <w:t>可再生能源、绿色建筑产业发展配套资金　</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48.72</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color w:val="000000"/>
                <w:sz w:val="20"/>
                <w:szCs w:val="20"/>
                <w:highlight w:val="none"/>
              </w:rPr>
              <w:t>绿色建筑产业发展和散装水泥管理</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60</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日常工作经费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yellow"/>
              </w:rPr>
            </w:pP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21.55</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20.68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省级绿色建造、浅层地热能建筑规模化应用度点补助资金</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172.5</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172.5</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28.36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25.14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18.75</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26.72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　</w:t>
            </w:r>
            <w:r>
              <w:rPr>
                <w:rFonts w:hint="eastAsia" w:ascii="仿宋_GB2312" w:hAnsi="仿宋_GB2312" w:eastAsia="仿宋_GB2312" w:cs="仿宋_GB2312"/>
                <w:color w:val="auto"/>
                <w:sz w:val="20"/>
                <w:szCs w:val="20"/>
                <w:lang w:val="en-US" w:eastAsia="zh-CN"/>
              </w:rPr>
              <w:t>24.26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18.07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1.64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　</w:t>
            </w:r>
            <w:r>
              <w:rPr>
                <w:rFonts w:hint="eastAsia" w:ascii="仿宋_GB2312" w:hAnsi="仿宋_GB2312" w:eastAsia="仿宋_GB2312" w:cs="仿宋_GB2312"/>
                <w:color w:val="auto"/>
                <w:sz w:val="20"/>
                <w:szCs w:val="20"/>
                <w:lang w:val="en-US" w:eastAsia="zh-CN"/>
              </w:rPr>
              <w:t>0.88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0.68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kern w:val="0"/>
                <w:sz w:val="20"/>
                <w:szCs w:val="20"/>
                <w:highlight w:val="none"/>
                <w:lang w:val="en-US" w:eastAsia="zh-CN" w:bidi="ar-SA"/>
              </w:rPr>
              <w:t>49.54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kern w:val="0"/>
                <w:sz w:val="20"/>
                <w:szCs w:val="20"/>
                <w:highlight w:val="none"/>
                <w:lang w:val="en-US" w:eastAsia="zh-CN" w:bidi="ar-SA"/>
              </w:rPr>
              <w:t>269.21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401.12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392.53</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ind w:left="199" w:leftChars="71" w:firstLine="200" w:firstLineChars="100"/>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eastAsia="zh-CN"/>
              </w:rPr>
              <w:t>中心</w:t>
            </w:r>
            <w:r>
              <w:rPr>
                <w:rFonts w:hint="eastAsia" w:ascii="仿宋_GB2312" w:hAnsi="仿宋_GB2312" w:eastAsia="仿宋_GB2312" w:cs="仿宋_GB2312"/>
                <w:sz w:val="20"/>
                <w:szCs w:val="20"/>
                <w:highlight w:val="none"/>
              </w:rPr>
              <w:t>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5</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84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111"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r>
      <w:tr>
        <w:tblPrEx>
          <w:tblCellMar>
            <w:top w:w="0" w:type="dxa"/>
            <w:left w:w="108" w:type="dxa"/>
            <w:bottom w:w="0" w:type="dxa"/>
            <w:right w:w="108" w:type="dxa"/>
          </w:tblCellMar>
        </w:tblPrEx>
        <w:trPr>
          <w:trHeight w:val="475"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厉行节约，严格按要求压减一般性支出　</w:t>
            </w:r>
            <w:r>
              <w:rPr>
                <w:rFonts w:hint="eastAsia" w:ascii="仿宋_GB2312" w:hAnsi="仿宋_GB2312" w:eastAsia="仿宋_GB2312" w:cs="仿宋_GB2312"/>
                <w:sz w:val="20"/>
                <w:szCs w:val="20"/>
                <w:highlight w:val="none"/>
              </w:rPr>
              <w:t>　</w:t>
            </w:r>
          </w:p>
        </w:tc>
      </w:tr>
    </w:tbl>
    <w:p>
      <w:pPr>
        <w:keepNext w:val="0"/>
        <w:keepLines w:val="0"/>
        <w:pageBreakBefore w:val="0"/>
        <w:widowControl w:val="0"/>
        <w:kinsoku/>
        <w:overflowPunct/>
        <w:topLinePunct w:val="0"/>
        <w:autoSpaceDE/>
        <w:autoSpaceDN/>
        <w:bidi w:val="0"/>
        <w:adjustRightInd/>
        <w:snapToGrid/>
        <w:spacing w:afterLines="0" w:line="400" w:lineRule="exact"/>
        <w:ind w:left="660" w:hanging="660" w:hangingChars="300"/>
        <w:jc w:val="left"/>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keepNext w:val="0"/>
        <w:keepLines w:val="0"/>
        <w:pageBreakBefore w:val="0"/>
        <w:widowControl w:val="0"/>
        <w:kinsoku/>
        <w:overflowPunct/>
        <w:topLinePunct w:val="0"/>
        <w:autoSpaceDE/>
        <w:autoSpaceDN/>
        <w:bidi w:val="0"/>
        <w:adjustRightInd/>
        <w:snapToGrid/>
        <w:spacing w:after="0" w:afterLines="0" w:line="4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李英</w:t>
      </w:r>
      <w:r>
        <w:rPr>
          <w:rFonts w:hint="default" w:ascii="Times New Roman" w:hAnsi="Times New Roman" w:eastAsia="仿宋_GB2312" w:cs="Times New Roman"/>
          <w:sz w:val="22"/>
          <w:highlight w:val="none"/>
        </w:rPr>
        <w:t xml:space="preserve">  填报日期： </w:t>
      </w:r>
      <w:r>
        <w:rPr>
          <w:rFonts w:hint="eastAsia" w:ascii="Times New Roman" w:hAnsi="Times New Roman" w:eastAsia="仿宋_GB2312" w:cs="Times New Roman"/>
          <w:sz w:val="22"/>
          <w:highlight w:val="none"/>
          <w:lang w:val="en-US" w:eastAsia="zh-CN"/>
        </w:rPr>
        <w:t>2026.3.30</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8758029</w:t>
      </w:r>
      <w:r>
        <w:rPr>
          <w:rFonts w:hint="default" w:ascii="Times New Roman" w:hAnsi="Times New Roman" w:eastAsia="仿宋_GB2312" w:cs="Times New Roman"/>
          <w:sz w:val="22"/>
          <w:highlight w:val="none"/>
        </w:rPr>
        <w:t xml:space="preserve">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pPr>
        <w:keepNext w:val="0"/>
        <w:keepLines w:val="0"/>
        <w:pageBreakBefore w:val="0"/>
        <w:widowControl w:val="0"/>
        <w:kinsoku/>
        <w:overflowPunct/>
        <w:topLinePunct w:val="0"/>
        <w:autoSpaceDE/>
        <w:autoSpaceDN/>
        <w:bidi w:val="0"/>
        <w:adjustRightInd/>
        <w:snapToGrid/>
        <w:spacing w:after="0" w:afterLines="0"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after="120" w:afterLines="50"/>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3"/>
        <w:tblW w:w="10079" w:type="dxa"/>
        <w:jc w:val="center"/>
        <w:tblLayout w:type="autofit"/>
        <w:tblCellMar>
          <w:top w:w="0" w:type="dxa"/>
          <w:left w:w="108" w:type="dxa"/>
          <w:bottom w:w="0" w:type="dxa"/>
          <w:right w:w="108" w:type="dxa"/>
        </w:tblCellMar>
      </w:tblPr>
      <w:tblGrid>
        <w:gridCol w:w="1080"/>
        <w:gridCol w:w="1080"/>
        <w:gridCol w:w="1034"/>
        <w:gridCol w:w="1539"/>
        <w:gridCol w:w="1135"/>
        <w:gridCol w:w="1176"/>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岳阳市绿色建筑产业发展服务中心</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p>
        </w:tc>
        <w:tc>
          <w:tcPr>
            <w:tcW w:w="153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135"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sz w:val="20"/>
                <w:szCs w:val="20"/>
                <w:highlight w:val="none"/>
              </w:rPr>
            </w:pPr>
            <w:r>
              <w:rPr>
                <w:rFonts w:hint="eastAsia" w:ascii="宋体" w:hAnsi="宋体" w:eastAsia="宋体" w:cs="宋体"/>
                <w:i w:val="0"/>
                <w:iCs w:val="0"/>
                <w:color w:val="000000"/>
                <w:kern w:val="0"/>
                <w:sz w:val="18"/>
                <w:szCs w:val="18"/>
                <w:u w:val="none"/>
                <w:lang w:val="en-US" w:eastAsia="zh-CN" w:bidi="ar"/>
              </w:rPr>
              <w:t>185.87</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sz w:val="20"/>
                <w:szCs w:val="20"/>
                <w:highlight w:val="none"/>
              </w:rPr>
            </w:pPr>
            <w:r>
              <w:rPr>
                <w:rFonts w:hint="eastAsia" w:ascii="宋体" w:hAnsi="宋体" w:eastAsia="宋体" w:cs="宋体"/>
                <w:i w:val="0"/>
                <w:iCs w:val="0"/>
                <w:color w:val="000000"/>
                <w:kern w:val="0"/>
                <w:sz w:val="18"/>
                <w:szCs w:val="18"/>
                <w:u w:val="none"/>
                <w:lang w:val="en-US" w:eastAsia="zh-CN" w:bidi="ar"/>
              </w:rPr>
              <w:t>401.12</w:t>
            </w:r>
          </w:p>
        </w:tc>
        <w:tc>
          <w:tcPr>
            <w:tcW w:w="11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sz w:val="20"/>
                <w:szCs w:val="20"/>
                <w:highlight w:val="none"/>
              </w:rPr>
            </w:pPr>
            <w:r>
              <w:rPr>
                <w:rFonts w:hint="eastAsia" w:ascii="宋体" w:hAnsi="宋体" w:eastAsia="宋体" w:cs="宋体"/>
                <w:i w:val="0"/>
                <w:iCs w:val="0"/>
                <w:color w:val="000000"/>
                <w:kern w:val="0"/>
                <w:sz w:val="18"/>
                <w:szCs w:val="18"/>
                <w:u w:val="none"/>
                <w:lang w:val="en-US" w:eastAsia="zh-CN" w:bidi="ar"/>
              </w:rPr>
              <w:t>392.53</w:t>
            </w:r>
          </w:p>
        </w:tc>
        <w:tc>
          <w:tcPr>
            <w:tcW w:w="7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sz w:val="20"/>
                <w:szCs w:val="20"/>
                <w:highlight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sz w:val="20"/>
                <w:szCs w:val="20"/>
                <w:highlight w:val="none"/>
              </w:rPr>
            </w:pPr>
            <w:r>
              <w:rPr>
                <w:rFonts w:hint="eastAsia" w:ascii="宋体" w:hAnsi="宋体" w:eastAsia="宋体" w:cs="宋体"/>
                <w:i w:val="0"/>
                <w:iCs w:val="0"/>
                <w:color w:val="000000"/>
                <w:kern w:val="0"/>
                <w:sz w:val="18"/>
                <w:szCs w:val="18"/>
                <w:u w:val="none"/>
                <w:lang w:val="en-US" w:eastAsia="zh-CN" w:bidi="ar"/>
              </w:rPr>
              <w:t>97.85%</w:t>
            </w:r>
          </w:p>
        </w:tc>
        <w:tc>
          <w:tcPr>
            <w:tcW w:w="144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sz w:val="20"/>
                <w:szCs w:val="20"/>
                <w:highlight w:val="none"/>
                <w:lang w:val="en-US"/>
              </w:rPr>
            </w:pPr>
            <w:r>
              <w:rPr>
                <w:rFonts w:hint="eastAsia" w:ascii="宋体" w:hAnsi="宋体" w:eastAsia="宋体" w:cs="宋体"/>
                <w:i w:val="0"/>
                <w:iCs w:val="0"/>
                <w:color w:val="000000"/>
                <w:kern w:val="0"/>
                <w:sz w:val="18"/>
                <w:szCs w:val="18"/>
                <w:u w:val="none"/>
                <w:lang w:val="en-US" w:eastAsia="zh-CN" w:bidi="ar"/>
              </w:rPr>
              <w:t>9.79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788"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211"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按支出性质分：</w:t>
            </w:r>
            <w:r>
              <w:rPr>
                <w:rFonts w:hint="eastAsia" w:ascii="仿宋_GB2312" w:hAnsi="仿宋_GB2312" w:eastAsia="仿宋_GB2312" w:cs="仿宋_GB2312"/>
                <w:color w:val="000000"/>
                <w:sz w:val="20"/>
                <w:szCs w:val="20"/>
                <w:highlight w:val="none"/>
                <w:lang w:val="en-US" w:eastAsia="zh-CN"/>
              </w:rPr>
              <w:t>392.53</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788"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其中：  一般公共预算：</w:t>
            </w:r>
            <w:r>
              <w:rPr>
                <w:rFonts w:hint="eastAsia" w:ascii="宋体" w:hAnsi="宋体" w:eastAsia="宋体" w:cs="宋体"/>
                <w:i w:val="0"/>
                <w:iCs w:val="0"/>
                <w:color w:val="000000"/>
                <w:kern w:val="0"/>
                <w:sz w:val="18"/>
                <w:szCs w:val="18"/>
                <w:u w:val="none"/>
                <w:lang w:val="en-US" w:eastAsia="zh-CN" w:bidi="ar"/>
              </w:rPr>
              <w:t>401.12</w:t>
            </w:r>
          </w:p>
        </w:tc>
        <w:tc>
          <w:tcPr>
            <w:tcW w:w="4211"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其中：基本支出：</w:t>
            </w:r>
            <w:r>
              <w:rPr>
                <w:rFonts w:hint="eastAsia" w:ascii="宋体" w:hAnsi="宋体" w:eastAsia="宋体" w:cs="宋体"/>
                <w:i w:val="0"/>
                <w:iCs w:val="0"/>
                <w:color w:val="000000"/>
                <w:kern w:val="0"/>
                <w:sz w:val="18"/>
                <w:szCs w:val="18"/>
                <w:u w:val="none"/>
                <w:lang w:val="en-US" w:eastAsia="zh-CN" w:bidi="ar"/>
              </w:rPr>
              <w:t>199.35</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788"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ind w:firstLine="800" w:firstLineChars="4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211"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项目支出：</w:t>
            </w:r>
            <w:r>
              <w:rPr>
                <w:rFonts w:hint="eastAsia" w:ascii="宋体" w:hAnsi="宋体" w:eastAsia="宋体" w:cs="宋体"/>
                <w:i w:val="0"/>
                <w:iCs w:val="0"/>
                <w:color w:val="000000"/>
                <w:kern w:val="0"/>
                <w:sz w:val="18"/>
                <w:szCs w:val="18"/>
                <w:u w:val="none"/>
                <w:lang w:val="en-US" w:eastAsia="zh-CN" w:bidi="ar"/>
              </w:rPr>
              <w:t>193.1</w:t>
            </w:r>
            <w:r>
              <w:rPr>
                <w:rFonts w:hint="eastAsia" w:ascii="宋体" w:hAnsi="宋体" w:cs="宋体"/>
                <w:i w:val="0"/>
                <w:iCs w:val="0"/>
                <w:color w:val="000000"/>
                <w:kern w:val="0"/>
                <w:sz w:val="18"/>
                <w:szCs w:val="18"/>
                <w:u w:val="none"/>
                <w:lang w:val="en-US" w:eastAsia="zh-CN" w:bidi="ar"/>
              </w:rPr>
              <w:t>8</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788"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211"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788"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ind w:firstLine="1400" w:firstLineChars="7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4211"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78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11"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78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指导全市新型墙体材料生产企业的生产，生产总量达到12.2亿标砖.2、指导协调全市预拌砂浆生产企业的生产、运输，生产总量达38万吨。3、指导协调全市商品混凝土生产企业的生产、运输，生产总量达420万立方。4、相关企业缴税款4000万元。5、对全市绿色建筑、建筑节能、新型墙体材料、散装水泥（含预拌混凝土、预抖砂浆、水泥制品）的生产质量情况进行每年3-5次的指导监督检查。</w:t>
            </w:r>
            <w:r>
              <w:rPr>
                <w:rFonts w:hint="eastAsia" w:ascii="仿宋_GB2312" w:hAnsi="仿宋_GB2312" w:eastAsia="仿宋_GB2312" w:cs="仿宋_GB2312"/>
                <w:color w:val="000000"/>
                <w:sz w:val="20"/>
                <w:szCs w:val="20"/>
                <w:highlight w:val="none"/>
              </w:rPr>
              <w:t>　　</w:t>
            </w:r>
          </w:p>
        </w:tc>
        <w:tc>
          <w:tcPr>
            <w:tcW w:w="4211"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1、生产总量达到11.03亿标砖.2、指导协调全市预拌砂浆生产企业的生产、运输，生产总量达30.23万吨。3、指导协调全市商品混凝土生产企业的生产、运输，生产总量达436万立方。4、相关企业缴税款</w:t>
            </w:r>
            <w:r>
              <w:rPr>
                <w:rFonts w:hint="eastAsia" w:ascii="宋体" w:hAnsi="宋体" w:cs="宋体"/>
                <w:i w:val="0"/>
                <w:iCs w:val="0"/>
                <w:color w:val="000000"/>
                <w:kern w:val="0"/>
                <w:sz w:val="18"/>
                <w:szCs w:val="18"/>
                <w:u w:val="none"/>
                <w:lang w:val="en-US" w:eastAsia="zh-CN" w:bidi="ar"/>
              </w:rPr>
              <w:t>5580</w:t>
            </w:r>
            <w:r>
              <w:rPr>
                <w:rFonts w:hint="eastAsia" w:ascii="宋体" w:hAnsi="宋体" w:eastAsia="宋体" w:cs="宋体"/>
                <w:i w:val="0"/>
                <w:iCs w:val="0"/>
                <w:color w:val="000000"/>
                <w:kern w:val="0"/>
                <w:sz w:val="18"/>
                <w:szCs w:val="18"/>
                <w:u w:val="none"/>
                <w:lang w:val="en-US" w:eastAsia="zh-CN" w:bidi="ar"/>
              </w:rPr>
              <w:t>万元。5、对全市绿色建筑、建筑节能、新型墙体材料、散装水泥（含预拌混凝土、预抖砂浆、水泥制品）的生产质量情况进行每年1次的指导监督检查。</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53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5"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nil"/>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企业生产新型墙体材料</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12.2亿标砖</w:t>
            </w:r>
          </w:p>
        </w:tc>
        <w:tc>
          <w:tcPr>
            <w:tcW w:w="11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11.03</w:t>
            </w:r>
            <w:r>
              <w:rPr>
                <w:rFonts w:hint="eastAsia" w:ascii="宋体" w:hAnsi="宋体" w:eastAsia="宋体" w:cs="宋体"/>
                <w:i w:val="0"/>
                <w:iCs w:val="0"/>
                <w:color w:val="000000"/>
                <w:kern w:val="0"/>
                <w:sz w:val="18"/>
                <w:szCs w:val="18"/>
                <w:u w:val="none"/>
                <w:lang w:val="en-US" w:eastAsia="zh-CN" w:bidi="ar"/>
              </w:rPr>
              <w:t>亿标砖</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企业生产预拌砂浆</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38万吨</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30.23万吨</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 xml:space="preserve">企业生产预拌混凝土 </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420万立方</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436万立方</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 xml:space="preserve">生产企业缴税款 </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4000万元</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5580万</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禁止现场搅拌散装水泥　 禁止现场搅拌散装水泥达到</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90%</w:t>
            </w:r>
          </w:p>
        </w:tc>
        <w:tc>
          <w:tcPr>
            <w:tcW w:w="11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90%</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新型墙材使用率 新型墙材使用率达到</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95%</w:t>
            </w:r>
          </w:p>
        </w:tc>
        <w:tc>
          <w:tcPr>
            <w:tcW w:w="11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95%</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7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53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本年内</w:t>
            </w:r>
          </w:p>
        </w:tc>
        <w:tc>
          <w:tcPr>
            <w:tcW w:w="1135"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本年内</w:t>
            </w:r>
            <w:r>
              <w:rPr>
                <w:rFonts w:hint="eastAsia" w:ascii="仿宋_GB2312" w:hAnsi="仿宋_GB2312" w:eastAsia="仿宋_GB2312" w:cs="仿宋_GB2312"/>
                <w:color w:val="000000"/>
                <w:sz w:val="20"/>
                <w:szCs w:val="20"/>
                <w:highlight w:val="none"/>
              </w:rPr>
              <w:t>　</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本年内</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0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539" w:type="dxa"/>
            <w:tcBorders>
              <w:top w:val="single" w:color="auto" w:sz="4" w:space="0"/>
              <w:left w:val="nil"/>
              <w:bottom w:val="single" w:color="auto" w:sz="4" w:space="0"/>
              <w:right w:val="single" w:color="auto" w:sz="4" w:space="0"/>
            </w:tcBorders>
            <w:noWrap w:val="0"/>
            <w:vAlign w:val="bottom"/>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预算内</w:t>
            </w:r>
          </w:p>
        </w:tc>
        <w:tc>
          <w:tcPr>
            <w:tcW w:w="113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lang w:eastAsia="zh-CN"/>
              </w:rPr>
            </w:pPr>
            <w:r>
              <w:rPr>
                <w:rFonts w:hint="eastAsia" w:ascii="宋体" w:hAnsi="宋体" w:eastAsia="宋体" w:cs="宋体"/>
                <w:i w:val="0"/>
                <w:iCs w:val="0"/>
                <w:color w:val="000000"/>
                <w:kern w:val="0"/>
                <w:sz w:val="18"/>
                <w:szCs w:val="18"/>
                <w:u w:val="none"/>
                <w:lang w:val="en-US" w:eastAsia="zh-CN" w:bidi="ar"/>
              </w:rPr>
              <w:t xml:space="preserve"> 控制在预算金额内</w:t>
            </w:r>
          </w:p>
        </w:tc>
        <w:tc>
          <w:tcPr>
            <w:tcW w:w="117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lang w:eastAsia="zh-CN"/>
              </w:rPr>
            </w:pPr>
            <w:r>
              <w:rPr>
                <w:rFonts w:hint="eastAsia" w:ascii="宋体" w:hAnsi="宋体" w:eastAsia="宋体" w:cs="宋体"/>
                <w:i w:val="0"/>
                <w:iCs w:val="0"/>
                <w:color w:val="000000"/>
                <w:kern w:val="0"/>
                <w:sz w:val="18"/>
                <w:szCs w:val="18"/>
                <w:u w:val="none"/>
                <w:lang w:val="en-US" w:eastAsia="zh-CN" w:bidi="ar"/>
              </w:rPr>
              <w:t>完成</w:t>
            </w:r>
          </w:p>
        </w:tc>
        <w:tc>
          <w:tcPr>
            <w:tcW w:w="71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8</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 xml:space="preserve">绿色建筑竣工面积比率 </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w:t>
            </w:r>
          </w:p>
        </w:tc>
        <w:tc>
          <w:tcPr>
            <w:tcW w:w="11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w:t>
            </w:r>
          </w:p>
        </w:tc>
        <w:tc>
          <w:tcPr>
            <w:tcW w:w="7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10</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 xml:space="preserve">提高社会公众的节能环保意识,改变了普通市民对建筑用能的传统观念。 </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显著提高</w:t>
            </w:r>
          </w:p>
        </w:tc>
        <w:tc>
          <w:tcPr>
            <w:tcW w:w="11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完成</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5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 xml:space="preserve">减轻环境污染，改善环境 </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i w:val="0"/>
                <w:iCs w:val="0"/>
                <w:color w:val="000000"/>
                <w:kern w:val="2"/>
                <w:sz w:val="20"/>
                <w:szCs w:val="20"/>
                <w:highlight w:val="none"/>
                <w:u w:val="none"/>
                <w:lang w:val="en-US" w:eastAsia="zh-CN" w:bidi="ar"/>
              </w:rPr>
              <w:t>逐步改善</w:t>
            </w:r>
            <w:r>
              <w:rPr>
                <w:rFonts w:hint="eastAsia" w:ascii="宋体" w:hAnsi="宋体" w:eastAsia="宋体" w:cs="宋体"/>
                <w:i w:val="0"/>
                <w:iCs w:val="0"/>
                <w:color w:val="000000"/>
                <w:kern w:val="0"/>
                <w:sz w:val="18"/>
                <w:szCs w:val="18"/>
                <w:u w:val="none"/>
                <w:lang w:val="en-US" w:eastAsia="zh-CN" w:bidi="ar"/>
              </w:rPr>
              <w:t>提升</w:t>
            </w:r>
          </w:p>
        </w:tc>
        <w:tc>
          <w:tcPr>
            <w:tcW w:w="11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完成</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5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提高全社会的节能环保意识、倡导绿色低碳</w:t>
            </w: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i w:val="0"/>
                <w:iCs w:val="0"/>
                <w:color w:val="000000"/>
                <w:kern w:val="2"/>
                <w:sz w:val="20"/>
                <w:szCs w:val="20"/>
                <w:highlight w:val="none"/>
                <w:u w:val="none"/>
                <w:lang w:val="en-US" w:eastAsia="zh-CN" w:bidi="ar"/>
              </w:rPr>
              <w:t>不断提高</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5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群众满意度</w:t>
            </w:r>
          </w:p>
        </w:tc>
        <w:tc>
          <w:tcPr>
            <w:tcW w:w="11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90%</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90%</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5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生产企业项目评审，评定的初审、报批</w:t>
            </w:r>
          </w:p>
        </w:tc>
        <w:tc>
          <w:tcPr>
            <w:tcW w:w="11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11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95.29</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李英</w:t>
      </w:r>
      <w:r>
        <w:rPr>
          <w:rFonts w:hint="default" w:ascii="Times New Roman" w:hAnsi="Times New Roman" w:eastAsia="仿宋_GB2312" w:cs="Times New Roman"/>
          <w:sz w:val="22"/>
          <w:highlight w:val="none"/>
        </w:rPr>
        <w:t xml:space="preserve">  填报日期： </w:t>
      </w:r>
      <w:r>
        <w:rPr>
          <w:rFonts w:hint="eastAsia" w:ascii="Times New Roman" w:hAnsi="Times New Roman" w:eastAsia="仿宋_GB2312" w:cs="Times New Roman"/>
          <w:sz w:val="22"/>
          <w:highlight w:val="none"/>
          <w:lang w:val="en-US" w:eastAsia="zh-CN"/>
        </w:rPr>
        <w:t>2026.3.30</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8758029</w:t>
      </w:r>
      <w:r>
        <w:rPr>
          <w:rFonts w:hint="default" w:ascii="Times New Roman" w:hAnsi="Times New Roman" w:eastAsia="仿宋_GB2312" w:cs="Times New Roman"/>
          <w:sz w:val="22"/>
          <w:highlight w:val="none"/>
        </w:rPr>
        <w:t xml:space="preserve">   单位负责人签字：</w:t>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22"/>
          <w:highlight w:val="none"/>
        </w:rPr>
      </w:pPr>
      <w:bookmarkStart w:id="0" w:name="_GoBack"/>
      <w:bookmarkEnd w:id="0"/>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autofit"/>
        <w:tblCellMar>
          <w:top w:w="0" w:type="dxa"/>
          <w:left w:w="108" w:type="dxa"/>
          <w:bottom w:w="0" w:type="dxa"/>
          <w:right w:w="108" w:type="dxa"/>
        </w:tblCellMar>
      </w:tblPr>
      <w:tblGrid>
        <w:gridCol w:w="909"/>
        <w:gridCol w:w="1080"/>
        <w:gridCol w:w="1050"/>
        <w:gridCol w:w="1665"/>
        <w:gridCol w:w="894"/>
        <w:gridCol w:w="1134"/>
        <w:gridCol w:w="828"/>
        <w:gridCol w:w="873"/>
        <w:gridCol w:w="1418"/>
      </w:tblGrid>
      <w:tr>
        <w:tblPrEx>
          <w:tblCellMar>
            <w:top w:w="0" w:type="dxa"/>
            <w:left w:w="108" w:type="dxa"/>
            <w:bottom w:w="0" w:type="dxa"/>
            <w:right w:w="108" w:type="dxa"/>
          </w:tblCellMar>
        </w:tblPrEx>
        <w:trPr>
          <w:jc w:val="center"/>
        </w:trPr>
        <w:tc>
          <w:tcPr>
            <w:tcW w:w="9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942"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b/>
                <w:bCs/>
                <w:i w:val="0"/>
                <w:iCs w:val="0"/>
                <w:color w:val="000000"/>
                <w:kern w:val="0"/>
                <w:sz w:val="18"/>
                <w:szCs w:val="18"/>
                <w:u w:val="none"/>
                <w:lang w:val="en-US" w:eastAsia="zh-CN" w:bidi="ar"/>
              </w:rPr>
              <w:t>日常工作经费</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68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岳阳市绿色建筑产业发展服务中心</w:t>
            </w:r>
          </w:p>
        </w:tc>
      </w:tr>
      <w:tr>
        <w:tblPrEx>
          <w:tblCellMar>
            <w:top w:w="0" w:type="dxa"/>
            <w:left w:w="108" w:type="dxa"/>
            <w:bottom w:w="0" w:type="dxa"/>
            <w:right w:w="108" w:type="dxa"/>
          </w:tblCellMar>
        </w:tblPrEx>
        <w:trPr>
          <w:jc w:val="center"/>
        </w:trPr>
        <w:tc>
          <w:tcPr>
            <w:tcW w:w="909"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909"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21.55</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21.55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20.68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95.91%</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95.91</w:t>
            </w:r>
          </w:p>
        </w:tc>
      </w:tr>
      <w:tr>
        <w:tblPrEx>
          <w:tblCellMar>
            <w:top w:w="0" w:type="dxa"/>
            <w:left w:w="108" w:type="dxa"/>
            <w:bottom w:w="0" w:type="dxa"/>
            <w:right w:w="108" w:type="dxa"/>
          </w:tblCellMar>
        </w:tblPrEx>
        <w:trPr>
          <w:jc w:val="center"/>
        </w:trPr>
        <w:tc>
          <w:tcPr>
            <w:tcW w:w="909"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20</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19.13</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1.55</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1.55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89"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909"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689"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根据市委、市政府部署，岳阳市绿色建筑产业发展服务中心具体实施绿色建材推广工作，新型墙体材料、预拌砂浆、预拌混凝土、装配式建筑部品部件、节能防水等绿色建材生产企业监管和产品抽检、项目星级评定；</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全年完成10家新型墙材企业认证、13个产品认定，为6家预拌砂浆生产企业办理实验室换证，组织28人参加省厅预拌砂浆实验室人员培训，为36家企业的60个产品（材料）提供上门质量检测服务，</w:t>
            </w:r>
          </w:p>
        </w:tc>
      </w:tr>
      <w:tr>
        <w:tblPrEx>
          <w:tblCellMar>
            <w:top w:w="0" w:type="dxa"/>
            <w:left w:w="108" w:type="dxa"/>
            <w:bottom w:w="0" w:type="dxa"/>
            <w:right w:w="108" w:type="dxa"/>
          </w:tblCellMar>
        </w:tblPrEx>
        <w:trPr>
          <w:jc w:val="center"/>
        </w:trPr>
        <w:tc>
          <w:tcPr>
            <w:tcW w:w="909"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375" w:hRule="atLeast"/>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5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新型墙材企业认证</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10家</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10家</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5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预拌砂浆生产企业办理实验室换证</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6家</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6家</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6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通过检查或验收</w:t>
            </w:r>
          </w:p>
        </w:tc>
        <w:tc>
          <w:tcPr>
            <w:tcW w:w="8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90" w:hRule="atLeast"/>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本年内</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本年内</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本年内</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75" w:hRule="atLeast"/>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预算内</w:t>
            </w:r>
          </w:p>
        </w:tc>
        <w:tc>
          <w:tcPr>
            <w:tcW w:w="89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19.12</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6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绿色建筑竣工面积比率</w:t>
            </w:r>
          </w:p>
        </w:tc>
        <w:tc>
          <w:tcPr>
            <w:tcW w:w="8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宋体" w:hAnsi="宋体" w:cs="宋体"/>
                <w:i w:val="0"/>
                <w:iCs w:val="0"/>
                <w:color w:val="000000"/>
                <w:kern w:val="0"/>
                <w:sz w:val="18"/>
                <w:szCs w:val="18"/>
                <w:u w:val="none"/>
                <w:lang w:val="en-US" w:eastAsia="zh-CN" w:bidi="ar"/>
              </w:rPr>
              <w:t>50</w:t>
            </w:r>
            <w:r>
              <w:rPr>
                <w:rFonts w:hint="eastAsia" w:ascii="宋体" w:hAnsi="宋体" w:eastAsia="宋体" w:cs="宋体"/>
                <w:i w:val="0"/>
                <w:iCs w:val="0"/>
                <w:color w:val="000000"/>
                <w:kern w:val="0"/>
                <w:sz w:val="18"/>
                <w:szCs w:val="18"/>
                <w:u w:val="none"/>
                <w:lang w:val="en-US" w:eastAsia="zh-CN" w:bidi="ar"/>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6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提高社会公众的节能环保意识,改变了普通市民对建筑用能的传统观念。</w:t>
            </w:r>
          </w:p>
        </w:tc>
        <w:tc>
          <w:tcPr>
            <w:tcW w:w="8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显著提高</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8</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6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减轻环境污染，改善环境</w:t>
            </w:r>
          </w:p>
        </w:tc>
        <w:tc>
          <w:tcPr>
            <w:tcW w:w="894" w:type="dxa"/>
            <w:tcBorders>
              <w:top w:val="nil"/>
              <w:left w:val="nil"/>
              <w:bottom w:val="single" w:color="auto" w:sz="4" w:space="0"/>
              <w:right w:val="single" w:color="auto" w:sz="4" w:space="0"/>
            </w:tcBorders>
            <w:noWrap w:val="0"/>
            <w:vAlign w:val="center"/>
          </w:tcPr>
          <w:p>
            <w:pPr>
              <w:keepNext w:val="0"/>
              <w:keepLines w:val="0"/>
              <w:widowControl/>
              <w:suppressLineNumbers w:val="0"/>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i w:val="0"/>
                <w:iCs w:val="0"/>
                <w:color w:val="000000"/>
                <w:kern w:val="2"/>
                <w:sz w:val="20"/>
                <w:szCs w:val="20"/>
                <w:highlight w:val="none"/>
                <w:u w:val="none"/>
                <w:lang w:val="en-US" w:eastAsia="zh-CN" w:bidi="ar"/>
              </w:rPr>
              <w:t>逐步改善</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6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提高全社会的节能、环保意识、倡导绿色、低碳发展理念</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i w:val="0"/>
                <w:iCs w:val="0"/>
                <w:color w:val="000000"/>
                <w:kern w:val="2"/>
                <w:sz w:val="20"/>
                <w:szCs w:val="20"/>
                <w:highlight w:val="none"/>
                <w:u w:val="none"/>
                <w:lang w:val="en-US" w:eastAsia="zh-CN" w:bidi="ar"/>
              </w:rPr>
              <w:t>不断提高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5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6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群众满意度</w:t>
            </w:r>
          </w:p>
        </w:tc>
        <w:tc>
          <w:tcPr>
            <w:tcW w:w="8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宋体" w:hAnsi="宋体" w:eastAsia="宋体" w:cs="宋体"/>
                <w:i w:val="0"/>
                <w:iCs w:val="0"/>
                <w:color w:val="000000"/>
                <w:kern w:val="0"/>
                <w:sz w:val="18"/>
                <w:szCs w:val="18"/>
                <w:u w:val="none"/>
                <w:lang w:val="en-US" w:eastAsia="zh-CN" w:bidi="ar"/>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宋体" w:hAnsi="宋体" w:eastAsia="宋体" w:cs="宋体"/>
                <w:i w:val="0"/>
                <w:iCs w:val="0"/>
                <w:color w:val="000000"/>
                <w:kern w:val="0"/>
                <w:sz w:val="18"/>
                <w:szCs w:val="18"/>
                <w:u w:val="none"/>
                <w:lang w:val="en-US" w:eastAsia="zh-CN" w:bidi="ar"/>
              </w:rPr>
              <w:t>95%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服务企业满意度</w:t>
            </w:r>
          </w:p>
        </w:tc>
        <w:tc>
          <w:tcPr>
            <w:tcW w:w="8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宋体" w:hAnsi="宋体" w:eastAsia="宋体" w:cs="宋体"/>
                <w:i w:val="0"/>
                <w:iCs w:val="0"/>
                <w:color w:val="000000"/>
                <w:kern w:val="0"/>
                <w:sz w:val="18"/>
                <w:szCs w:val="18"/>
                <w:u w:val="none"/>
                <w:lang w:val="en-US" w:eastAsia="zh-CN" w:bidi="ar"/>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宋体" w:hAnsi="宋体" w:eastAsia="宋体" w:cs="宋体"/>
                <w:i w:val="0"/>
                <w:iCs w:val="0"/>
                <w:color w:val="000000"/>
                <w:kern w:val="0"/>
                <w:sz w:val="18"/>
                <w:szCs w:val="18"/>
                <w:u w:val="none"/>
                <w:lang w:val="en-US" w:eastAsia="zh-CN" w:bidi="ar"/>
              </w:rPr>
              <w:t>95%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李英</w:t>
      </w:r>
      <w:r>
        <w:rPr>
          <w:rFonts w:hint="default" w:ascii="Times New Roman" w:hAnsi="Times New Roman" w:eastAsia="仿宋_GB2312" w:cs="Times New Roman"/>
          <w:sz w:val="22"/>
          <w:highlight w:val="none"/>
        </w:rPr>
        <w:t xml:space="preserve">  填报日期： </w:t>
      </w:r>
      <w:r>
        <w:rPr>
          <w:rFonts w:hint="eastAsia" w:ascii="Times New Roman" w:hAnsi="Times New Roman" w:eastAsia="仿宋_GB2312" w:cs="Times New Roman"/>
          <w:sz w:val="22"/>
          <w:highlight w:val="none"/>
          <w:lang w:val="en-US" w:eastAsia="zh-CN"/>
        </w:rPr>
        <w:t>2026.3.30</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8758029</w:t>
      </w:r>
      <w:r>
        <w:rPr>
          <w:rFonts w:hint="default" w:ascii="Times New Roman" w:hAnsi="Times New Roman" w:eastAsia="仿宋_GB2312" w:cs="Times New Roman"/>
          <w:sz w:val="22"/>
          <w:highlight w:val="none"/>
        </w:rPr>
        <w:t xml:space="preserve">   单位负责人签字：</w:t>
      </w:r>
    </w:p>
    <w:p>
      <w:pPr>
        <w:keepNext w:val="0"/>
        <w:keepLines w:val="0"/>
        <w:pageBreakBefore w:val="0"/>
        <w:widowControl w:val="0"/>
        <w:kinsoku/>
        <w:overflowPunct/>
        <w:topLinePunct w:val="0"/>
        <w:autoSpaceDE/>
        <w:autoSpaceDN/>
        <w:bidi w:val="0"/>
        <w:adjustRightInd/>
        <w:snapToGrid/>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autofit"/>
        <w:tblCellMar>
          <w:top w:w="0" w:type="dxa"/>
          <w:left w:w="108" w:type="dxa"/>
          <w:bottom w:w="0" w:type="dxa"/>
          <w:right w:w="108" w:type="dxa"/>
        </w:tblCellMar>
      </w:tblPr>
      <w:tblGrid>
        <w:gridCol w:w="903"/>
        <w:gridCol w:w="1005"/>
        <w:gridCol w:w="1125"/>
        <w:gridCol w:w="1431"/>
        <w:gridCol w:w="1134"/>
        <w:gridCol w:w="1134"/>
        <w:gridCol w:w="828"/>
        <w:gridCol w:w="873"/>
        <w:gridCol w:w="1418"/>
      </w:tblGrid>
      <w:tr>
        <w:tblPrEx>
          <w:tblCellMar>
            <w:top w:w="0" w:type="dxa"/>
            <w:left w:w="108" w:type="dxa"/>
            <w:bottom w:w="0" w:type="dxa"/>
            <w:right w:w="108" w:type="dxa"/>
          </w:tblCellMar>
        </w:tblPrEx>
        <w:trPr>
          <w:jc w:val="center"/>
        </w:trPr>
        <w:tc>
          <w:tcPr>
            <w:tcW w:w="9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948"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b/>
                <w:bCs/>
                <w:i w:val="0"/>
                <w:iCs w:val="0"/>
                <w:color w:val="000000"/>
                <w:kern w:val="0"/>
                <w:sz w:val="18"/>
                <w:szCs w:val="18"/>
                <w:u w:val="none"/>
                <w:lang w:val="en-US" w:eastAsia="zh-CN" w:bidi="ar"/>
              </w:rPr>
              <w:t>省级绿色建造、浅层地热能建筑规模化应用度点补助资金</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695"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岳阳市绿色建筑产业发展服务中心</w:t>
            </w:r>
          </w:p>
        </w:tc>
      </w:tr>
      <w:tr>
        <w:tblPrEx>
          <w:tblCellMar>
            <w:top w:w="0" w:type="dxa"/>
            <w:left w:w="108" w:type="dxa"/>
            <w:bottom w:w="0" w:type="dxa"/>
            <w:right w:w="108" w:type="dxa"/>
          </w:tblCellMar>
        </w:tblPrEx>
        <w:trPr>
          <w:jc w:val="center"/>
        </w:trPr>
        <w:tc>
          <w:tcPr>
            <w:tcW w:w="903"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90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4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172.5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172.5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172.5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90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4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172.5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172.5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172.5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4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3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4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90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补助装配式农村自建房项目9个，出台技术规则或技术文件2个，开展绿色建造相关课题研究2个，选定重点项目目标任务调度第三方技术咨询单位1家，引导本地高校开设相关专业1家。</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完成补助装配式农村自建房项目9个，出台技术规则或技术文件2个，开展绿色建造相关课题研究2个，选定重点项目目标任务调度第三方技术咨询单位1家，引导本地高校开设相关专业1家。</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12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4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125" w:type="dxa"/>
            <w:vMerge w:val="restart"/>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装配式农村自建房项目</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9个</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9个</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出台技术规则或技术文件</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2个</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2个</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开展绿色建造相关课题研究</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2个</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2个</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1243" w:hRule="atLeast"/>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选定重点项目目标任务调度第三方技术咨询单位</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1家</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1家</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引导本地高校开设相关专业</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1家</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1家</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rPr>
            </w:pPr>
            <w:r>
              <w:rPr>
                <w:rFonts w:hint="eastAsia" w:ascii="宋体" w:hAnsi="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装配式农村自建房项目</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9个</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9个</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10.00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完成相关指标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年底完成</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完成</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rPr>
            </w:pPr>
            <w:r>
              <w:rPr>
                <w:rFonts w:hint="eastAsia" w:ascii="宋体" w:hAnsi="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预算内</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172.5</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172.5</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建筑示范项目的质量、工期、造价</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优于传统项目，示范效应明显</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提升</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8.00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建立相关专业人才培育体系</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引导本地高校开高相关专业</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完成</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8.00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减少施工中垃圾产生及碳排放量</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逐步减少</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逐步减少</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8.00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4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125"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群众满意度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90%</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91%</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903"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25"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服务企业满意度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90%</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91%</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0"/>
                <w:szCs w:val="20"/>
                <w:highlight w:val="none"/>
              </w:rPr>
            </w:pPr>
            <w:r>
              <w:rPr>
                <w:rFonts w:hint="eastAsia" w:ascii="宋体" w:hAnsi="宋体" w:eastAsia="宋体" w:cs="宋体"/>
                <w:i w:val="0"/>
                <w:iCs w:val="0"/>
                <w:color w:val="000000"/>
                <w:kern w:val="0"/>
                <w:sz w:val="18"/>
                <w:szCs w:val="18"/>
                <w:u w:val="none"/>
                <w:lang w:val="en-US" w:eastAsia="zh-CN" w:bidi="ar"/>
              </w:rPr>
              <w:t>5.00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94</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textAlignment w:val="auto"/>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李英</w:t>
      </w:r>
      <w:r>
        <w:rPr>
          <w:rFonts w:hint="default" w:ascii="Times New Roman" w:hAnsi="Times New Roman" w:eastAsia="仿宋_GB2312" w:cs="Times New Roman"/>
          <w:sz w:val="22"/>
          <w:highlight w:val="none"/>
        </w:rPr>
        <w:t xml:space="preserve">  填报日期： </w:t>
      </w:r>
      <w:r>
        <w:rPr>
          <w:rFonts w:hint="eastAsia" w:ascii="Times New Roman" w:hAnsi="Times New Roman" w:eastAsia="仿宋_GB2312" w:cs="Times New Roman"/>
          <w:sz w:val="22"/>
          <w:highlight w:val="none"/>
          <w:lang w:val="en-US" w:eastAsia="zh-CN"/>
        </w:rPr>
        <w:t>2026.3.30</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8758029</w:t>
      </w:r>
      <w:r>
        <w:rPr>
          <w:rFonts w:hint="default" w:ascii="Times New Roman" w:hAnsi="Times New Roman" w:eastAsia="仿宋_GB2312" w:cs="Times New Roman"/>
          <w:sz w:val="22"/>
          <w:highlight w:val="none"/>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16D036-F3E9-497A-A17A-4D9459CE62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2EA66782-881B-4078-BCA9-0B6394E8892B}"/>
  </w:font>
  <w:font w:name="方正小标宋_GBK">
    <w:panose1 w:val="02000000000000000000"/>
    <w:charset w:val="86"/>
    <w:family w:val="script"/>
    <w:pitch w:val="default"/>
    <w:sig w:usb0="A00002BF" w:usb1="38CF7CFA" w:usb2="00082016" w:usb3="00000000" w:csb0="00040001" w:csb1="00000000"/>
    <w:embedRegular r:id="rId3" w:fontKey="{74C24DE1-EE14-4435-AF61-DFE4C798F3A0}"/>
  </w:font>
  <w:font w:name="楷体_GB2312">
    <w:panose1 w:val="02010609030101010101"/>
    <w:charset w:val="86"/>
    <w:family w:val="modern"/>
    <w:pitch w:val="default"/>
    <w:sig w:usb0="00000001" w:usb1="080E0000" w:usb2="00000000" w:usb3="00000000" w:csb0="00040000" w:csb1="00000000"/>
    <w:embedRegular r:id="rId4" w:fontKey="{ED1E383A-47B8-4300-9DD3-351458D84BC9}"/>
  </w:font>
  <w:font w:name="仿宋_GB2312">
    <w:panose1 w:val="02010609030101010101"/>
    <w:charset w:val="86"/>
    <w:family w:val="modern"/>
    <w:pitch w:val="default"/>
    <w:sig w:usb0="00000001" w:usb1="080E0000" w:usb2="00000000" w:usb3="00000000" w:csb0="00040000" w:csb1="00000000"/>
    <w:embedRegular r:id="rId5" w:fontKey="{3E951329-FEAA-4CBA-8A5E-576449A4E52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37B0F"/>
    <w:multiLevelType w:val="singleLevel"/>
    <w:tmpl w:val="93337B0F"/>
    <w:lvl w:ilvl="0" w:tentative="0">
      <w:start w:val="8"/>
      <w:numFmt w:val="chineseCounting"/>
      <w:suff w:val="nothing"/>
      <w:lvlText w:val="%1、"/>
      <w:lvlJc w:val="left"/>
      <w:rPr>
        <w:rFonts w:hint="eastAsia"/>
      </w:rPr>
    </w:lvl>
  </w:abstractNum>
  <w:abstractNum w:abstractNumId="1">
    <w:nsid w:val="EB5007AC"/>
    <w:multiLevelType w:val="singleLevel"/>
    <w:tmpl w:val="EB5007AC"/>
    <w:lvl w:ilvl="0" w:tentative="0">
      <w:start w:val="1"/>
      <w:numFmt w:val="chineseCounting"/>
      <w:suff w:val="nothing"/>
      <w:lvlText w:val="%1、"/>
      <w:lvlJc w:val="left"/>
      <w:rPr>
        <w:rFonts w:hint="eastAsia"/>
      </w:rPr>
    </w:lvl>
  </w:abstractNum>
  <w:abstractNum w:abstractNumId="2">
    <w:nsid w:val="5F10AED5"/>
    <w:multiLevelType w:val="singleLevel"/>
    <w:tmpl w:val="5F10AED5"/>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2VhYTYxNDQ4ZTRjMmI4MGM3MmJiY2M5Mjk0M2YifQ=="/>
  </w:docVars>
  <w:rsids>
    <w:rsidRoot w:val="37097DAF"/>
    <w:rsid w:val="000228E5"/>
    <w:rsid w:val="09AD03A9"/>
    <w:rsid w:val="21A24D7A"/>
    <w:rsid w:val="2CCD478B"/>
    <w:rsid w:val="303A20E7"/>
    <w:rsid w:val="31E2368C"/>
    <w:rsid w:val="37097DAF"/>
    <w:rsid w:val="38AC01D0"/>
    <w:rsid w:val="3D734E8A"/>
    <w:rsid w:val="45FE5FC8"/>
    <w:rsid w:val="48EF1D36"/>
    <w:rsid w:val="4FB446EB"/>
    <w:rsid w:val="50984C62"/>
    <w:rsid w:val="5294487C"/>
    <w:rsid w:val="5D105DFA"/>
    <w:rsid w:val="6B74423C"/>
    <w:rsid w:val="71C70D25"/>
    <w:rsid w:val="74623212"/>
    <w:rsid w:val="74D5111C"/>
    <w:rsid w:val="7A8B1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keepNext w:val="0"/>
      <w:keepLines w:val="0"/>
      <w:widowControl w:val="0"/>
      <w:suppressLineNumbers w:val="0"/>
      <w:spacing w:before="100" w:beforeAutospacing="1" w:after="100" w:afterAutospacing="1"/>
      <w:ind w:left="0" w:right="0"/>
      <w:jc w:val="left"/>
    </w:pPr>
    <w:rPr>
      <w:rFonts w:hint="eastAsia" w:ascii="仿宋" w:hAnsi="仿宋" w:eastAsia="宋体" w:cs="Times New Roman"/>
      <w:kern w:val="0"/>
      <w:sz w:val="24"/>
      <w:szCs w:val="24"/>
      <w:lang w:val="en-US" w:eastAsia="zh-CN" w:bidi="ar"/>
    </w:rPr>
  </w:style>
  <w:style w:type="paragraph" w:styleId="5">
    <w:name w:val="List Paragraph"/>
    <w:basedOn w:val="1"/>
    <w:qFormat/>
    <w:uiPriority w:val="99"/>
    <w:pPr>
      <w:ind w:firstLine="420" w:firstLineChars="200"/>
    </w:pPr>
    <w:rPr>
      <w:rFonts w:ascii="Calibri" w:hAnsi="Calibri"/>
      <w:szCs w:val="22"/>
    </w:rPr>
  </w:style>
  <w:style w:type="paragraph" w:customStyle="1" w:styleId="6">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8"/>
      <w:szCs w:val="22"/>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5795</Words>
  <Characters>6375</Characters>
  <Lines>0</Lines>
  <Paragraphs>0</Paragraphs>
  <TotalTime>16</TotalTime>
  <ScaleCrop>false</ScaleCrop>
  <LinksUpToDate>false</LinksUpToDate>
  <CharactersWithSpaces>6642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2026-06-15T08:09:00Z</dcterms:created>
  <dc:creator>李</dc:creator>
  <cp:lastModifiedBy>李</cp:lastModifiedBy>
  <cp:lastPrinted>2026-07-07T08:44:29Z</cp:lastPrinted>
  <dcterms:modified xsi:type="dcterms:W3CDTF">2026-07-07T08:50:18Z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28677670870A4542B008234038E660C0_11</vt:lpwstr>
  </property>
</Properties>
</file>