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87C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both"/>
        <w:textAlignment w:val="auto"/>
        <w:rPr>
          <w:rFonts w:hint="eastAsia" w:ascii="仿宋" w:hAnsi="仿宋" w:eastAsia="仿宋" w:cs="仿宋"/>
          <w:b w:val="0"/>
          <w:bCs w:val="0"/>
          <w:i w:val="0"/>
          <w:iCs w:val="0"/>
          <w:snapToGrid w:val="0"/>
          <w:color w:val="000000"/>
          <w:kern w:val="0"/>
          <w:sz w:val="24"/>
          <w:szCs w:val="24"/>
          <w:u w:val="none"/>
          <w:lang w:val="en-US" w:eastAsia="zh-CN" w:bidi="ar"/>
        </w:rPr>
      </w:pPr>
      <w:r>
        <w:rPr>
          <w:rFonts w:hint="eastAsia" w:ascii="仿宋" w:hAnsi="仿宋" w:eastAsia="仿宋" w:cs="仿宋"/>
          <w:b w:val="0"/>
          <w:bCs w:val="0"/>
          <w:i w:val="0"/>
          <w:iCs w:val="0"/>
          <w:snapToGrid w:val="0"/>
          <w:color w:val="000000"/>
          <w:kern w:val="0"/>
          <w:sz w:val="24"/>
          <w:szCs w:val="24"/>
          <w:u w:val="none"/>
          <w:lang w:val="en-US" w:eastAsia="zh-CN" w:bidi="ar"/>
        </w:rPr>
        <w:t>附件2</w:t>
      </w:r>
    </w:p>
    <w:p w14:paraId="100B9FB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bCs/>
          <w:i w:val="0"/>
          <w:iCs w:val="0"/>
          <w:snapToGrid w:val="0"/>
          <w:color w:val="000000"/>
          <w:kern w:val="0"/>
          <w:sz w:val="32"/>
          <w:szCs w:val="32"/>
          <w:u w:val="none"/>
          <w:lang w:val="en-US" w:eastAsia="zh-CN" w:bidi="ar"/>
        </w:rPr>
      </w:pPr>
      <w:bookmarkStart w:id="0" w:name="_GoBack"/>
      <w:bookmarkEnd w:id="0"/>
      <w:r>
        <w:rPr>
          <w:rFonts w:hint="eastAsia" w:ascii="宋体" w:hAnsi="宋体" w:eastAsia="宋体" w:cs="宋体"/>
          <w:b/>
          <w:bCs/>
          <w:i w:val="0"/>
          <w:iCs w:val="0"/>
          <w:snapToGrid w:val="0"/>
          <w:color w:val="000000"/>
          <w:kern w:val="0"/>
          <w:sz w:val="32"/>
          <w:szCs w:val="32"/>
          <w:u w:val="none"/>
          <w:lang w:val="en-US" w:eastAsia="zh-CN" w:bidi="ar"/>
        </w:rPr>
        <w:t>岳阳市工程造价咨询企业信用评价表（自评）</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9"/>
        <w:gridCol w:w="2856"/>
        <w:gridCol w:w="4074"/>
      </w:tblGrid>
      <w:tr w14:paraId="5339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39" w:type="dxa"/>
            <w:tcBorders>
              <w:top w:val="nil"/>
              <w:left w:val="nil"/>
              <w:bottom w:val="nil"/>
              <w:right w:val="nil"/>
            </w:tcBorders>
            <w:tcMar>
              <w:left w:w="108" w:type="dxa"/>
              <w:right w:w="108" w:type="dxa"/>
            </w:tcMar>
            <w:vAlign w:val="bottom"/>
          </w:tcPr>
          <w:p w14:paraId="30907F8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企业名称（盖章）：</w:t>
            </w:r>
          </w:p>
        </w:tc>
        <w:tc>
          <w:tcPr>
            <w:tcW w:w="2856" w:type="dxa"/>
            <w:tcBorders>
              <w:top w:val="nil"/>
              <w:left w:val="nil"/>
              <w:bottom w:val="nil"/>
              <w:right w:val="nil"/>
            </w:tcBorders>
            <w:tcMar>
              <w:left w:w="108" w:type="dxa"/>
              <w:right w:w="108" w:type="dxa"/>
            </w:tcMar>
            <w:vAlign w:val="bottom"/>
          </w:tcPr>
          <w:p w14:paraId="50D0192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总分：</w:t>
            </w:r>
          </w:p>
        </w:tc>
        <w:tc>
          <w:tcPr>
            <w:tcW w:w="4074" w:type="dxa"/>
            <w:tcBorders>
              <w:top w:val="nil"/>
              <w:left w:val="nil"/>
              <w:bottom w:val="nil"/>
              <w:right w:val="nil"/>
            </w:tcBorders>
            <w:tcMar>
              <w:left w:w="108" w:type="dxa"/>
              <w:right w:w="108" w:type="dxa"/>
            </w:tcMar>
            <w:vAlign w:val="bottom"/>
          </w:tcPr>
          <w:p w14:paraId="638D87C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填报时间：</w:t>
            </w:r>
          </w:p>
        </w:tc>
      </w:tr>
    </w:tbl>
    <w:tbl>
      <w:tblPr>
        <w:tblStyle w:val="8"/>
        <w:tblW w:w="15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4"/>
        <w:gridCol w:w="873"/>
        <w:gridCol w:w="6157"/>
        <w:gridCol w:w="964"/>
        <w:gridCol w:w="964"/>
        <w:gridCol w:w="5386"/>
      </w:tblGrid>
      <w:tr w14:paraId="1232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05" w:hRule="atLeast"/>
          <w:tblHeader/>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10621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信用信息类别</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2F6BD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评价内容</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CAE8F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评价标准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79322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上限分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4FA21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企业</w:t>
            </w:r>
          </w:p>
          <w:p w14:paraId="246D050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自评分</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903F6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归集来源和渠道</w:t>
            </w:r>
          </w:p>
        </w:tc>
      </w:tr>
      <w:tr w14:paraId="36EC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64"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409C1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(一)基本信用信息(80分)</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5788B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登记注册信息</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0758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向岳阳市建设工程造价管理站报送了真实、完整、有效的基本信息。</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C4A11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FC511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137FA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填写《岳阳市工程造价咨询企业信用评价申报表》进行登记，提交企业工商注册证明、企业完税证明和近六个月社保缴纳记录，并及时更新登记信息。</w:t>
            </w:r>
          </w:p>
        </w:tc>
      </w:tr>
      <w:tr w14:paraId="0030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1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4B9F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4B4CB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场地配备</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4749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在岳工商注册办公场所不小于60m²。</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A0605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CFDE5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18618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auto"/>
                <w:kern w:val="0"/>
                <w:sz w:val="24"/>
                <w:szCs w:val="24"/>
                <w:u w:val="none"/>
                <w:lang w:val="en-US" w:eastAsia="zh-CN" w:bidi="ar"/>
              </w:rPr>
              <w:t>提供载明场所面积的办公场地证明，包括不动产证、房产租赁合同复印件或其他有效办公场地证明，并附上办公环境照片。</w:t>
            </w:r>
          </w:p>
        </w:tc>
      </w:tr>
      <w:tr w14:paraId="07E8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1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FCD49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AEEEB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企业管理</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E734E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制订完善的技术档案管理制度、质量控制制度、廉政制度、安全保密制度、党建制度，每项得0.2分。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A9361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C19D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8B4C9">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提供相关制度文件。</w:t>
            </w:r>
          </w:p>
        </w:tc>
      </w:tr>
      <w:tr w14:paraId="2437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E35EC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9CE52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专业技术人员配备</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73DB3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每有1名取得工程或工程经济类高级职称，得1分。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25286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51EDC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E9AE6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提供身份证，职称证书或职称文件；证书单位不一致的，提供在现单位近六个月社保记录；退休返聘人员提供劳动合同和退休证明。</w:t>
            </w:r>
          </w:p>
        </w:tc>
      </w:tr>
      <w:tr w14:paraId="3428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C012E3">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BC4AF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7B6D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每有1名一级注册造价工程师得0.8分；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每有1名二级注册造价工程师得0.5分；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每有1名一级注册造价工程师同时获得两个以上(如土建、安装、水利、交通)专业资格的加0.3分，多专业资格加分最高1.2分。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78FD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95518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AD77D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提供身份证，一级、二级注册造价工程师证书(含首页、延续、变更页)。</w:t>
            </w:r>
          </w:p>
        </w:tc>
      </w:tr>
      <w:tr w14:paraId="0663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4B396F">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69916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监督检查及日常监管</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22972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本年度“双随机、一公开”监督检查或咨询成果文件质量评价被抽评的企业，优秀的得3分，合格的得2分，不合格的得0分；未被抽评的企业得1分。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B7937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C18A4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0622E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以建设行政主管部门、造价行业管理部门相关资料为准。</w:t>
            </w:r>
          </w:p>
        </w:tc>
      </w:tr>
      <w:tr w14:paraId="682E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283D8F">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49D13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E08C39">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Style w:val="21"/>
                <w:snapToGrid w:val="0"/>
                <w:color w:val="000000"/>
                <w:sz w:val="24"/>
                <w:szCs w:val="24"/>
                <w:highlight w:val="none"/>
                <w:lang w:val="en-US" w:eastAsia="zh-CN" w:bidi="ar"/>
              </w:rPr>
              <w:t>概算编制误差率8%以</w:t>
            </w:r>
            <w:r>
              <w:rPr>
                <w:rStyle w:val="21"/>
                <w:rFonts w:hint="eastAsia"/>
                <w:snapToGrid w:val="0"/>
                <w:color w:val="000000"/>
                <w:sz w:val="24"/>
                <w:szCs w:val="24"/>
                <w:highlight w:val="none"/>
                <w:lang w:val="en-US" w:eastAsia="zh-CN" w:bidi="ar"/>
              </w:rPr>
              <w:t>下</w:t>
            </w:r>
            <w:r>
              <w:rPr>
                <w:rStyle w:val="21"/>
                <w:snapToGrid w:val="0"/>
                <w:color w:val="000000"/>
                <w:sz w:val="24"/>
                <w:szCs w:val="24"/>
                <w:highlight w:val="none"/>
                <w:lang w:val="en-US" w:eastAsia="zh-CN" w:bidi="ar"/>
              </w:rPr>
              <w:t>每</w:t>
            </w:r>
            <w:r>
              <w:rPr>
                <w:rStyle w:val="21"/>
                <w:rFonts w:hint="eastAsia"/>
                <w:snapToGrid w:val="0"/>
                <w:color w:val="000000"/>
                <w:sz w:val="24"/>
                <w:szCs w:val="24"/>
                <w:highlight w:val="none"/>
                <w:lang w:val="en-US" w:eastAsia="zh-CN" w:bidi="ar"/>
              </w:rPr>
              <w:t>项目</w:t>
            </w:r>
            <w:r>
              <w:rPr>
                <w:rFonts w:hint="eastAsia" w:ascii="宋体" w:hAnsi="宋体" w:eastAsia="宋体" w:cs="宋体"/>
                <w:i w:val="0"/>
                <w:iCs w:val="0"/>
                <w:snapToGrid w:val="0"/>
                <w:color w:val="000000"/>
                <w:kern w:val="0"/>
                <w:sz w:val="24"/>
                <w:szCs w:val="24"/>
                <w:highlight w:val="none"/>
                <w:u w:val="none"/>
                <w:lang w:val="en-US" w:eastAsia="zh-CN" w:bidi="ar"/>
              </w:rPr>
              <w:t>得</w:t>
            </w:r>
            <w:r>
              <w:rPr>
                <w:rStyle w:val="21"/>
                <w:rFonts w:hint="eastAsia"/>
                <w:snapToGrid w:val="0"/>
                <w:color w:val="000000"/>
                <w:sz w:val="24"/>
                <w:szCs w:val="24"/>
                <w:highlight w:val="none"/>
                <w:lang w:val="en-US" w:eastAsia="zh-CN" w:bidi="ar"/>
              </w:rPr>
              <w:t>0.3</w:t>
            </w:r>
            <w:r>
              <w:rPr>
                <w:rStyle w:val="21"/>
                <w:snapToGrid w:val="0"/>
                <w:color w:val="000000"/>
                <w:sz w:val="24"/>
                <w:szCs w:val="24"/>
                <w:highlight w:val="none"/>
                <w:lang w:val="en-US" w:eastAsia="zh-CN" w:bidi="ar"/>
              </w:rPr>
              <w:t>分，招标控制价(预算)编制误差率5%以</w:t>
            </w:r>
            <w:r>
              <w:rPr>
                <w:rStyle w:val="21"/>
                <w:rFonts w:hint="eastAsia"/>
                <w:snapToGrid w:val="0"/>
                <w:color w:val="000000"/>
                <w:sz w:val="24"/>
                <w:szCs w:val="24"/>
                <w:highlight w:val="none"/>
                <w:lang w:val="en-US" w:eastAsia="zh-CN" w:bidi="ar"/>
              </w:rPr>
              <w:t>下</w:t>
            </w:r>
            <w:r>
              <w:rPr>
                <w:rStyle w:val="21"/>
                <w:snapToGrid w:val="0"/>
                <w:color w:val="000000"/>
                <w:sz w:val="24"/>
                <w:szCs w:val="24"/>
                <w:highlight w:val="none"/>
                <w:lang w:val="en-US" w:eastAsia="zh-CN" w:bidi="ar"/>
              </w:rPr>
              <w:t>每</w:t>
            </w:r>
            <w:r>
              <w:rPr>
                <w:rStyle w:val="21"/>
                <w:rFonts w:hint="eastAsia"/>
                <w:snapToGrid w:val="0"/>
                <w:color w:val="000000"/>
                <w:sz w:val="24"/>
                <w:szCs w:val="24"/>
                <w:highlight w:val="none"/>
                <w:lang w:val="en-US" w:eastAsia="zh-CN" w:bidi="ar"/>
              </w:rPr>
              <w:t>项目</w:t>
            </w:r>
            <w:r>
              <w:rPr>
                <w:rFonts w:hint="eastAsia" w:ascii="宋体" w:hAnsi="宋体" w:eastAsia="宋体" w:cs="宋体"/>
                <w:i w:val="0"/>
                <w:iCs w:val="0"/>
                <w:snapToGrid w:val="0"/>
                <w:color w:val="000000"/>
                <w:kern w:val="0"/>
                <w:sz w:val="24"/>
                <w:szCs w:val="24"/>
                <w:highlight w:val="none"/>
                <w:u w:val="none"/>
                <w:lang w:val="en-US" w:eastAsia="zh-CN" w:bidi="ar"/>
              </w:rPr>
              <w:t>得</w:t>
            </w:r>
            <w:r>
              <w:rPr>
                <w:rStyle w:val="21"/>
                <w:rFonts w:hint="eastAsia"/>
                <w:snapToGrid w:val="0"/>
                <w:color w:val="000000"/>
                <w:sz w:val="24"/>
                <w:szCs w:val="24"/>
                <w:highlight w:val="none"/>
                <w:lang w:val="en-US" w:eastAsia="zh-CN" w:bidi="ar"/>
              </w:rPr>
              <w:t>0.5</w:t>
            </w:r>
            <w:r>
              <w:rPr>
                <w:rStyle w:val="21"/>
                <w:snapToGrid w:val="0"/>
                <w:color w:val="000000"/>
                <w:sz w:val="24"/>
                <w:szCs w:val="24"/>
                <w:highlight w:val="none"/>
                <w:lang w:val="en-US" w:eastAsia="zh-CN" w:bidi="ar"/>
              </w:rPr>
              <w:t>分，结算审核误差率3%以</w:t>
            </w:r>
            <w:r>
              <w:rPr>
                <w:rStyle w:val="21"/>
                <w:rFonts w:hint="eastAsia"/>
                <w:snapToGrid w:val="0"/>
                <w:color w:val="000000"/>
                <w:sz w:val="24"/>
                <w:szCs w:val="24"/>
                <w:highlight w:val="none"/>
                <w:lang w:val="en-US" w:eastAsia="zh-CN" w:bidi="ar"/>
              </w:rPr>
              <w:t>下</w:t>
            </w:r>
            <w:r>
              <w:rPr>
                <w:rStyle w:val="21"/>
                <w:snapToGrid w:val="0"/>
                <w:color w:val="000000"/>
                <w:sz w:val="24"/>
                <w:szCs w:val="24"/>
                <w:highlight w:val="none"/>
                <w:lang w:val="en-US" w:eastAsia="zh-CN" w:bidi="ar"/>
              </w:rPr>
              <w:t>每</w:t>
            </w:r>
            <w:r>
              <w:rPr>
                <w:rStyle w:val="21"/>
                <w:rFonts w:hint="eastAsia"/>
                <w:snapToGrid w:val="0"/>
                <w:color w:val="000000"/>
                <w:sz w:val="24"/>
                <w:szCs w:val="24"/>
                <w:highlight w:val="none"/>
                <w:lang w:val="en-US" w:eastAsia="zh-CN" w:bidi="ar"/>
              </w:rPr>
              <w:t>项目</w:t>
            </w:r>
            <w:r>
              <w:rPr>
                <w:rFonts w:hint="eastAsia" w:ascii="宋体" w:hAnsi="宋体" w:eastAsia="宋体" w:cs="宋体"/>
                <w:i w:val="0"/>
                <w:iCs w:val="0"/>
                <w:snapToGrid w:val="0"/>
                <w:color w:val="000000"/>
                <w:kern w:val="0"/>
                <w:sz w:val="24"/>
                <w:szCs w:val="24"/>
                <w:highlight w:val="none"/>
                <w:u w:val="none"/>
                <w:lang w:val="en-US" w:eastAsia="zh-CN" w:bidi="ar"/>
              </w:rPr>
              <w:t>得</w:t>
            </w:r>
            <w:r>
              <w:rPr>
                <w:rStyle w:val="21"/>
                <w:rFonts w:hint="eastAsia"/>
                <w:snapToGrid w:val="0"/>
                <w:color w:val="000000"/>
                <w:sz w:val="24"/>
                <w:szCs w:val="24"/>
                <w:highlight w:val="none"/>
                <w:lang w:val="en-US" w:eastAsia="zh-CN" w:bidi="ar"/>
              </w:rPr>
              <w:t>0.8</w:t>
            </w:r>
            <w:r>
              <w:rPr>
                <w:rStyle w:val="21"/>
                <w:snapToGrid w:val="0"/>
                <w:color w:val="000000"/>
                <w:sz w:val="24"/>
                <w:szCs w:val="24"/>
                <w:highlight w:val="none"/>
                <w:lang w:val="en-US" w:eastAsia="zh-CN" w:bidi="ar"/>
              </w:rPr>
              <w:t>分。</w:t>
            </w:r>
            <w:r>
              <w:rPr>
                <w:rFonts w:hint="eastAsia" w:ascii="宋体" w:hAnsi="宋体" w:eastAsia="宋体" w:cs="宋体"/>
                <w:i w:val="0"/>
                <w:iCs w:val="0"/>
                <w:snapToGrid w:val="0"/>
                <w:color w:val="000000"/>
                <w:kern w:val="0"/>
                <w:sz w:val="24"/>
                <w:szCs w:val="24"/>
                <w:highlight w:val="none"/>
                <w:u w:val="none"/>
                <w:lang w:val="en-US" w:eastAsia="zh-CN" w:bidi="ar"/>
              </w:rPr>
              <w:t>无资料时不得分。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BCFC3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6AA0C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DE39D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企业提供近三年经</w:t>
            </w:r>
            <w:r>
              <w:rPr>
                <w:rStyle w:val="20"/>
                <w:snapToGrid w:val="0"/>
                <w:color w:val="000000"/>
                <w:sz w:val="24"/>
                <w:szCs w:val="24"/>
                <w:highlight w:val="none"/>
                <w:lang w:val="en-US" w:eastAsia="zh-CN" w:bidi="ar"/>
              </w:rPr>
              <w:t>发改、财评、审计等部门及相关业主单位</w:t>
            </w:r>
            <w:r>
              <w:rPr>
                <w:rStyle w:val="20"/>
                <w:rFonts w:hint="eastAsia"/>
                <w:snapToGrid w:val="0"/>
                <w:color w:val="000000"/>
                <w:sz w:val="24"/>
                <w:szCs w:val="24"/>
                <w:highlight w:val="none"/>
                <w:lang w:val="en-US" w:eastAsia="zh-CN" w:bidi="ar"/>
              </w:rPr>
              <w:t>确认</w:t>
            </w:r>
            <w:r>
              <w:rPr>
                <w:rFonts w:hint="eastAsia" w:ascii="宋体" w:hAnsi="宋体" w:eastAsia="宋体" w:cs="宋体"/>
                <w:i w:val="0"/>
                <w:iCs w:val="0"/>
                <w:snapToGrid w:val="0"/>
                <w:color w:val="000000"/>
                <w:kern w:val="0"/>
                <w:sz w:val="24"/>
                <w:szCs w:val="24"/>
                <w:highlight w:val="none"/>
                <w:u w:val="none"/>
                <w:lang w:val="en-US" w:eastAsia="zh-CN" w:bidi="ar"/>
              </w:rPr>
              <w:t>的回访记录</w:t>
            </w:r>
            <w:r>
              <w:rPr>
                <w:rStyle w:val="20"/>
                <w:snapToGrid w:val="0"/>
                <w:color w:val="000000"/>
                <w:sz w:val="24"/>
                <w:szCs w:val="24"/>
                <w:highlight w:val="none"/>
                <w:lang w:val="en-US" w:eastAsia="zh-CN" w:bidi="ar"/>
              </w:rPr>
              <w:t>。</w:t>
            </w:r>
          </w:p>
        </w:tc>
      </w:tr>
      <w:tr w14:paraId="1F49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3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1FD1A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409A7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业务能力</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01410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企业申报前12个月在岳造价咨询收入在50万元-100万元(含)的，得1分；大于100万元的，得2分。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09684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88B1F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D04E5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提供企业申报前12个月在岳完税证明、税务报表或银行回执单。</w:t>
            </w:r>
          </w:p>
        </w:tc>
      </w:tr>
      <w:tr w14:paraId="579A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7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8E95E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9095F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95DE4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Style w:val="20"/>
                <w:snapToGrid w:val="0"/>
                <w:color w:val="000000"/>
                <w:sz w:val="24"/>
                <w:szCs w:val="24"/>
                <w:lang w:val="en-US" w:eastAsia="zh-CN" w:bidi="ar"/>
              </w:rPr>
              <w:t>近三年内完成建设项目全过程造价咨询，投资额</w:t>
            </w:r>
            <w:r>
              <w:rPr>
                <w:rStyle w:val="21"/>
                <w:snapToGrid w:val="0"/>
                <w:color w:val="000000"/>
                <w:sz w:val="24"/>
                <w:szCs w:val="24"/>
                <w:lang w:val="en-US" w:eastAsia="zh-CN" w:bidi="ar"/>
              </w:rPr>
              <w:t>1000万</w:t>
            </w:r>
            <w:r>
              <w:rPr>
                <w:rStyle w:val="20"/>
                <w:snapToGrid w:val="0"/>
                <w:color w:val="000000"/>
                <w:sz w:val="24"/>
                <w:szCs w:val="24"/>
                <w:lang w:val="en-US" w:eastAsia="zh-CN" w:bidi="ar"/>
              </w:rPr>
              <w:t>以上的每个项目得1分；近三年内完成司法鉴定标的金额</w:t>
            </w:r>
            <w:r>
              <w:rPr>
                <w:rStyle w:val="21"/>
                <w:snapToGrid w:val="0"/>
                <w:color w:val="000000"/>
                <w:sz w:val="24"/>
                <w:szCs w:val="24"/>
                <w:lang w:val="en-US" w:eastAsia="zh-CN" w:bidi="ar"/>
              </w:rPr>
              <w:t>150万</w:t>
            </w:r>
            <w:r>
              <w:rPr>
                <w:rStyle w:val="20"/>
                <w:snapToGrid w:val="0"/>
                <w:color w:val="000000"/>
                <w:sz w:val="24"/>
                <w:szCs w:val="24"/>
                <w:lang w:val="en-US" w:eastAsia="zh-CN" w:bidi="ar"/>
              </w:rPr>
              <w:t>以上的每个项目得0.5分。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6E444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842E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1C69E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自愿提供。完整合同(含签订日期、服务范围、金额);全过程造价咨询包括决策阶段、设计阶段、交易阶段、施工阶段，造价服务需两个阶段及以上；司法鉴定需提供申报机构已入选名册及成果文件。</w:t>
            </w:r>
          </w:p>
        </w:tc>
      </w:tr>
      <w:tr w14:paraId="22A5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CABB3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(二)优良信用信息(20分)</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E024D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良好行为</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B4923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近三年企业获得建设行政主管部门、造价行业管理部门表彰或奖励的，省级及以上每项得2分，市级每项得1分；</w:t>
            </w:r>
          </w:p>
          <w:p w14:paraId="4792D6E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获得造价行业协会表彰或奖励的，省级及以上每项得1分，市级每项得0.5分。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A8CD9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F684D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4"/>
                <w:szCs w:val="24"/>
                <w:u w:val="none"/>
                <w:lang w:val="en-US" w:eastAsia="zh-CN" w:bidi="ar"/>
              </w:rPr>
            </w:pPr>
          </w:p>
        </w:tc>
        <w:tc>
          <w:tcPr>
            <w:tcW w:w="538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E1AA2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提供有关部门及平台公司正式文件，有效证明材料；纳税信用等级提供税务系统截图；论文封面、目录、首页和作者单位及姓名页。</w:t>
            </w:r>
          </w:p>
        </w:tc>
      </w:tr>
      <w:tr w14:paraId="1909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C693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F0B5AC">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2F965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近三年员工获得建设行政主管部门、造价行业管理部门表彰或奖励的，省级及以上每项得2分，市级每项得1分；</w:t>
            </w:r>
          </w:p>
          <w:p w14:paraId="44AEB14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获得造价行业协会表彰或奖励的，省级及以上每项得1分，市级每项得0.5分。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308AD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911B8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9A97A7">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0228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6BC4B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1ECA24">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6FA55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纳税信用等级上年度为“A”的得2分，为“B”的得1分。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E79AD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EF89E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FC6181">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4720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9E7A3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5F451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D2A20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Style w:val="20"/>
                <w:snapToGrid w:val="0"/>
                <w:color w:val="auto"/>
                <w:sz w:val="24"/>
                <w:szCs w:val="24"/>
                <w:lang w:val="en-US" w:eastAsia="zh-CN" w:bidi="ar"/>
              </w:rPr>
              <w:t>从事造价咨询相关活动，在县级以上</w:t>
            </w:r>
            <w:r>
              <w:rPr>
                <w:rStyle w:val="20"/>
                <w:rFonts w:hint="eastAsia"/>
                <w:snapToGrid w:val="0"/>
                <w:color w:val="auto"/>
                <w:sz w:val="24"/>
                <w:szCs w:val="24"/>
                <w:lang w:val="en-US" w:eastAsia="zh-CN" w:bidi="ar"/>
              </w:rPr>
              <w:t>有关</w:t>
            </w:r>
            <w:r>
              <w:rPr>
                <w:rStyle w:val="20"/>
                <w:snapToGrid w:val="0"/>
                <w:color w:val="auto"/>
                <w:sz w:val="24"/>
                <w:szCs w:val="24"/>
                <w:lang w:val="en-US" w:eastAsia="zh-CN" w:bidi="ar"/>
              </w:rPr>
              <w:t>部门及平台公司评价考核中评价为优秀的得</w:t>
            </w:r>
            <w:r>
              <w:rPr>
                <w:rStyle w:val="20"/>
                <w:rFonts w:hint="eastAsia"/>
                <w:snapToGrid w:val="0"/>
                <w:color w:val="auto"/>
                <w:sz w:val="24"/>
                <w:szCs w:val="24"/>
                <w:lang w:val="en-US" w:eastAsia="zh-CN" w:bidi="ar"/>
              </w:rPr>
              <w:t>2</w:t>
            </w:r>
            <w:r>
              <w:rPr>
                <w:rStyle w:val="20"/>
                <w:snapToGrid w:val="0"/>
                <w:color w:val="auto"/>
                <w:sz w:val="24"/>
                <w:szCs w:val="24"/>
                <w:lang w:val="en-US" w:eastAsia="zh-CN" w:bidi="ar"/>
              </w:rPr>
              <w:t>分，合格的得</w:t>
            </w:r>
            <w:r>
              <w:rPr>
                <w:rStyle w:val="20"/>
                <w:rFonts w:hint="eastAsia"/>
                <w:snapToGrid w:val="0"/>
                <w:color w:val="auto"/>
                <w:sz w:val="24"/>
                <w:szCs w:val="24"/>
                <w:lang w:val="en-US" w:eastAsia="zh-CN" w:bidi="ar"/>
              </w:rPr>
              <w:t>1</w:t>
            </w:r>
            <w:r>
              <w:rPr>
                <w:rStyle w:val="20"/>
                <w:snapToGrid w:val="0"/>
                <w:color w:val="auto"/>
                <w:sz w:val="24"/>
                <w:szCs w:val="24"/>
                <w:lang w:val="en-US" w:eastAsia="zh-CN" w:bidi="ar"/>
              </w:rPr>
              <w:t>分，</w:t>
            </w:r>
            <w:r>
              <w:rPr>
                <w:rStyle w:val="21"/>
                <w:snapToGrid w:val="0"/>
                <w:color w:val="auto"/>
                <w:sz w:val="24"/>
                <w:szCs w:val="24"/>
                <w:lang w:val="en-US" w:eastAsia="zh-CN" w:bidi="ar"/>
              </w:rPr>
              <w:t>有关部门及平台公司向市造价站推荐的再得</w:t>
            </w:r>
            <w:r>
              <w:rPr>
                <w:rStyle w:val="21"/>
                <w:rFonts w:hint="eastAsia"/>
                <w:snapToGrid w:val="0"/>
                <w:color w:val="auto"/>
                <w:sz w:val="24"/>
                <w:szCs w:val="24"/>
                <w:lang w:val="en-US" w:eastAsia="zh-CN" w:bidi="ar"/>
              </w:rPr>
              <w:t>1</w:t>
            </w:r>
            <w:r>
              <w:rPr>
                <w:rStyle w:val="21"/>
                <w:snapToGrid w:val="0"/>
                <w:color w:val="auto"/>
                <w:sz w:val="24"/>
                <w:szCs w:val="24"/>
                <w:lang w:val="en-US" w:eastAsia="zh-CN" w:bidi="ar"/>
              </w:rPr>
              <w:t>分</w:t>
            </w:r>
            <w:r>
              <w:rPr>
                <w:rStyle w:val="20"/>
                <w:snapToGrid w:val="0"/>
                <w:color w:val="auto"/>
                <w:sz w:val="24"/>
                <w:szCs w:val="24"/>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1C1C9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F30BD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44082">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7BB4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6232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49A16D">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7AE27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近三年参加建设行政主管部门或造价行业管理部门组织的“双随机、一公开”监督检查、成果文件质量评价、命题或阅卷、行业交流讲座授课的主讲者，每次得1分。</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9E2EA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A050A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auto"/>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F818C">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2B7A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40885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5AA54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73B80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近三年参加建设行政主管部门或造价行业管理部门组织的定额修编得2分;参与计价依据测算、课题研究或业务规范、标准、管理办法的制订，每次得1分。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4C68D">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auto"/>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0F7DE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auto"/>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07BBC3">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3DCD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50641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04FA4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525AD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近三年积极参与工程造价行业举办的专业知识培训、研讨会、学术交流、信用宣传，每次得1分。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F4075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auto"/>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07A6C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auto"/>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3C3EC3">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3180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3BEAE3">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739C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2A2A8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向造价管理机构提供符合要求的人材机价格信息，获得优秀信息员的得2分，合格的得1分。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25AE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F5728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AD850B">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718C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A4275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5B83AF">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BCF64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近三年专业技术人员在正式刊物上发表工程造价类文章的，国家级每篇得2分，省(直辖市)、市级每篇得1分。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CC13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71C2B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6DED5F">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6571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85D78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D32EE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025C3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近三年企业参与公益慈善、志愿服务或助力乡村振兴活动的每次得1分。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E8654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79181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57C7B">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6F7F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9F55A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(三)不良信用信息(为扣分项内容，每发生一项相应扣分，扣完为止)</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1EAED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违法违规行为</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6B9A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受到县级以上住房城乡建设主管部门或综合行政执法部门行政处罚的。</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BE122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信用等级直接降为最低等级</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D715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10063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无需申报。以县级以上住房城乡建设主管部门或综合行政执法部门的处罚文书，信用平台，生效的法院判决书，中国执行信息公开网等其他具有法律效力的文书为准。</w:t>
            </w:r>
          </w:p>
        </w:tc>
      </w:tr>
      <w:tr w14:paraId="1E1A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7E6A7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F6A0C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109CB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被列入严重失信主体名单的。</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11B638">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6B7BD8">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BAC92B">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1A07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868DD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757E3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1151DE">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被司法裁判纳入失信被执行人名单的。</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F45F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82D5C3">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9C89F6">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4DD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542C76">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F121C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市场行为</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999FE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拒绝接受、阻扰、不配合日常监督检查的。</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57568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每项次扣25分</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5176C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538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A91B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需申报。以纪检监察部门，县级以上住房城乡建设主管部门或综合行政执法部门，造价行业管理机构通知、通报、责令整改文书，有关部门文件，审核凭证，记录或经查实的举报、投诉取证等其他佐证资料为准。</w:t>
            </w:r>
          </w:p>
        </w:tc>
      </w:tr>
      <w:tr w14:paraId="12CF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D66A4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299C2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377D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工程造价成果文件编制单位、编制人员违反有关规定，故意或者因重大过失造成所编制的工程造价成果文件错误，致使建设单位或者承包单位遭受损失的。</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113406">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FF7C2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CB4021">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517A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D9DC9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C183D">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79139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无正当理由故意拖延项目结算审结行为的。</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41A23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6870AE">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92F8B6">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2FD0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1D48C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6F1E3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动态监管</w:t>
            </w: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FA81A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被建设行政主管部门通报，有一般不良行为记录的，每项次扣15分、有严重不良行为记录的，每项次扣20分。</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7F2592">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64EB8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7A8FD8">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1321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C1DB0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F27996">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6BDB8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企业法定代表人、专业技术人员，被纪检监察部门问责处理的，每项次扣20分。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5DFB50">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6EAAB0">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A8310D">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7C15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4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45C662">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AD3F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9AF0C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被行政主管部门曝光的，每项次扣20分。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B3DAED">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955DD9">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A43DC9">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2C00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5E420C">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1BF30">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BD6BB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被建设行政主管部门或造价行业管理部门通报批评、责令整改期满后未达到整改条件的，每项次扣15分(与“双随机、一公开”监督检查不重复评分)。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CCB727">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C80D4">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DFC5CF">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3B77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E2EB97">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A72A4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E8F6E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提供虚假信用信息、伪造资料、同一资料重复申报的，每项次扣15分。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7AA4F9">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425391">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C60BA1">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722E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B712E8">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878BEB">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629DC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专业技术人员有违规“挂证”行为的，每人次扣15分。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4127A">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F94D2C">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626C49">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39F7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C1E6C9">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ED4C2">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B9F79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咨询活动不规范、被业主单位(甲方)投诉或对成果质量存在严重误差、服务不满意反映至建设行政主管部门或造价行业管理部门被约谈调查，经核查属实的，每项次扣10分。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EDB1CB">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28D69F">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DCA839">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0108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CAAA8D">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25B68A">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F70E6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在市级以上有关部门评价考核中，考核结果为不满意或不合格的，每项次扣6分。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4FE12B">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0AE395">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E7671D">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4DBF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7F0461">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6E578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C476E7">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不配合建设行政主管部门或造价管理机构处理工程造价纠纷调解的，每项次扣5分。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34789E">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EE6E7C">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5DA812">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15CE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9A6DE4">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A4D3B8">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3C0F62">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企业相关信息未在变更确立之日起30日内，向市造价站报送的，每项次扣3分。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0A788D">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C72AA3">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9C0749">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r w14:paraId="63EF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2D1D4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B52A85">
            <w:pPr>
              <w:keepNext w:val="0"/>
              <w:keepLines w:val="0"/>
              <w:pageBreakBefore w:val="0"/>
              <w:widowControl w:val="0"/>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4"/>
                <w:szCs w:val="24"/>
                <w:u w:val="none"/>
              </w:rPr>
            </w:pPr>
          </w:p>
        </w:tc>
        <w:tc>
          <w:tcPr>
            <w:tcW w:w="61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CAA12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企业员工离职后，无正当理由不给予及时办理劳动合同解除、证书印章变更、人事档案调离的，每人次扣2分。</w:t>
            </w: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3E6748">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5E1DBE">
            <w:pPr>
              <w:keepNext w:val="0"/>
              <w:keepLines w:val="0"/>
              <w:pageBreakBefore w:val="0"/>
              <w:widowControl w:val="0"/>
              <w:kinsoku/>
              <w:wordWrap/>
              <w:overflowPunct/>
              <w:topLinePunct w:val="0"/>
              <w:autoSpaceDE/>
              <w:autoSpaceDN/>
              <w:bidi w:val="0"/>
              <w:adjustRightInd/>
              <w:snapToGrid/>
              <w:spacing w:before="0" w:after="0" w:line="240" w:lineRule="auto"/>
              <w:jc w:val="right"/>
              <w:rPr>
                <w:rFonts w:hint="eastAsia" w:ascii="宋体" w:hAnsi="宋体" w:eastAsia="宋体" w:cs="宋体"/>
                <w:i w:val="0"/>
                <w:iCs w:val="0"/>
                <w:color w:val="000000"/>
                <w:sz w:val="24"/>
                <w:szCs w:val="24"/>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03CF22">
            <w:pPr>
              <w:keepNext w:val="0"/>
              <w:keepLines w:val="0"/>
              <w:pageBreakBefore w:val="0"/>
              <w:widowControl w:val="0"/>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4"/>
                <w:szCs w:val="24"/>
                <w:u w:val="none"/>
              </w:rPr>
            </w:pPr>
          </w:p>
        </w:tc>
      </w:tr>
    </w:tbl>
    <w:p w14:paraId="44FB5003">
      <w:pPr>
        <w:keepNext w:val="0"/>
        <w:keepLines w:val="0"/>
        <w:pageBreakBefore w:val="0"/>
        <w:widowControl w:val="0"/>
        <w:kinsoku/>
        <w:wordWrap w:val="0"/>
        <w:overflowPunct/>
        <w:topLinePunct w:val="0"/>
        <w:autoSpaceDE/>
        <w:autoSpaceDN/>
        <w:bidi w:val="0"/>
        <w:adjustRightInd/>
        <w:snapToGrid/>
        <w:spacing w:line="240" w:lineRule="auto"/>
        <w:rPr>
          <w:rFonts w:hint="eastAsia" w:ascii="Calibri" w:hAnsi="Calibri" w:eastAsia="仿宋_GB2312" w:cs="Times New Roman"/>
          <w:snapToGrid/>
          <w:kern w:val="2"/>
          <w:sz w:val="32"/>
          <w:szCs w:val="32"/>
          <w:lang w:val="en-US" w:eastAsia="zh-CN"/>
        </w:rPr>
      </w:pPr>
    </w:p>
    <w:sectPr>
      <w:headerReference r:id="rId3" w:type="first"/>
      <w:footerReference r:id="rId5" w:type="first"/>
      <w:footerReference r:id="rId4" w:type="default"/>
      <w:pgSz w:w="16838" w:h="11906" w:orient="landscape"/>
      <w:pgMar w:top="1134" w:right="1134" w:bottom="1134" w:left="1134" w:header="850"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14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0C430">
                          <w:pPr>
                            <w:pStyle w:val="4"/>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第 </w:t>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  \* MERGEFORMAT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1</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t xml:space="preserve"> 页 共 </w:t>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NUMPAGES  \* MERGEFORMAT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50C430">
                    <w:pPr>
                      <w:pStyle w:val="4"/>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第 </w:t>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PAGE  \* MERGEFORMAT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1</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t xml:space="preserve"> 页 共 </w:t>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NUMPAGES  \* MERGEFORMAT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5</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1B1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8EF72">
                          <w:pPr>
                            <w:pStyle w:val="4"/>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1</w:t>
                          </w:r>
                          <w:r>
                            <w:rPr>
                              <w:rFonts w:hint="default" w:ascii="GWZT-EN" w:hAnsi="GWZT-EN" w:eastAsia="GWZT-EN" w:cs="GWZT-EN"/>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F8EF72">
                    <w:pPr>
                      <w:pStyle w:val="4"/>
                      <w:rPr>
                        <w:rFonts w:hint="default" w:ascii="GWZT-EN" w:hAnsi="GWZT-EN" w:eastAsia="GWZT-EN" w:cs="GWZT-EN"/>
                        <w:b w:val="0"/>
                        <w:bCs w:val="0"/>
                      </w:rPr>
                    </w:pPr>
                    <w:r>
                      <w:rPr>
                        <w:rFonts w:hint="default" w:ascii="GWZT-EN" w:hAnsi="GWZT-EN" w:eastAsia="GWZT-EN" w:cs="GWZT-EN"/>
                        <w:b w:val="0"/>
                        <w:bCs w:val="0"/>
                      </w:rPr>
                      <w:fldChar w:fldCharType="begin"/>
                    </w:r>
                    <w:r>
                      <w:rPr>
                        <w:rFonts w:hint="default" w:ascii="GWZT-EN" w:hAnsi="GWZT-EN" w:eastAsia="GWZT-EN" w:cs="GWZT-EN"/>
                        <w:b w:val="0"/>
                        <w:bCs w:val="0"/>
                      </w:rPr>
                      <w:instrText xml:space="preserve"> PAGE  \* MERGEFORMAT </w:instrText>
                    </w:r>
                    <w:r>
                      <w:rPr>
                        <w:rFonts w:hint="default" w:ascii="GWZT-EN" w:hAnsi="GWZT-EN" w:eastAsia="GWZT-EN" w:cs="GWZT-EN"/>
                        <w:b w:val="0"/>
                        <w:bCs w:val="0"/>
                      </w:rPr>
                      <w:fldChar w:fldCharType="separate"/>
                    </w:r>
                    <w:r>
                      <w:rPr>
                        <w:rFonts w:hint="default" w:ascii="GWZT-EN" w:hAnsi="GWZT-EN" w:eastAsia="GWZT-EN" w:cs="GWZT-EN"/>
                        <w:b w:val="0"/>
                        <w:bCs w:val="0"/>
                      </w:rPr>
                      <w:t>1</w:t>
                    </w:r>
                    <w:r>
                      <w:rPr>
                        <w:rFonts w:hint="default" w:ascii="GWZT-EN" w:hAnsi="GWZT-EN" w:eastAsia="GWZT-EN" w:cs="GWZT-EN"/>
                        <w:b w:val="0"/>
                        <w:bCs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57A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0295"/>
    <w:rsid w:val="04674A4C"/>
    <w:rsid w:val="08670714"/>
    <w:rsid w:val="08D43AEC"/>
    <w:rsid w:val="090F3DB9"/>
    <w:rsid w:val="0CE20369"/>
    <w:rsid w:val="0D974B1D"/>
    <w:rsid w:val="0E224829"/>
    <w:rsid w:val="0F31793E"/>
    <w:rsid w:val="14184FB8"/>
    <w:rsid w:val="16A558F4"/>
    <w:rsid w:val="17342109"/>
    <w:rsid w:val="17E06CE4"/>
    <w:rsid w:val="1A4C4833"/>
    <w:rsid w:val="1C3D0F3F"/>
    <w:rsid w:val="1D532BBD"/>
    <w:rsid w:val="1D956222"/>
    <w:rsid w:val="1F796DBC"/>
    <w:rsid w:val="1FE0288F"/>
    <w:rsid w:val="208D3A5C"/>
    <w:rsid w:val="2096586D"/>
    <w:rsid w:val="216D3CF7"/>
    <w:rsid w:val="22531F56"/>
    <w:rsid w:val="228E7F8E"/>
    <w:rsid w:val="23203542"/>
    <w:rsid w:val="23C463ED"/>
    <w:rsid w:val="23F52C20"/>
    <w:rsid w:val="24801788"/>
    <w:rsid w:val="27532138"/>
    <w:rsid w:val="28953575"/>
    <w:rsid w:val="2A8304B0"/>
    <w:rsid w:val="2B3E6C5B"/>
    <w:rsid w:val="2C363DD6"/>
    <w:rsid w:val="2F292AD6"/>
    <w:rsid w:val="3092371B"/>
    <w:rsid w:val="31AB124D"/>
    <w:rsid w:val="3311760E"/>
    <w:rsid w:val="332C787A"/>
    <w:rsid w:val="33910022"/>
    <w:rsid w:val="34A51AF9"/>
    <w:rsid w:val="35A52452"/>
    <w:rsid w:val="39D32B1A"/>
    <w:rsid w:val="3B7D7751"/>
    <w:rsid w:val="3C647857"/>
    <w:rsid w:val="3C8243BC"/>
    <w:rsid w:val="3CF0525D"/>
    <w:rsid w:val="3CF16CFA"/>
    <w:rsid w:val="3D475E43"/>
    <w:rsid w:val="3DE24F87"/>
    <w:rsid w:val="3F0B11BF"/>
    <w:rsid w:val="419C74C8"/>
    <w:rsid w:val="43346E69"/>
    <w:rsid w:val="43DB0D3C"/>
    <w:rsid w:val="44827761"/>
    <w:rsid w:val="454B3FF6"/>
    <w:rsid w:val="47F949E1"/>
    <w:rsid w:val="4ADA56EB"/>
    <w:rsid w:val="4EA2737D"/>
    <w:rsid w:val="4F01334D"/>
    <w:rsid w:val="4FFC0D0F"/>
    <w:rsid w:val="501740DB"/>
    <w:rsid w:val="503137E4"/>
    <w:rsid w:val="50323AA8"/>
    <w:rsid w:val="53D17DBD"/>
    <w:rsid w:val="54E8041D"/>
    <w:rsid w:val="584E7C2E"/>
    <w:rsid w:val="595C4AED"/>
    <w:rsid w:val="596A0A97"/>
    <w:rsid w:val="5C1368A7"/>
    <w:rsid w:val="5D8624AE"/>
    <w:rsid w:val="60817F30"/>
    <w:rsid w:val="60BD35DF"/>
    <w:rsid w:val="61873B36"/>
    <w:rsid w:val="61FD772E"/>
    <w:rsid w:val="62AD7BD8"/>
    <w:rsid w:val="630754FD"/>
    <w:rsid w:val="656D6838"/>
    <w:rsid w:val="65BF1535"/>
    <w:rsid w:val="65D3227B"/>
    <w:rsid w:val="65DD525A"/>
    <w:rsid w:val="66BB0383"/>
    <w:rsid w:val="68552FC9"/>
    <w:rsid w:val="68AF45FC"/>
    <w:rsid w:val="6A0445F0"/>
    <w:rsid w:val="6ABE1464"/>
    <w:rsid w:val="6D5C36D8"/>
    <w:rsid w:val="714A1F44"/>
    <w:rsid w:val="7164006A"/>
    <w:rsid w:val="725A5D26"/>
    <w:rsid w:val="737A0ABA"/>
    <w:rsid w:val="737C169B"/>
    <w:rsid w:val="73DA73B0"/>
    <w:rsid w:val="73E97B4F"/>
    <w:rsid w:val="749E4669"/>
    <w:rsid w:val="77A33E3D"/>
    <w:rsid w:val="796B6C1A"/>
    <w:rsid w:val="7A344A7E"/>
    <w:rsid w:val="7AA36F67"/>
    <w:rsid w:val="7AAB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仿宋_GB2312" w:cs="Arial"/>
      <w:snapToGrid w:val="0"/>
      <w:color w:val="000000"/>
      <w:sz w:val="32"/>
      <w:szCs w:val="21"/>
      <w:lang w:val="en-US" w:eastAsia="zh-CN" w:bidi="ar-SA"/>
    </w:rPr>
  </w:style>
  <w:style w:type="paragraph" w:styleId="2">
    <w:name w:val="heading 1"/>
    <w:basedOn w:val="1"/>
    <w:next w:val="1"/>
    <w:qFormat/>
    <w:uiPriority w:val="0"/>
    <w:pPr>
      <w:keepNext/>
      <w:keepLines/>
      <w:spacing w:before="240" w:beforeLines="0" w:beforeAutospacing="0" w:after="60" w:afterLines="0" w:afterAutospacing="0" w:line="360" w:lineRule="auto"/>
      <w:outlineLvl w:val="0"/>
    </w:pPr>
    <w:rPr>
      <w:rFonts w:ascii="Times New Roman" w:hAnsi="Times New Roman"/>
      <w:b/>
      <w:kern w:val="44"/>
      <w:sz w:val="44"/>
    </w:rPr>
  </w:style>
  <w:style w:type="paragraph" w:styleId="3">
    <w:name w:val="heading 2"/>
    <w:basedOn w:val="1"/>
    <w:next w:val="1"/>
    <w:semiHidden/>
    <w:unhideWhenUsed/>
    <w:qFormat/>
    <w:uiPriority w:val="0"/>
    <w:pPr>
      <w:keepNext/>
      <w:keepLines/>
      <w:spacing w:before="240" w:beforeLines="0" w:beforeAutospacing="0" w:after="60" w:afterLines="0" w:afterAutospacing="0" w:line="360" w:lineRule="auto"/>
      <w:outlineLvl w:val="1"/>
    </w:pPr>
    <w:rPr>
      <w:rFonts w:ascii="Arial" w:hAnsi="Arial" w:eastAsia="黑体"/>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中心正文"/>
    <w:basedOn w:val="1"/>
    <w:qFormat/>
    <w:uiPriority w:val="0"/>
    <w:pPr>
      <w:spacing w:line="600" w:lineRule="exact"/>
      <w:jc w:val="both"/>
    </w:pPr>
    <w:rPr>
      <w:rFonts w:ascii="Times New Roman" w:hAnsi="Times New Roman" w:cs="仿宋_GB2312"/>
      <w:szCs w:val="25"/>
      <w:shd w:val="clear" w:fill="FFFFFF"/>
    </w:rPr>
  </w:style>
  <w:style w:type="paragraph" w:customStyle="1" w:styleId="14">
    <w:name w:val="中心标题"/>
    <w:basedOn w:val="7"/>
    <w:next w:val="13"/>
    <w:qFormat/>
    <w:uiPriority w:val="0"/>
    <w:pPr>
      <w:spacing w:line="600" w:lineRule="exact"/>
      <w:jc w:val="center"/>
    </w:pPr>
    <w:rPr>
      <w:rFonts w:ascii="方正小标宋简体" w:hAnsi="方正小标宋简体" w:eastAsia="方正小标宋简体" w:cs="仿宋_GB2312"/>
      <w:b w:val="0"/>
      <w:sz w:val="44"/>
      <w:szCs w:val="25"/>
      <w:shd w:val="clear" w:fill="FFFFFF"/>
    </w:rPr>
  </w:style>
  <w:style w:type="paragraph" w:customStyle="1" w:styleId="15">
    <w:name w:val="中心标题1级"/>
    <w:basedOn w:val="14"/>
    <w:next w:val="13"/>
    <w:qFormat/>
    <w:uiPriority w:val="0"/>
    <w:pPr>
      <w:jc w:val="both"/>
    </w:pPr>
    <w:rPr>
      <w:rFonts w:hint="eastAsia" w:eastAsia="黑体"/>
      <w:sz w:val="32"/>
    </w:rPr>
  </w:style>
  <w:style w:type="paragraph" w:customStyle="1" w:styleId="16">
    <w:name w:val="公文标题"/>
    <w:basedOn w:val="7"/>
    <w:qFormat/>
    <w:uiPriority w:val="0"/>
    <w:pPr>
      <w:spacing w:line="600" w:lineRule="exact"/>
      <w:jc w:val="center"/>
    </w:pPr>
    <w:rPr>
      <w:rFonts w:ascii="方正小标宋简体" w:hAnsi="方正小标宋简体" w:eastAsia="方正小标宋简体" w:cs="仿宋_GB2312"/>
      <w:b w:val="0"/>
      <w:sz w:val="44"/>
      <w:szCs w:val="25"/>
      <w:shd w:val="clear" w:fill="FFFFFF"/>
    </w:rPr>
  </w:style>
  <w:style w:type="paragraph" w:customStyle="1" w:styleId="17">
    <w:name w:val="公文正文"/>
    <w:basedOn w:val="1"/>
    <w:qFormat/>
    <w:uiPriority w:val="0"/>
    <w:pPr>
      <w:spacing w:line="600" w:lineRule="exact"/>
      <w:jc w:val="both"/>
    </w:pPr>
    <w:rPr>
      <w:rFonts w:ascii="Times New Roman" w:hAnsi="Times New Roman" w:cs="仿宋_GB2312"/>
      <w:szCs w:val="25"/>
      <w:shd w:val="clear" w:fill="FFFFFF"/>
    </w:rPr>
  </w:style>
  <w:style w:type="paragraph" w:customStyle="1" w:styleId="18">
    <w:name w:val="公文标题1级"/>
    <w:basedOn w:val="17"/>
    <w:next w:val="17"/>
    <w:qFormat/>
    <w:uiPriority w:val="0"/>
    <w:pPr>
      <w:jc w:val="both"/>
    </w:pPr>
    <w:rPr>
      <w:rFonts w:hint="eastAsia" w:eastAsia="黑体"/>
    </w:rPr>
  </w:style>
  <w:style w:type="paragraph" w:customStyle="1" w:styleId="19">
    <w:name w:val="公文标题2级"/>
    <w:basedOn w:val="17"/>
    <w:next w:val="17"/>
    <w:qFormat/>
    <w:uiPriority w:val="0"/>
    <w:rPr>
      <w:rFonts w:hint="eastAsia" w:eastAsia="楷体_GB2312"/>
      <w:b/>
    </w:rPr>
  </w:style>
  <w:style w:type="character" w:customStyle="1" w:styleId="20">
    <w:name w:val="font51"/>
    <w:basedOn w:val="10"/>
    <w:qFormat/>
    <w:uiPriority w:val="0"/>
    <w:rPr>
      <w:rFonts w:hint="eastAsia" w:ascii="宋体" w:hAnsi="宋体" w:eastAsia="宋体" w:cs="宋体"/>
      <w:color w:val="000000"/>
      <w:sz w:val="24"/>
      <w:szCs w:val="24"/>
      <w:u w:val="none"/>
    </w:rPr>
  </w:style>
  <w:style w:type="character" w:customStyle="1" w:styleId="21">
    <w:name w:val="font71"/>
    <w:basedOn w:val="1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2468</Words>
  <Characters>2525</Characters>
  <Lines>0</Lines>
  <Paragraphs>0</Paragraphs>
  <TotalTime>3</TotalTime>
  <ScaleCrop>false</ScaleCrop>
  <LinksUpToDate>false</LinksUpToDate>
  <CharactersWithSpaces>2525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2024-09-25T00:59:00Z</dcterms:created>
  <dc:creator>186</dc:creator>
  <cp:lastModifiedBy>憩语</cp:lastModifiedBy>
  <cp:lastPrinted>2025-11-14T01:45:00Z</cp:lastPrinted>
  <dcterms:modified xsi:type="dcterms:W3CDTF">2026-01-23T02:51:01Z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784361EF9C914924A57F602808EC5454_12</vt:lpwstr>
  </property>
  <property fmtid="{D5CDD505-2E9C-101B-9397-08002B2CF9AE}" pid="4" name="KSOTemplateDocerSaveRecord">
    <vt:lpwstr>eyJoZGlkIjoiYTRkMGQ1Y2Y0ZjE3NGUzYmZhZGQ5MGEyNTk3NWIxMjgiLCJ1c2VySWQiOiIxMTY3MzkxODE4In0=</vt:lpwstr>
  </property>
</Properties>
</file>