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32FED">
      <w:pPr>
        <w:pStyle w:val="13"/>
        <w:jc w:val="center"/>
        <w:rPr>
          <w:sz w:val="56"/>
          <w:szCs w:val="56"/>
        </w:rPr>
      </w:pPr>
    </w:p>
    <w:p w14:paraId="12587724">
      <w:pPr>
        <w:pStyle w:val="13"/>
        <w:jc w:val="center"/>
        <w:rPr>
          <w:sz w:val="56"/>
          <w:szCs w:val="56"/>
        </w:rPr>
      </w:pPr>
    </w:p>
    <w:p w14:paraId="4AB45FA3">
      <w:pPr>
        <w:pStyle w:val="13"/>
        <w:jc w:val="center"/>
        <w:rPr>
          <w:sz w:val="84"/>
          <w:szCs w:val="84"/>
        </w:rPr>
      </w:pPr>
    </w:p>
    <w:p w14:paraId="42253027">
      <w:pPr>
        <w:pStyle w:val="13"/>
        <w:jc w:val="center"/>
        <w:rPr>
          <w:sz w:val="84"/>
          <w:szCs w:val="84"/>
        </w:rPr>
      </w:pPr>
    </w:p>
    <w:p w14:paraId="7F54681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20899038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岳阳市职业技能鉴定中心</w:t>
      </w:r>
    </w:p>
    <w:p w14:paraId="78597F69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5BE2D99B">
      <w:pPr>
        <w:pStyle w:val="13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34011388">
      <w:pPr>
        <w:pStyle w:val="13"/>
        <w:jc w:val="center"/>
        <w:rPr>
          <w:sz w:val="56"/>
          <w:szCs w:val="56"/>
        </w:rPr>
      </w:pPr>
    </w:p>
    <w:p w14:paraId="34BA4ED5">
      <w:pPr>
        <w:pStyle w:val="13"/>
        <w:jc w:val="center"/>
        <w:rPr>
          <w:sz w:val="56"/>
          <w:szCs w:val="56"/>
        </w:rPr>
      </w:pPr>
    </w:p>
    <w:p w14:paraId="09284674">
      <w:pPr>
        <w:pStyle w:val="13"/>
        <w:jc w:val="center"/>
        <w:rPr>
          <w:sz w:val="56"/>
          <w:szCs w:val="56"/>
        </w:rPr>
      </w:pPr>
    </w:p>
    <w:p w14:paraId="0987C53A">
      <w:pPr>
        <w:pStyle w:val="13"/>
        <w:jc w:val="center"/>
        <w:rPr>
          <w:sz w:val="32"/>
          <w:szCs w:val="32"/>
        </w:rPr>
      </w:pPr>
    </w:p>
    <w:p w14:paraId="6F2DF796">
      <w:pPr>
        <w:pStyle w:val="13"/>
        <w:jc w:val="center"/>
        <w:rPr>
          <w:sz w:val="32"/>
          <w:szCs w:val="32"/>
        </w:rPr>
      </w:pPr>
    </w:p>
    <w:p w14:paraId="0B78E2C9">
      <w:pPr>
        <w:pStyle w:val="13"/>
        <w:spacing w:line="500" w:lineRule="exact"/>
        <w:jc w:val="both"/>
        <w:rPr>
          <w:b/>
          <w:sz w:val="36"/>
          <w:szCs w:val="28"/>
        </w:rPr>
      </w:pPr>
    </w:p>
    <w:p w14:paraId="576D2F9D">
      <w:pPr>
        <w:pStyle w:val="13"/>
        <w:spacing w:line="500" w:lineRule="exact"/>
        <w:jc w:val="both"/>
        <w:rPr>
          <w:b/>
          <w:sz w:val="36"/>
          <w:szCs w:val="28"/>
        </w:rPr>
      </w:pPr>
    </w:p>
    <w:p w14:paraId="28AB9C66">
      <w:pPr>
        <w:pStyle w:val="13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3C31984D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岳阳市职业技能鉴定中心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6C5FC6A3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6D78E09C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二、机构设置及决算单位构成</w:t>
      </w:r>
    </w:p>
    <w:p w14:paraId="78732E96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1569D108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5819B76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AC89374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16A93F8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2D5568B7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6F6D61E0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27FA8243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32C11D3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746E233F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0C82707D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6B67BF8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894A7F2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3420385E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604866B5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70B3B1FB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0C016F91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293C6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53A17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7F2A2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90FD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453BB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1BE0C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6E2DC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4EF62BD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129DE0D3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3821D9AB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4A85BC8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27BADFB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64A1DF6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61E156F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B4EBC78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岳阳市职业技能鉴定中心</w:t>
      </w:r>
    </w:p>
    <w:p w14:paraId="2498E15E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 w14:paraId="7E3DEC8C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37B2639"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886EC69">
      <w:pPr>
        <w:pStyle w:val="4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50BB00B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0143DDB">
      <w:pPr>
        <w:pStyle w:val="4"/>
        <w:rPr>
          <w:rFonts w:hint="eastAsia"/>
        </w:rPr>
      </w:pPr>
    </w:p>
    <w:p w14:paraId="5262A957">
      <w:pPr>
        <w:pStyle w:val="14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2B05B9AB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负责全市职业技能鉴定，职业技能竞赛，职业培训质量评估得组织实施，承担职业技能鉴定所的资格条件，技工院校和民办职业培训机构的督导评估标准，提供鉴定试题，承办全市职业技能鉴定考评员的培训和考核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4C4D128A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4A3A1838">
      <w:pPr>
        <w:widowControl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（一）内设机构设置。岳阳市职业技能鉴定中心，为正科级公益一类事业单位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下设部室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综合部、考务部、竞赛部。</w:t>
      </w:r>
    </w:p>
    <w:p w14:paraId="41DBC9C8"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岳阳市职业技能鉴定中心无独立核算的下属单位，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2023年度部门决算汇总公开单位仅包括岳阳市职业技能鉴定中心本级。</w:t>
      </w:r>
    </w:p>
    <w:p w14:paraId="389A04A9">
      <w:pPr>
        <w:jc w:val="left"/>
        <w:rPr>
          <w:rFonts w:ascii="仿宋_GB2312" w:hAnsi="宋体" w:eastAsia="仿宋_GB2312"/>
          <w:sz w:val="28"/>
          <w:szCs w:val="32"/>
        </w:rPr>
      </w:pPr>
    </w:p>
    <w:p w14:paraId="082DA7D1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</w:p>
    <w:p w14:paraId="43CECC22"/>
    <w:p w14:paraId="6FC94A04">
      <w:pPr>
        <w:pStyle w:val="8"/>
      </w:pPr>
    </w:p>
    <w:p w14:paraId="28357EAD">
      <w:pPr>
        <w:pStyle w:val="4"/>
      </w:pPr>
    </w:p>
    <w:p w14:paraId="5D248F9C"/>
    <w:p w14:paraId="7882CA8B">
      <w:pPr>
        <w:pStyle w:val="8"/>
      </w:pPr>
    </w:p>
    <w:p w14:paraId="15618B63">
      <w:pPr>
        <w:pStyle w:val="4"/>
      </w:pPr>
    </w:p>
    <w:p w14:paraId="35A1CA1F"/>
    <w:p w14:paraId="3FFFFC4A">
      <w:pPr>
        <w:pStyle w:val="8"/>
      </w:pPr>
    </w:p>
    <w:p w14:paraId="03016E14">
      <w:pPr>
        <w:pStyle w:val="4"/>
      </w:pPr>
    </w:p>
    <w:p w14:paraId="58B51C14"/>
    <w:p w14:paraId="4F0104F6">
      <w:pPr>
        <w:pStyle w:val="8"/>
      </w:pPr>
    </w:p>
    <w:p w14:paraId="43835610">
      <w:pPr>
        <w:pStyle w:val="4"/>
      </w:pPr>
    </w:p>
    <w:p w14:paraId="439A43A9"/>
    <w:p w14:paraId="755B29C9">
      <w:pPr>
        <w:pStyle w:val="8"/>
      </w:pPr>
    </w:p>
    <w:p w14:paraId="61755145">
      <w:pPr>
        <w:pStyle w:val="4"/>
      </w:pPr>
    </w:p>
    <w:p w14:paraId="2825E44C"/>
    <w:p w14:paraId="0ACCBF69">
      <w:pPr>
        <w:pStyle w:val="8"/>
      </w:pPr>
    </w:p>
    <w:p w14:paraId="0DDD27BE">
      <w:pPr>
        <w:pStyle w:val="4"/>
      </w:pPr>
    </w:p>
    <w:p w14:paraId="05F9D321"/>
    <w:p w14:paraId="26F17B6E">
      <w:pPr>
        <w:pStyle w:val="8"/>
      </w:pPr>
    </w:p>
    <w:p w14:paraId="4619CDFD">
      <w:pPr>
        <w:pStyle w:val="4"/>
      </w:pPr>
    </w:p>
    <w:p w14:paraId="5756E29F"/>
    <w:p w14:paraId="18EDFC5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78D57B3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4AA558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7BCC700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679D991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45D5B7AD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4B2BEBB6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607D805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F7627A3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C158F12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F2E4C9F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DCAC88E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F84F16E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4EBB7F0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D9F884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3056A0A">
      <w:pPr>
        <w:pStyle w:val="13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5F7206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08F2B09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14E23E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2B8EFE6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B724F0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09BA09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3E084DE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552752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63AF1C0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39668D0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一般公共预算财政拨款收入和其他收入减少。</w:t>
      </w:r>
    </w:p>
    <w:p w14:paraId="6A4A4D6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2C9853C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145.49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3ED7242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295CBEE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CD4468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5802646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24.88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一般公共预算财政拨款减少。</w:t>
      </w:r>
    </w:p>
    <w:p w14:paraId="1CA2F12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675EB22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60D35B2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24.88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职业技能鉴定补贴减少。</w:t>
      </w:r>
    </w:p>
    <w:p w14:paraId="01D1A1C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（二）一般公共预算财政拨款支出决算结构情况</w:t>
      </w:r>
    </w:p>
    <w:p w14:paraId="7D23AAB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万元，主要用于以下方面：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126.48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90.37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卫生健康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4.64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3.32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%;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住房保障支出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8.85万元，占6.31%。</w:t>
      </w:r>
    </w:p>
    <w:p w14:paraId="201BC04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（三）一般公共预算财政拨款支出决算具体情况</w:t>
      </w:r>
    </w:p>
    <w:p w14:paraId="44075A7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年度财政拨款支出年初预算数为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129.5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万元，支出决算数为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139.96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万元，完成年初预算的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108.08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%，其中：</w:t>
      </w:r>
    </w:p>
    <w:p w14:paraId="698E129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社会保障和就业支出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（类</w:t>
      </w:r>
      <w:r>
        <w:rPr>
          <w:rFonts w:hint="eastAsia" w:ascii="Times New Roman" w:hAnsi="Times New Roman" w:eastAsia="仿宋_GB2312"/>
          <w:sz w:val="32"/>
          <w:szCs w:val="32"/>
        </w:rPr>
        <w:t>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人力资源和社会保障管理事务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行政运行</w:t>
      </w:r>
      <w:r>
        <w:rPr>
          <w:rFonts w:hint="eastAsia" w:ascii="Times New Roman" w:hAnsi="Times New Roman" w:eastAsia="仿宋_GB2312"/>
          <w:sz w:val="32"/>
          <w:szCs w:val="32"/>
        </w:rPr>
        <w:t>（项）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B27FE1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奖金、住房公积金和差旅费的增加。</w:t>
      </w:r>
    </w:p>
    <w:p w14:paraId="1727626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人力资源和社会保障管理事务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 公共就业服务和职业技能鉴定机构（项）。</w:t>
      </w:r>
    </w:p>
    <w:p w14:paraId="2358CF6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113.85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106.71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基本支出增加。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</w:p>
    <w:p w14:paraId="160E3AB4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行政事业单位养老支出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机关事业单位基本养老保险缴费支出</w:t>
      </w:r>
      <w:r>
        <w:rPr>
          <w:rFonts w:hint="eastAsia" w:ascii="Times New Roman" w:hAnsi="Times New Roman" w:eastAsia="仿宋_GB2312"/>
          <w:sz w:val="32"/>
          <w:szCs w:val="32"/>
        </w:rPr>
        <w:t>（项）。</w:t>
      </w:r>
    </w:p>
    <w:p w14:paraId="0DFFB1FF">
      <w:pPr>
        <w:pStyle w:val="13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年初预算为8.98万元，支出决算为8.98万元，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完成年初预算的100%。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决算数等于年初预算数的原因是：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完全按照年初预算执行。</w:t>
      </w:r>
    </w:p>
    <w:p w14:paraId="7BB6910D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960" w:firstLineChars="3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（项）。</w:t>
      </w:r>
    </w:p>
    <w:p w14:paraId="58FE4AE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250" w:firstLine="320" w:firstLineChars="1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0.27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2.75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完成年初预算的</w:t>
      </w:r>
    </w:p>
    <w:p w14:paraId="32EC10D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101.85%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基本支出增加。</w:t>
      </w:r>
    </w:p>
    <w:p w14:paraId="408281E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卫生健康支出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行政事业单位医疗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事业单位医疗</w:t>
      </w:r>
      <w:r>
        <w:rPr>
          <w:rFonts w:hint="eastAsia" w:ascii="Times New Roman" w:hAnsi="Times New Roman" w:eastAsia="仿宋_GB2312"/>
          <w:sz w:val="32"/>
          <w:szCs w:val="32"/>
        </w:rPr>
        <w:t>（项）</w:t>
      </w:r>
    </w:p>
    <w:p w14:paraId="575F4B4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4.72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4.64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98.31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原因是：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新进和退休各一名职工。</w:t>
      </w:r>
    </w:p>
    <w:p w14:paraId="43C7A7EC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6.住房保障支出（类）住房改革支出（款）住房公积金（项）</w:t>
      </w:r>
    </w:p>
    <w:p w14:paraId="1D7D701C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年初预算为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8.85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万元，支出决算为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8.85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万元，完成年初预算的100%，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决算数等于年初预算数的原因是：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完全按照年初预算执行。</w:t>
      </w:r>
    </w:p>
    <w:p w14:paraId="2C83C3A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六、一般公共预算财政拨款基本支出决算情况说明</w:t>
      </w:r>
    </w:p>
    <w:p w14:paraId="1B871A5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2EAA393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126.94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90.69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%,主要包括基本工资、津贴补贴、奖金、伙食补助费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绩效工资</w:t>
      </w:r>
      <w:r>
        <w:rPr>
          <w:rFonts w:hint="eastAsia" w:ascii="宋体" w:hAnsi="宋体" w:eastAsia="宋体"/>
          <w:sz w:val="32"/>
          <w:szCs w:val="32"/>
          <w:lang w:val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机关事业单位基本养老保险缴费、职工基本医疗保险缴费、其他社会保障缴费、住房公积金、对个人和家庭的补助、退休费、其他对个人和家庭的补助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434553F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9.31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%，主要包括办公费、印刷费、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邮电费、差旅费、维修（护）费、工会经费、福利费、其他商品和服务支出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28893B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5B34C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29D31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293D6C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2023年度国有资本经营预算财政拨款收入0万元；年初结转和结余0万元；支出0万元；</w:t>
      </w:r>
      <w:r>
        <w:rPr>
          <w:rFonts w:hint="eastAsia" w:ascii="仿宋_GB2312" w:hAnsi="仿宋_GB2312" w:eastAsia="仿宋_GB2312" w:cs="仿宋_GB2312"/>
          <w:i w:val="0"/>
          <w:iCs/>
          <w:color w:val="auto"/>
          <w:kern w:val="0"/>
          <w:sz w:val="32"/>
          <w:szCs w:val="32"/>
          <w:lang w:val="en-US" w:eastAsia="zh-CN" w:bidi="ar-SA"/>
        </w:rPr>
        <w:t>其中：基本支出0万元，项目支出0万元；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年末结转和结余0万元。</w:t>
      </w:r>
    </w:p>
    <w:p w14:paraId="5184F82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254A51F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6ADED2D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“三公”经费财政拨款支出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0.2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万元，支出决算为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万元，完成预算的0%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支出决算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与上年相比减少0.38万元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算数小于预算数的主要原因是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2023年度本单位未开展与“三公”经费相关的活动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其中：</w:t>
      </w:r>
    </w:p>
    <w:p w14:paraId="17186E1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预算数的主要原因是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我单位严格按预算执行决算；与上年一致，无增减变动，主要原因是未安排因公出国（境）活动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B12F64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万元，决算数小于预算数的主要原因是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2023年本单位未开展相关的活动。</w:t>
      </w:r>
    </w:p>
    <w:p w14:paraId="2266E7A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预算数的主要原因是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我单位严格按预算执行决算；与上年一致，无增减变动，主要原因是两年均未购置公务用车。</w:t>
      </w:r>
    </w:p>
    <w:p w14:paraId="3A61AA0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预算数的主要原因是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我单位严格按预算执行决算；与上年一致，无增减变动，主要原因是两年均无公务用车需要运行维护。</w:t>
      </w:r>
    </w:p>
    <w:p w14:paraId="56489D8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66F8942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万元。其中：</w:t>
      </w:r>
    </w:p>
    <w:p w14:paraId="77DE053B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全年安排因公出国（境）团组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个，累计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人次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我单位2023年度无因公出国（境）费支出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19DE747C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全年共接待来访团组0个、来宾0人次，我单位2023年度无公务接待费支出。</w:t>
      </w:r>
    </w:p>
    <w:p w14:paraId="10C4A066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公务用车购置费及运行维护费支出决算为0万元，其中：公务用车购置费0万元，当年没有购置公务用车。公务用车运行维护费0万元，截至2023年12月31日，我单位开支财政拨款的公务用车保有量为0辆。</w:t>
      </w:r>
    </w:p>
    <w:p w14:paraId="369F759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130B0F8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岳阳市职业技能鉴定中心单位性质为财政补助事业单位，部门决算报表没有机关运行经费统计数据。机关运行经费名词解释在第四部分。</w:t>
      </w:r>
    </w:p>
    <w:p w14:paraId="4A26A1B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483933B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本单位无会议费的预算和支出</w:t>
      </w:r>
      <w:bookmarkStart w:id="0" w:name="_GoBack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决算数；</w:t>
      </w:r>
    </w:p>
    <w:p w14:paraId="062D297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培训费年初预算0.1万元，支出决算为0万元，完成年初预算的0%。决算数小于年初预算数的主要原因是：2023年我单位未开展相关培训活动。</w:t>
      </w:r>
    </w:p>
    <w:p w14:paraId="53DAAB8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本单位无举办节庆、晚会、论坛、赛事等活动的预算和支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出决算数。</w:t>
      </w:r>
    </w:p>
    <w:p w14:paraId="77309BD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2F7823A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6627BCD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4A1C7D1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  <w:t>截至2023年12月31日，本单位共有车辆0辆，其中，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2BFB0B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241730E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356FB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0579D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139.96万元，政府性基金预算支出0万元，国有资本经营预算支出0万元。从评价情况来看，整体支出绩效评价中，2023年整体支出145.8万元，其中：基本支出145.8万元，项目支出0万元，本单位整体支出绩效自评综合评分99.8分，评价结果等次为优秀。</w:t>
      </w:r>
    </w:p>
    <w:p w14:paraId="1298B53D">
      <w:pPr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0个，共涉及资金0万元（由于一般公共预算项目支出总额为0，故无法计算占一般公共预算项目支出总额的比重）。组织对政府性基金预算项目支出开展绩效自评，项目0个，共涉及资金0万元(由于政府性基金预算项目支出总额为0，故无法计算占政府性基金预算项目支出总额的比重）。组织对国有资本经营预算项目支出开展绩效自评，项目0个，共涉及资金0万元（由于国有资本经营预算项目支出总额为0，故无法计算占国有资本经营预算项目支出总额的比重）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/>
        </w:rPr>
        <w:t>本单位无项目支出，未开展项目绩效自评，无项目绩效自评结果。</w:t>
      </w:r>
    </w:p>
    <w:p w14:paraId="6AF5D31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642C6F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根据年初设定的绩效目标，绩效自评得分为99.8分。全年预算数为145.8万元，执行数为145.8万元，完成预算的100%。绩效目标完成情况：一是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顺利开展86批次技能等级认定监管工作，认定人数9754人，获证6335人次。二是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完成全年职业技能培训监督管理工作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58E7FF2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29C3EB31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存在的主要问题及原因：一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/>
        </w:rPr>
        <w:t>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预算管理机制不健全，执行不够严格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预算绩效管理缺乏系统的制度规范。目前预算绩效管理从制度上尚未形成体系。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二是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绩效管理的广度和深度不足。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由于对预算绩效管理的认识程度不高，对预算绩效管理的整体框架认识不足，因而完成工作积极性不高，无法形成单位内部利用绩效评价指导预算工作的管理体系。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三是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资金预算编制的科学性、精确性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有待提高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。在编制项目预算资金时，要严格按照年度预算目标进行编制，对项目支出预算做出较为精准的测算，实现业务量与资金安排的匹配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3F7160F7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3B2186FD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2DE2A0E0">
      <w:pPr>
        <w:pStyle w:val="13"/>
        <w:jc w:val="center"/>
        <w:rPr>
          <w:sz w:val="72"/>
          <w:szCs w:val="72"/>
        </w:rPr>
      </w:pPr>
    </w:p>
    <w:p w14:paraId="71F8E1A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46C8B202">
      <w:pPr>
        <w:pStyle w:val="13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D45FE0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06760881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55D97A0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7DFD2E2A">
      <w:pPr>
        <w:pStyle w:val="8"/>
      </w:pPr>
    </w:p>
    <w:p w14:paraId="50BFF862">
      <w:pPr>
        <w:pStyle w:val="4"/>
      </w:pPr>
    </w:p>
    <w:p w14:paraId="133854F6"/>
    <w:p w14:paraId="2B4F77F1">
      <w:pPr>
        <w:pStyle w:val="8"/>
      </w:pPr>
    </w:p>
    <w:p w14:paraId="211083BB">
      <w:pPr>
        <w:pStyle w:val="4"/>
      </w:pPr>
    </w:p>
    <w:p w14:paraId="10710EA6"/>
    <w:p w14:paraId="54427CE2">
      <w:pPr>
        <w:pStyle w:val="8"/>
      </w:pPr>
    </w:p>
    <w:p w14:paraId="7BC347C4">
      <w:pPr>
        <w:pStyle w:val="4"/>
      </w:pPr>
    </w:p>
    <w:p w14:paraId="44F22522"/>
    <w:p w14:paraId="20302141">
      <w:pPr>
        <w:pStyle w:val="8"/>
      </w:pPr>
    </w:p>
    <w:p w14:paraId="0AED61EA">
      <w:pPr>
        <w:pStyle w:val="4"/>
      </w:pPr>
    </w:p>
    <w:p w14:paraId="2790F019"/>
    <w:p w14:paraId="4403E6FB">
      <w:pPr>
        <w:pStyle w:val="8"/>
      </w:pPr>
    </w:p>
    <w:p w14:paraId="1975BE58">
      <w:pPr>
        <w:pStyle w:val="4"/>
      </w:pPr>
    </w:p>
    <w:p w14:paraId="368DF64F"/>
    <w:p w14:paraId="372E7703">
      <w:pPr>
        <w:pStyle w:val="8"/>
      </w:pPr>
    </w:p>
    <w:p w14:paraId="163BC3B2">
      <w:pPr>
        <w:pStyle w:val="4"/>
      </w:pPr>
    </w:p>
    <w:p w14:paraId="16B75741"/>
    <w:p w14:paraId="39D7EDF5">
      <w:pPr>
        <w:pStyle w:val="8"/>
      </w:pPr>
    </w:p>
    <w:p w14:paraId="0E8C796E">
      <w:pPr>
        <w:pStyle w:val="4"/>
      </w:pPr>
    </w:p>
    <w:p w14:paraId="28738899"/>
    <w:p w14:paraId="7EA695C0">
      <w:pPr>
        <w:pStyle w:val="8"/>
      </w:pPr>
    </w:p>
    <w:p w14:paraId="3BCE9444">
      <w:pPr>
        <w:pStyle w:val="4"/>
      </w:pPr>
    </w:p>
    <w:p w14:paraId="247AAD7C">
      <w:pPr>
        <w:pStyle w:val="8"/>
      </w:pPr>
    </w:p>
    <w:p w14:paraId="6597E670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0068BE5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0D5DC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 w14:paraId="4FB5D2F4">
      <w:pPr>
        <w:pStyle w:val="4"/>
      </w:pPr>
    </w:p>
    <w:p w14:paraId="7C0B8B44"/>
    <w:p w14:paraId="2FBAF446">
      <w:pPr>
        <w:pStyle w:val="8"/>
      </w:pPr>
    </w:p>
    <w:p w14:paraId="51E5CB61">
      <w:pPr>
        <w:pStyle w:val="4"/>
      </w:pPr>
    </w:p>
    <w:p w14:paraId="340B0DDD"/>
    <w:p w14:paraId="0D20C17A">
      <w:pPr>
        <w:pStyle w:val="8"/>
      </w:pPr>
    </w:p>
    <w:p w14:paraId="4FE74EF7">
      <w:pPr>
        <w:pStyle w:val="4"/>
      </w:pPr>
    </w:p>
    <w:p w14:paraId="44861244"/>
    <w:p w14:paraId="0E42D629">
      <w:pPr>
        <w:pStyle w:val="8"/>
      </w:pPr>
    </w:p>
    <w:p w14:paraId="03F834C2">
      <w:pPr>
        <w:pStyle w:val="4"/>
      </w:pPr>
    </w:p>
    <w:p w14:paraId="153CF7B5"/>
    <w:p w14:paraId="32EE4EDC">
      <w:pPr>
        <w:pStyle w:val="8"/>
      </w:pPr>
    </w:p>
    <w:p w14:paraId="696BF738">
      <w:pPr>
        <w:pStyle w:val="4"/>
      </w:pPr>
    </w:p>
    <w:p w14:paraId="02A43466"/>
    <w:p w14:paraId="2EB43099">
      <w:pPr>
        <w:pStyle w:val="8"/>
      </w:pPr>
    </w:p>
    <w:p w14:paraId="6BE20EC9">
      <w:pPr>
        <w:pStyle w:val="4"/>
      </w:pPr>
    </w:p>
    <w:p w14:paraId="535AD36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0C5E979A">
      <w:pPr>
        <w:pStyle w:val="13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2B870086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5247350E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60CDA6CD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1CE963E1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3323F2A1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5B932E"/>
    <w:multiLevelType w:val="singleLevel"/>
    <w:tmpl w:val="BA5B932E"/>
    <w:lvl w:ilvl="0" w:tentative="0">
      <w:start w:val="3"/>
      <w:numFmt w:val="decimal"/>
      <w:suff w:val="nothing"/>
      <w:lvlText w:val="%1、"/>
      <w:lvlJc w:val="left"/>
      <w:rPr>
        <w:rFonts w:hint="default"/>
        <w:color w:val="auto"/>
      </w:rPr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D387AD"/>
    <w:multiLevelType w:val="singleLevel"/>
    <w:tmpl w:val="44D387AD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  <w:b w:val="0"/>
        <w:bCs w:val="0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771CF2"/>
    <w:rsid w:val="03E84C6D"/>
    <w:rsid w:val="059958AD"/>
    <w:rsid w:val="05DD7D85"/>
    <w:rsid w:val="09EB3129"/>
    <w:rsid w:val="0DCB5E80"/>
    <w:rsid w:val="0E0D4B6C"/>
    <w:rsid w:val="0F966920"/>
    <w:rsid w:val="12583BA5"/>
    <w:rsid w:val="134978E4"/>
    <w:rsid w:val="13BA5B9C"/>
    <w:rsid w:val="142940B1"/>
    <w:rsid w:val="1CE300A6"/>
    <w:rsid w:val="1D023B1F"/>
    <w:rsid w:val="1D97DEFF"/>
    <w:rsid w:val="1DC073F3"/>
    <w:rsid w:val="1DFF72E5"/>
    <w:rsid w:val="1EFC6F07"/>
    <w:rsid w:val="22AC03C2"/>
    <w:rsid w:val="22DC582D"/>
    <w:rsid w:val="237F2925"/>
    <w:rsid w:val="242C36CB"/>
    <w:rsid w:val="28107961"/>
    <w:rsid w:val="2B980CF2"/>
    <w:rsid w:val="2EAC6087"/>
    <w:rsid w:val="2FDF85B8"/>
    <w:rsid w:val="2FFFEE04"/>
    <w:rsid w:val="30AB0CE7"/>
    <w:rsid w:val="31C95635"/>
    <w:rsid w:val="33282F37"/>
    <w:rsid w:val="333D59C6"/>
    <w:rsid w:val="34DF85B0"/>
    <w:rsid w:val="3678712D"/>
    <w:rsid w:val="37B4019C"/>
    <w:rsid w:val="3B8F36BC"/>
    <w:rsid w:val="3D22095C"/>
    <w:rsid w:val="40D73F33"/>
    <w:rsid w:val="432C08E3"/>
    <w:rsid w:val="48B94D7C"/>
    <w:rsid w:val="491FF225"/>
    <w:rsid w:val="4A5D5F44"/>
    <w:rsid w:val="4FFD214C"/>
    <w:rsid w:val="5352765A"/>
    <w:rsid w:val="55384D17"/>
    <w:rsid w:val="5777D4F5"/>
    <w:rsid w:val="57CD6463"/>
    <w:rsid w:val="59DD8326"/>
    <w:rsid w:val="5B984F77"/>
    <w:rsid w:val="5CDD0183"/>
    <w:rsid w:val="5DDD3078"/>
    <w:rsid w:val="5DEF592A"/>
    <w:rsid w:val="5F224DE8"/>
    <w:rsid w:val="5FC6BB1E"/>
    <w:rsid w:val="5FF720F1"/>
    <w:rsid w:val="64061C99"/>
    <w:rsid w:val="67864300"/>
    <w:rsid w:val="67EB6A2D"/>
    <w:rsid w:val="67FF5C0B"/>
    <w:rsid w:val="68E74AD2"/>
    <w:rsid w:val="69E114E5"/>
    <w:rsid w:val="6A2D60BD"/>
    <w:rsid w:val="6BAA4A2F"/>
    <w:rsid w:val="6EFC0924"/>
    <w:rsid w:val="6FB74722"/>
    <w:rsid w:val="6FEF8B7E"/>
    <w:rsid w:val="70B36BA1"/>
    <w:rsid w:val="71A6591B"/>
    <w:rsid w:val="72FC0200"/>
    <w:rsid w:val="737D59BA"/>
    <w:rsid w:val="737F32B1"/>
    <w:rsid w:val="74602F75"/>
    <w:rsid w:val="76FB1F4B"/>
    <w:rsid w:val="77C37683"/>
    <w:rsid w:val="790B5926"/>
    <w:rsid w:val="79FF515B"/>
    <w:rsid w:val="7AE55C22"/>
    <w:rsid w:val="7B4B146B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6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2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1347</Words>
  <Characters>7679</Characters>
  <Lines>63</Lines>
  <Paragraphs>18</Paragraphs>
  <TotalTime>3</TotalTime>
  <ScaleCrop>false</ScaleCrop>
  <LinksUpToDate>false</LinksUpToDate>
  <CharactersWithSpaces>9008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大头</cp:lastModifiedBy>
  <cp:lastPrinted>2024-08-08T10:20:00Z</cp:lastPrinted>
  <dcterms:modified xsi:type="dcterms:W3CDTF">2025-11-20T07:49:20Z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98623D6660B449428EB8E073C6C952EA</vt:lpwstr>
  </property>
</Properties>
</file>