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D744D">
      <w:pPr>
        <w:pStyle w:val="12"/>
        <w:jc w:val="center"/>
        <w:rPr>
          <w:sz w:val="56"/>
          <w:szCs w:val="56"/>
        </w:rPr>
      </w:pPr>
    </w:p>
    <w:p w14:paraId="057A78FE">
      <w:pPr>
        <w:pStyle w:val="12"/>
        <w:jc w:val="center"/>
        <w:rPr>
          <w:sz w:val="56"/>
          <w:szCs w:val="56"/>
        </w:rPr>
      </w:pPr>
    </w:p>
    <w:p w14:paraId="18057F27">
      <w:pPr>
        <w:pStyle w:val="12"/>
        <w:jc w:val="center"/>
        <w:rPr>
          <w:sz w:val="84"/>
          <w:szCs w:val="84"/>
        </w:rPr>
      </w:pPr>
    </w:p>
    <w:p w14:paraId="29726156">
      <w:pPr>
        <w:pStyle w:val="12"/>
        <w:jc w:val="center"/>
        <w:rPr>
          <w:sz w:val="84"/>
          <w:szCs w:val="84"/>
        </w:rPr>
      </w:pPr>
    </w:p>
    <w:p w14:paraId="5739C12C">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048424E">
      <w:pPr>
        <w:pStyle w:val="12"/>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val="en-US" w:eastAsia="zh-CN"/>
        </w:rPr>
        <w:t>岳阳市就业服务中心</w:t>
      </w:r>
    </w:p>
    <w:p w14:paraId="5267F407">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6456B203">
      <w:pPr>
        <w:pStyle w:val="12"/>
        <w:jc w:val="center"/>
        <w:rPr>
          <w:rFonts w:hint="eastAsia" w:ascii="方正小标宋_GBK" w:hAnsi="方正小标宋_GBK" w:eastAsia="方正小标宋_GBK" w:cs="方正小标宋_GBK"/>
          <w:sz w:val="56"/>
          <w:szCs w:val="56"/>
        </w:rPr>
      </w:pPr>
    </w:p>
    <w:p w14:paraId="5B307380">
      <w:pPr>
        <w:pStyle w:val="12"/>
        <w:jc w:val="center"/>
        <w:rPr>
          <w:sz w:val="56"/>
          <w:szCs w:val="56"/>
        </w:rPr>
      </w:pPr>
    </w:p>
    <w:p w14:paraId="686810A0">
      <w:pPr>
        <w:pStyle w:val="12"/>
        <w:jc w:val="center"/>
        <w:rPr>
          <w:sz w:val="56"/>
          <w:szCs w:val="56"/>
        </w:rPr>
      </w:pPr>
    </w:p>
    <w:p w14:paraId="4A25B9D0">
      <w:pPr>
        <w:pStyle w:val="12"/>
        <w:jc w:val="center"/>
        <w:rPr>
          <w:sz w:val="56"/>
          <w:szCs w:val="56"/>
        </w:rPr>
      </w:pPr>
    </w:p>
    <w:p w14:paraId="35F754B6">
      <w:pPr>
        <w:pStyle w:val="12"/>
        <w:jc w:val="center"/>
        <w:rPr>
          <w:sz w:val="32"/>
          <w:szCs w:val="32"/>
        </w:rPr>
      </w:pPr>
    </w:p>
    <w:p w14:paraId="725E995E">
      <w:pPr>
        <w:pStyle w:val="12"/>
        <w:jc w:val="center"/>
        <w:rPr>
          <w:sz w:val="32"/>
          <w:szCs w:val="32"/>
        </w:rPr>
      </w:pPr>
    </w:p>
    <w:p w14:paraId="5F92DF21">
      <w:pPr>
        <w:pStyle w:val="12"/>
        <w:jc w:val="center"/>
        <w:rPr>
          <w:sz w:val="32"/>
          <w:szCs w:val="32"/>
        </w:rPr>
      </w:pPr>
    </w:p>
    <w:p w14:paraId="4B709F75">
      <w:pPr>
        <w:pStyle w:val="12"/>
        <w:spacing w:line="500" w:lineRule="exact"/>
        <w:jc w:val="both"/>
        <w:rPr>
          <w:b/>
          <w:sz w:val="36"/>
          <w:szCs w:val="28"/>
        </w:rPr>
      </w:pPr>
    </w:p>
    <w:p w14:paraId="2C3B89A0">
      <w:pPr>
        <w:pStyle w:val="12"/>
        <w:spacing w:line="500" w:lineRule="exact"/>
        <w:jc w:val="center"/>
        <w:rPr>
          <w:b/>
          <w:sz w:val="36"/>
          <w:szCs w:val="28"/>
        </w:rPr>
      </w:pPr>
      <w:r>
        <w:rPr>
          <w:rFonts w:hint="eastAsia"/>
          <w:b/>
          <w:sz w:val="36"/>
          <w:szCs w:val="28"/>
        </w:rPr>
        <w:t>目录</w:t>
      </w:r>
    </w:p>
    <w:p w14:paraId="52F3B58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岳阳市就业服务中心</w:t>
      </w:r>
      <w:r>
        <w:rPr>
          <w:rFonts w:hint="eastAsia" w:ascii="黑体" w:hAnsi="黑体" w:eastAsia="黑体" w:cs="黑体"/>
          <w:b w:val="0"/>
          <w:bCs/>
          <w:sz w:val="28"/>
          <w:szCs w:val="28"/>
        </w:rPr>
        <w:t>概况</w:t>
      </w:r>
    </w:p>
    <w:p w14:paraId="3415D43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23AC98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14:paraId="11E8505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5174662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640DFA6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6A2DD4E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530BCFA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7ABD8D2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C02E0D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E6CF2C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14D1E8F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AA05BB7">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EDF544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2B37754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72AF0CF">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307729F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216D7EC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6D3D5DB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29941A7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35409D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61FAF8F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6626E69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063F56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4E9A48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767B262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4E4381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149F71D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F47E27E">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A372FC6">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398E35F">
      <w:pPr>
        <w:pStyle w:val="12"/>
        <w:jc w:val="center"/>
        <w:rPr>
          <w:rFonts w:hint="eastAsia" w:ascii="方正小标宋_GBK" w:hAnsi="方正小标宋_GBK" w:eastAsia="方正小标宋_GBK" w:cs="方正小标宋_GBK"/>
          <w:sz w:val="84"/>
          <w:szCs w:val="84"/>
        </w:rPr>
      </w:pPr>
    </w:p>
    <w:p w14:paraId="6111A2B8">
      <w:pPr>
        <w:pStyle w:val="12"/>
        <w:jc w:val="center"/>
        <w:rPr>
          <w:rFonts w:hint="eastAsia" w:ascii="方正小标宋_GBK" w:hAnsi="方正小标宋_GBK" w:eastAsia="方正小标宋_GBK" w:cs="方正小标宋_GBK"/>
          <w:sz w:val="84"/>
          <w:szCs w:val="84"/>
        </w:rPr>
      </w:pPr>
    </w:p>
    <w:p w14:paraId="411D867C">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DBF4718">
      <w:pPr>
        <w:pStyle w:val="12"/>
        <w:jc w:val="center"/>
        <w:rPr>
          <w:rFonts w:hint="eastAsia" w:ascii="方正小标宋_GBK" w:hAnsi="方正小标宋_GBK" w:eastAsia="方正小标宋_GBK" w:cs="方正小标宋_GBK"/>
          <w:sz w:val="84"/>
          <w:szCs w:val="84"/>
        </w:rPr>
      </w:pPr>
    </w:p>
    <w:p w14:paraId="10D689BE">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岳阳市就业服务中心</w:t>
      </w:r>
      <w:r>
        <w:rPr>
          <w:rFonts w:hint="eastAsia" w:ascii="方正小标宋_GBK" w:hAnsi="方正小标宋_GBK" w:eastAsia="方正小标宋_GBK" w:cs="方正小标宋_GBK"/>
          <w:sz w:val="84"/>
          <w:szCs w:val="84"/>
        </w:rPr>
        <w:t>概况</w:t>
      </w:r>
    </w:p>
    <w:p w14:paraId="6456D867">
      <w:pPr>
        <w:pStyle w:val="7"/>
        <w:rPr>
          <w:rFonts w:hint="eastAsia" w:ascii="方正小标宋_GBK" w:hAnsi="方正小标宋_GBK" w:eastAsia="方正小标宋_GBK" w:cs="方正小标宋_GBK"/>
          <w:sz w:val="84"/>
          <w:szCs w:val="84"/>
        </w:rPr>
      </w:pPr>
    </w:p>
    <w:p w14:paraId="0BB53EF6">
      <w:pPr>
        <w:pStyle w:val="4"/>
        <w:rPr>
          <w:rFonts w:hint="eastAsia" w:ascii="方正小标宋_GBK" w:hAnsi="方正小标宋_GBK" w:eastAsia="方正小标宋_GBK" w:cs="方正小标宋_GBK"/>
          <w:sz w:val="84"/>
          <w:szCs w:val="84"/>
        </w:rPr>
      </w:pPr>
    </w:p>
    <w:p w14:paraId="2A01C91E">
      <w:pPr>
        <w:rPr>
          <w:rFonts w:hint="eastAsia" w:ascii="方正小标宋_GBK" w:hAnsi="方正小标宋_GBK" w:eastAsia="方正小标宋_GBK" w:cs="方正小标宋_GBK"/>
          <w:sz w:val="84"/>
          <w:szCs w:val="84"/>
        </w:rPr>
      </w:pPr>
    </w:p>
    <w:p w14:paraId="4921243C">
      <w:pPr>
        <w:pStyle w:val="7"/>
        <w:rPr>
          <w:rFonts w:hint="eastAsia" w:ascii="方正小标宋_GBK" w:hAnsi="方正小标宋_GBK" w:eastAsia="方正小标宋_GBK" w:cs="方正小标宋_GBK"/>
          <w:sz w:val="84"/>
          <w:szCs w:val="84"/>
        </w:rPr>
      </w:pPr>
    </w:p>
    <w:p w14:paraId="0458E47D">
      <w:pPr>
        <w:pStyle w:val="4"/>
        <w:rPr>
          <w:rFonts w:hint="eastAsia" w:ascii="方正小标宋_GBK" w:hAnsi="方正小标宋_GBK" w:eastAsia="方正小标宋_GBK" w:cs="方正小标宋_GBK"/>
          <w:sz w:val="84"/>
          <w:szCs w:val="84"/>
        </w:rPr>
      </w:pPr>
    </w:p>
    <w:p w14:paraId="73E794CC">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5E27E4B">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参与制定政府促进就业、人才强市和失业保险的发展规划并实施的行政辅助性工作；参与制定就业服务发展规划和年度工作计划并实施的行政辅助工作；知道全市公共就业服务体系建设的行政辅助工作；负责市就业创业和农民工工作领导小组办公室</w:t>
      </w:r>
      <w:r>
        <w:rPr>
          <w:rFonts w:hint="eastAsia" w:ascii="Times New Roman" w:hAnsi="Times New Roman" w:eastAsia="仿宋_GB2312" w:cs="仿宋_GB2312"/>
          <w:bCs/>
          <w:kern w:val="0"/>
          <w:sz w:val="32"/>
          <w:szCs w:val="32"/>
          <w:lang w:val="en-US" w:eastAsia="zh-CN"/>
        </w:rPr>
        <w:t>的日常事务性工作；负责市委人才工作领导小组办公室的日常事务性工作；负责组织落实促进就业各项政策措施的事务性工作，为相应服务对象提供政策咨询、岗位信息、就业失业与求职等级、职业指导、就业援助等公共就业服务；负责事业单位人员教育培训工作；负责专业技术人员继续教育的具体组织实施，开展其他人事人才业务范围内的培训工作；负责高校毕业生就业服务相关工作等职责</w:t>
      </w:r>
      <w:r>
        <w:rPr>
          <w:rFonts w:hint="eastAsia" w:ascii="Times New Roman" w:hAnsi="Times New Roman" w:eastAsia="仿宋_GB2312" w:cs="仿宋_GB2312"/>
          <w:bCs/>
          <w:kern w:val="0"/>
          <w:sz w:val="32"/>
          <w:szCs w:val="32"/>
          <w:lang w:val="en-US"/>
        </w:rPr>
        <w:t>。</w:t>
      </w:r>
    </w:p>
    <w:p w14:paraId="7E2C9A79">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1A401928">
      <w:pPr>
        <w:keepNext/>
        <w:keepLines/>
        <w:spacing w:beforeLines="0" w:afterLines="0"/>
        <w:ind w:firstLine="64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en-US" w:eastAsia="zh-CN"/>
        </w:rPr>
        <w:t>岳阳市就业服务中心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val="en-US" w:eastAsia="zh-CN"/>
        </w:rPr>
        <w:t>综合部、城镇社区与市场服务部、农村与农民工服务部、创业指导与信息服务部、职业指导与培训服务部、党办、离退休人员管理服务部</w:t>
      </w:r>
      <w:r>
        <w:rPr>
          <w:rFonts w:hint="eastAsia" w:ascii="Times New Roman" w:hAnsi="Times New Roman" w:eastAsia="仿宋_GB2312" w:cs="仿宋_GB2312"/>
          <w:bCs/>
          <w:kern w:val="0"/>
          <w:sz w:val="32"/>
          <w:szCs w:val="32"/>
          <w:lang w:val="zh-CN"/>
        </w:rPr>
        <w:t>。</w:t>
      </w:r>
      <w:r>
        <w:rPr>
          <w:rFonts w:hint="eastAsia" w:ascii="Times New Roman" w:hAnsi="Times New Roman" w:eastAsia="仿宋_GB2312" w:cs="仿宋_GB2312"/>
          <w:bCs/>
          <w:kern w:val="0"/>
          <w:sz w:val="32"/>
          <w:szCs w:val="32"/>
          <w:lang w:val="en-US" w:eastAsia="zh-CN"/>
        </w:rPr>
        <w:t>另下辖三个正科级事业单位，分别是市失业保险基金管理服务所、市创业培训服务所、市人力资源服务所。</w:t>
      </w:r>
    </w:p>
    <w:p w14:paraId="60E73090">
      <w:pPr>
        <w:keepNext/>
        <w:keepLines/>
        <w:spacing w:beforeLines="0" w:afterLines="0"/>
        <w:ind w:firstLine="64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en-US" w:eastAsia="zh-CN"/>
        </w:rPr>
        <w:t>岳阳市就业服务中心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val="en-US" w:eastAsia="zh-CN"/>
        </w:rPr>
        <w:t>本单位为岳阳市人力资源和社会保障局的二级机构，无财务独立的下属单位或机构。</w:t>
      </w:r>
    </w:p>
    <w:p w14:paraId="357384E3"/>
    <w:p w14:paraId="5312EDAE">
      <w:pPr>
        <w:pStyle w:val="7"/>
      </w:pPr>
    </w:p>
    <w:p w14:paraId="1FA6EAA2">
      <w:pPr>
        <w:pStyle w:val="4"/>
      </w:pPr>
    </w:p>
    <w:p w14:paraId="3BAACE97"/>
    <w:p w14:paraId="04FA817B">
      <w:pPr>
        <w:pStyle w:val="7"/>
      </w:pPr>
    </w:p>
    <w:p w14:paraId="4092433D">
      <w:pPr>
        <w:pStyle w:val="4"/>
      </w:pPr>
    </w:p>
    <w:p w14:paraId="76B6ECF0"/>
    <w:p w14:paraId="07703F26">
      <w:pPr>
        <w:pStyle w:val="7"/>
      </w:pPr>
    </w:p>
    <w:p w14:paraId="482383CB">
      <w:pPr>
        <w:pStyle w:val="4"/>
      </w:pPr>
    </w:p>
    <w:p w14:paraId="5CAC448F"/>
    <w:p w14:paraId="382FCD8D">
      <w:pPr>
        <w:pStyle w:val="7"/>
      </w:pPr>
    </w:p>
    <w:p w14:paraId="23E4F191">
      <w:pPr>
        <w:pStyle w:val="4"/>
      </w:pPr>
    </w:p>
    <w:p w14:paraId="73E841E2"/>
    <w:p w14:paraId="19AB4844">
      <w:pPr>
        <w:pStyle w:val="7"/>
      </w:pPr>
    </w:p>
    <w:p w14:paraId="13A0A696">
      <w:pPr>
        <w:pStyle w:val="4"/>
      </w:pPr>
    </w:p>
    <w:p w14:paraId="3DF7D6C0"/>
    <w:p w14:paraId="4416A909">
      <w:pPr>
        <w:pStyle w:val="7"/>
      </w:pPr>
    </w:p>
    <w:p w14:paraId="4005F1EE">
      <w:pPr>
        <w:pStyle w:val="4"/>
      </w:pPr>
    </w:p>
    <w:p w14:paraId="084931D4"/>
    <w:p w14:paraId="1C8B3824">
      <w:pPr>
        <w:pStyle w:val="7"/>
      </w:pPr>
    </w:p>
    <w:p w14:paraId="7B7A2A9B">
      <w:pPr>
        <w:pStyle w:val="4"/>
      </w:pPr>
    </w:p>
    <w:p w14:paraId="3E007A45"/>
    <w:p w14:paraId="57A2CDE4">
      <w:pPr>
        <w:pStyle w:val="7"/>
      </w:pPr>
    </w:p>
    <w:p w14:paraId="40FC3898">
      <w:pPr>
        <w:pStyle w:val="4"/>
      </w:pPr>
    </w:p>
    <w:p w14:paraId="1DA80AC2"/>
    <w:p w14:paraId="44E845AE">
      <w:pPr>
        <w:pStyle w:val="12"/>
        <w:jc w:val="center"/>
        <w:rPr>
          <w:rFonts w:hint="eastAsia" w:ascii="方正小标宋_GBK" w:hAnsi="方正小标宋_GBK" w:eastAsia="方正小标宋_GBK" w:cs="方正小标宋_GBK"/>
          <w:sz w:val="84"/>
          <w:szCs w:val="84"/>
        </w:rPr>
      </w:pPr>
    </w:p>
    <w:p w14:paraId="59AA33EA">
      <w:pPr>
        <w:pStyle w:val="12"/>
        <w:jc w:val="center"/>
        <w:rPr>
          <w:rFonts w:hint="eastAsia" w:ascii="方正小标宋_GBK" w:hAnsi="方正小标宋_GBK" w:eastAsia="方正小标宋_GBK" w:cs="方正小标宋_GBK"/>
          <w:sz w:val="84"/>
          <w:szCs w:val="84"/>
        </w:rPr>
      </w:pPr>
    </w:p>
    <w:p w14:paraId="04860B4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61FA93EA">
      <w:pPr>
        <w:pStyle w:val="12"/>
        <w:jc w:val="center"/>
        <w:rPr>
          <w:rFonts w:hint="eastAsia" w:ascii="方正小标宋_GBK" w:hAnsi="方正小标宋_GBK" w:eastAsia="方正小标宋_GBK" w:cs="方正小标宋_GBK"/>
          <w:sz w:val="84"/>
          <w:szCs w:val="84"/>
        </w:rPr>
      </w:pPr>
    </w:p>
    <w:p w14:paraId="0B1DAAFE">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09A5F4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6A884E85">
      <w:pPr>
        <w:pStyle w:val="12"/>
        <w:jc w:val="center"/>
        <w:rPr>
          <w:rFonts w:hint="eastAsia" w:ascii="仿宋_GB2312" w:hAnsi="仿宋_GB2312" w:eastAsia="仿宋_GB2312" w:cs="仿宋_GB2312"/>
          <w:b w:val="0"/>
          <w:bCs w:val="0"/>
          <w:sz w:val="72"/>
          <w:szCs w:val="72"/>
          <w:lang w:eastAsia="zh-CN"/>
        </w:rPr>
      </w:pPr>
    </w:p>
    <w:p w14:paraId="09229F6A">
      <w:pPr>
        <w:pStyle w:val="12"/>
        <w:jc w:val="center"/>
        <w:rPr>
          <w:rFonts w:hint="eastAsia" w:ascii="仿宋_GB2312" w:hAnsi="仿宋_GB2312" w:eastAsia="仿宋_GB2312" w:cs="仿宋_GB2312"/>
          <w:b w:val="0"/>
          <w:bCs w:val="0"/>
          <w:sz w:val="72"/>
          <w:szCs w:val="72"/>
          <w:lang w:eastAsia="zh-CN"/>
        </w:rPr>
      </w:pPr>
    </w:p>
    <w:p w14:paraId="53BD8536">
      <w:pPr>
        <w:pStyle w:val="12"/>
        <w:jc w:val="center"/>
        <w:rPr>
          <w:rFonts w:hint="eastAsia" w:ascii="仿宋_GB2312" w:hAnsi="仿宋_GB2312" w:eastAsia="仿宋_GB2312" w:cs="仿宋_GB2312"/>
          <w:b w:val="0"/>
          <w:bCs w:val="0"/>
          <w:sz w:val="72"/>
          <w:szCs w:val="72"/>
          <w:lang w:eastAsia="zh-CN"/>
        </w:rPr>
      </w:pPr>
    </w:p>
    <w:p w14:paraId="01C7C522">
      <w:pPr>
        <w:pStyle w:val="12"/>
        <w:jc w:val="center"/>
        <w:rPr>
          <w:rFonts w:hint="eastAsia" w:ascii="仿宋_GB2312" w:hAnsi="仿宋_GB2312" w:eastAsia="仿宋_GB2312" w:cs="仿宋_GB2312"/>
          <w:b w:val="0"/>
          <w:bCs w:val="0"/>
          <w:sz w:val="72"/>
          <w:szCs w:val="72"/>
          <w:lang w:eastAsia="zh-CN"/>
        </w:rPr>
      </w:pPr>
    </w:p>
    <w:p w14:paraId="096EC9AA">
      <w:pPr>
        <w:pStyle w:val="12"/>
        <w:jc w:val="center"/>
        <w:rPr>
          <w:rFonts w:hint="eastAsia" w:ascii="仿宋_GB2312" w:hAnsi="仿宋_GB2312" w:eastAsia="仿宋_GB2312" w:cs="仿宋_GB2312"/>
          <w:b w:val="0"/>
          <w:bCs w:val="0"/>
          <w:sz w:val="72"/>
          <w:szCs w:val="72"/>
          <w:lang w:eastAsia="zh-CN"/>
        </w:rPr>
      </w:pPr>
    </w:p>
    <w:p w14:paraId="17D70A9B">
      <w:pPr>
        <w:pStyle w:val="12"/>
        <w:jc w:val="both"/>
        <w:rPr>
          <w:rFonts w:hint="eastAsia" w:ascii="方正小标宋_GBK" w:hAnsi="方正小标宋_GBK" w:eastAsia="方正小标宋_GBK" w:cs="方正小标宋_GBK"/>
          <w:sz w:val="72"/>
          <w:szCs w:val="72"/>
        </w:rPr>
      </w:pPr>
    </w:p>
    <w:p w14:paraId="2ADC7193">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18E9FB3">
      <w:pPr>
        <w:pStyle w:val="12"/>
        <w:jc w:val="center"/>
        <w:rPr>
          <w:rFonts w:hint="eastAsia" w:ascii="方正小标宋_GBK" w:hAnsi="方正小标宋_GBK" w:eastAsia="方正小标宋_GBK" w:cs="方正小标宋_GBK"/>
          <w:sz w:val="70"/>
          <w:szCs w:val="70"/>
        </w:rPr>
      </w:pPr>
    </w:p>
    <w:p w14:paraId="1261294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08DF8F8">
      <w:pPr>
        <w:pStyle w:val="12"/>
        <w:jc w:val="center"/>
        <w:rPr>
          <w:rFonts w:hint="eastAsia" w:ascii="方正小标宋_GBK" w:hAnsi="方正小标宋_GBK" w:eastAsia="方正小标宋_GBK" w:cs="方正小标宋_GBK"/>
          <w:sz w:val="70"/>
          <w:szCs w:val="70"/>
        </w:rPr>
      </w:pPr>
    </w:p>
    <w:p w14:paraId="5C748FD3">
      <w:pPr>
        <w:pStyle w:val="12"/>
        <w:jc w:val="center"/>
        <w:rPr>
          <w:rFonts w:hint="eastAsia" w:ascii="方正小标宋_GBK" w:hAnsi="方正小标宋_GBK" w:eastAsia="方正小标宋_GBK" w:cs="方正小标宋_GBK"/>
          <w:sz w:val="70"/>
          <w:szCs w:val="70"/>
        </w:rPr>
      </w:pPr>
    </w:p>
    <w:p w14:paraId="2AC704F3">
      <w:pPr>
        <w:pStyle w:val="12"/>
        <w:jc w:val="center"/>
        <w:rPr>
          <w:rFonts w:hint="eastAsia" w:ascii="方正小标宋_GBK" w:hAnsi="方正小标宋_GBK" w:eastAsia="方正小标宋_GBK" w:cs="方正小标宋_GBK"/>
          <w:sz w:val="70"/>
          <w:szCs w:val="70"/>
        </w:rPr>
      </w:pPr>
    </w:p>
    <w:p w14:paraId="45E61445">
      <w:pPr>
        <w:pStyle w:val="12"/>
        <w:jc w:val="center"/>
        <w:rPr>
          <w:rFonts w:hint="eastAsia" w:ascii="方正小标宋_GBK" w:hAnsi="方正小标宋_GBK" w:eastAsia="方正小标宋_GBK" w:cs="方正小标宋_GBK"/>
          <w:sz w:val="70"/>
          <w:szCs w:val="70"/>
        </w:rPr>
      </w:pPr>
    </w:p>
    <w:p w14:paraId="3E9926C6">
      <w:pPr>
        <w:pStyle w:val="12"/>
        <w:jc w:val="center"/>
        <w:rPr>
          <w:rFonts w:hint="eastAsia" w:ascii="方正小标宋_GBK" w:hAnsi="方正小标宋_GBK" w:eastAsia="方正小标宋_GBK" w:cs="方正小标宋_GBK"/>
          <w:sz w:val="70"/>
          <w:szCs w:val="70"/>
        </w:rPr>
      </w:pPr>
    </w:p>
    <w:p w14:paraId="19C8ABC9">
      <w:pPr>
        <w:pStyle w:val="12"/>
        <w:jc w:val="center"/>
        <w:rPr>
          <w:rFonts w:hint="eastAsia" w:ascii="方正小标宋_GBK" w:hAnsi="方正小标宋_GBK" w:eastAsia="方正小标宋_GBK" w:cs="方正小标宋_GBK"/>
          <w:sz w:val="70"/>
          <w:szCs w:val="70"/>
        </w:rPr>
      </w:pPr>
    </w:p>
    <w:p w14:paraId="114F9437">
      <w:pPr>
        <w:widowControl/>
        <w:jc w:val="left"/>
        <w:rPr>
          <w:rFonts w:hint="eastAsia" w:ascii="仿宋_GB2312" w:hAnsi="仿宋_GB2312" w:eastAsia="仿宋_GB2312" w:cs="仿宋_GB2312"/>
          <w:sz w:val="32"/>
          <w:szCs w:val="32"/>
        </w:rPr>
      </w:pPr>
    </w:p>
    <w:p w14:paraId="4526D4C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65E1F2C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3061.39</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492.84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19.19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单位业务量增大导致收支增多。</w:t>
      </w:r>
    </w:p>
    <w:p w14:paraId="74AD897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01369E9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3061.39</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3034.64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99.13</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26.75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0.87</w:t>
      </w:r>
      <w:r>
        <w:rPr>
          <w:rFonts w:hint="eastAsia" w:ascii="仿宋_GB2312" w:hAnsi="仿宋_GB2312" w:eastAsia="仿宋_GB2312" w:cs="仿宋_GB2312"/>
          <w:sz w:val="32"/>
          <w:szCs w:val="32"/>
        </w:rPr>
        <w:t>%。</w:t>
      </w:r>
    </w:p>
    <w:p w14:paraId="1E3F43E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834C3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3058.61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1541.22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50.39</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1517.39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49.61</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4C7E7C9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562AD1D4">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3034.64</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564.84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22.87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单位业务量增大导致收支增多。</w:t>
      </w:r>
    </w:p>
    <w:p w14:paraId="75372CB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73D028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550816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3034.52</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99.12</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564.72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22.86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单位业务量增大导致收支增多。</w:t>
      </w:r>
    </w:p>
    <w:p w14:paraId="01FB969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88A562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3034.52</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val="en-US" w:eastAsia="zh-CN"/>
        </w:rPr>
        <w:t>社会保障和就业</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2934.03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96.69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农林水</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6.59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住房保障支出93.88万元，占3.09%</w:t>
      </w:r>
    </w:p>
    <w:p w14:paraId="43B1EB5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75FFA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1494.72</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3034.52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203.02</w:t>
      </w:r>
      <w:r>
        <w:rPr>
          <w:rFonts w:hint="eastAsia" w:ascii="仿宋_GB2312" w:hAnsi="仿宋_GB2312" w:eastAsia="仿宋_GB2312" w:cs="仿宋_GB2312"/>
          <w:sz w:val="32"/>
          <w:szCs w:val="32"/>
        </w:rPr>
        <w:t>%，其中：</w:t>
      </w:r>
    </w:p>
    <w:p w14:paraId="7D32AC6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人力资源和社会保障管理事务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就业管理事务</w:t>
      </w:r>
      <w:r>
        <w:rPr>
          <w:rFonts w:hint="eastAsia" w:ascii="仿宋_GB2312" w:hAnsi="仿宋_GB2312" w:eastAsia="仿宋_GB2312" w:cs="仿宋_GB2312"/>
          <w:sz w:val="32"/>
          <w:szCs w:val="32"/>
        </w:rPr>
        <w:t>（项）。</w:t>
      </w:r>
    </w:p>
    <w:p w14:paraId="5A4B2A6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1391.35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1758.64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126.4</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单位人员变化及业务增多导致支出增加。</w:t>
      </w:r>
    </w:p>
    <w:p w14:paraId="32CC486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人力资源和社会保障管理事务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其他人力资源和社会保障管理事务支出</w:t>
      </w:r>
      <w:r>
        <w:rPr>
          <w:rFonts w:hint="eastAsia" w:ascii="仿宋_GB2312" w:hAnsi="仿宋_GB2312" w:eastAsia="仿宋_GB2312" w:cs="仿宋_GB2312"/>
          <w:sz w:val="32"/>
          <w:szCs w:val="32"/>
        </w:rPr>
        <w:t>（项）。</w:t>
      </w:r>
    </w:p>
    <w:p w14:paraId="226F937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85.45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由于业务量增大，财政根据实际情况增加了相应的款项支出。</w:t>
      </w:r>
    </w:p>
    <w:p w14:paraId="0B64931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机关事业单位基本养老保险缴费支出（项）</w:t>
      </w:r>
    </w:p>
    <w:p w14:paraId="44AD8017">
      <w:pPr>
        <w:pStyle w:val="12"/>
        <w:keepNext w:val="0"/>
        <w:keepLines w:val="0"/>
        <w:pageBreakBefore w:val="0"/>
        <w:widowControl w:val="0"/>
        <w:kinsoku/>
        <w:wordWrap/>
        <w:overflowPunct/>
        <w:topLinePunct w:val="0"/>
        <w:bidi w:val="0"/>
        <w:snapToGrid/>
        <w:spacing w:line="600" w:lineRule="exact"/>
        <w:ind w:left="638" w:leftChars="304" w:firstLine="160" w:firstLineChars="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94.55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94.55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2D6B4343">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决算与年初预算数一致的主要原因是：严格控制支出单位人员经费</w:t>
      </w:r>
      <w:r>
        <w:rPr>
          <w:rFonts w:hint="eastAsia" w:ascii="仿宋_GB2312" w:hAnsi="仿宋_GB2312" w:eastAsia="仿宋_GB2312" w:cs="仿宋_GB2312"/>
          <w:sz w:val="32"/>
          <w:szCs w:val="32"/>
          <w:lang w:eastAsia="zh-CN"/>
        </w:rPr>
        <w:t>。</w:t>
      </w:r>
    </w:p>
    <w:p w14:paraId="6005F51D">
      <w:pPr>
        <w:pStyle w:val="12"/>
        <w:keepNext w:val="0"/>
        <w:keepLines w:val="0"/>
        <w:pageBreakBefore w:val="0"/>
        <w:widowControl w:val="0"/>
        <w:kinsoku/>
        <w:wordWrap/>
        <w:overflowPunct/>
        <w:topLinePunct w:val="0"/>
        <w:bidi w:val="0"/>
        <w:snapToGrid/>
        <w:spacing w:line="600" w:lineRule="exact"/>
        <w:ind w:left="638" w:leftChars="304" w:firstLine="160" w:firstLineChars="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就业补助</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社会保险补贴（项）</w:t>
      </w:r>
    </w:p>
    <w:p w14:paraId="17B9718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251.64</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此款项为我单位拨付灵活就业人员社保补贴，属单位业务当年拨付范围，不列入部门年初预算。由业务科室向财政局申请经由我中心账户拨付给享受补贴人员。</w:t>
      </w:r>
    </w:p>
    <w:p w14:paraId="205C528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就业补助</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其他就业补助支出（项）</w:t>
      </w:r>
    </w:p>
    <w:p w14:paraId="77C3D9A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714.45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此款项为我单位开展就业活动，属单位业务当年拨付范围，不列入部门年初预算。</w:t>
      </w:r>
    </w:p>
    <w:p w14:paraId="7261F49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抚恤</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其他优抚支出（项）</w:t>
      </w:r>
    </w:p>
    <w:p w14:paraId="63E3D9A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8.59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用于中心逝世职工的丧葬抚恤费发放，属当年申请支付款项。</w:t>
      </w:r>
    </w:p>
    <w:p w14:paraId="0FED416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其他社会保障和就业支出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其他社会保障和就业支出（项）</w:t>
      </w:r>
    </w:p>
    <w:p w14:paraId="6C85DB5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20.71</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此款项为我单位开展就业活动，属单位业务当年拨付范围，不列入部门年初预算。</w:t>
      </w:r>
    </w:p>
    <w:p w14:paraId="69FFEAB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普惠金融发展支出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创业担保贷款贴息及奖补（项）</w:t>
      </w:r>
    </w:p>
    <w:p w14:paraId="08581C2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6.59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此款项为当年度由于业务开展优异向省厅申请的经费，没有列入部门年初预算。</w:t>
      </w:r>
    </w:p>
    <w:p w14:paraId="1CB2621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9、住房保障支出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住房改革支出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住房公积金（项）</w:t>
      </w:r>
    </w:p>
    <w:p w14:paraId="71E187A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93.88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93.88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决算与年初预算数一致的主要原因是：严格控制支出单位人员经费</w:t>
      </w:r>
      <w:r>
        <w:rPr>
          <w:rFonts w:hint="eastAsia" w:ascii="仿宋_GB2312" w:hAnsi="仿宋_GB2312" w:eastAsia="仿宋_GB2312" w:cs="仿宋_GB2312"/>
          <w:sz w:val="32"/>
          <w:szCs w:val="32"/>
          <w:lang w:eastAsia="zh-CN"/>
        </w:rPr>
        <w:t>。</w:t>
      </w:r>
    </w:p>
    <w:p w14:paraId="43EA9ABC">
      <w:pPr>
        <w:pStyle w:val="12"/>
        <w:keepNext w:val="0"/>
        <w:keepLines w:val="0"/>
        <w:pageBreakBefore w:val="0"/>
        <w:widowControl w:val="0"/>
        <w:numPr>
          <w:ilvl w:val="0"/>
          <w:numId w:val="0"/>
        </w:numPr>
        <w:kinsoku/>
        <w:wordWrap/>
        <w:overflowPunct/>
        <w:topLinePunct w:val="0"/>
        <w:bidi w:val="0"/>
        <w:snapToGrid/>
        <w:spacing w:line="600" w:lineRule="exact"/>
        <w:ind w:leftChars="3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10、卫生健康支出（类）医疗保障管理事务（款）其他医疗保障管理事务支出（项）。</w:t>
      </w:r>
    </w:p>
    <w:p w14:paraId="1D99245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lang w:val="en-US" w:eastAsia="zh-CN"/>
        </w:rPr>
        <w:t>年初预算为9.48万元，支出决算为0万元，完成年初预算数的0%，决算数小于预算数的主要原因是年中功能科目间的调整。</w:t>
      </w:r>
    </w:p>
    <w:p w14:paraId="4328254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A727A9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1517.12</w:t>
      </w:r>
      <w:r>
        <w:rPr>
          <w:rFonts w:hint="eastAsia" w:ascii="仿宋_GB2312" w:hAnsi="仿宋_GB2312" w:eastAsia="仿宋_GB2312" w:cs="仿宋_GB2312"/>
          <w:sz w:val="32"/>
          <w:szCs w:val="32"/>
        </w:rPr>
        <w:t>万元，其中：</w:t>
      </w:r>
    </w:p>
    <w:p w14:paraId="737CE73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1322.01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87.14</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w:t>
      </w:r>
    </w:p>
    <w:p w14:paraId="2DB43E2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195.11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12.86</w:t>
      </w:r>
      <w:r>
        <w:rPr>
          <w:rFonts w:hint="eastAsia" w:ascii="仿宋_GB2312" w:hAnsi="仿宋_GB2312" w:eastAsia="仿宋_GB2312" w:cs="仿宋_GB2312"/>
          <w:sz w:val="32"/>
          <w:szCs w:val="32"/>
        </w:rPr>
        <w:t>%，主要包括办公费、印刷费、咨询费、手续费。</w:t>
      </w:r>
    </w:p>
    <w:p w14:paraId="06CA702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22F995BE">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lang w:val="en-US" w:eastAsia="zh-CN"/>
        </w:rPr>
        <w:t xml:space="preserve"> 本单位无政府性基金收支。2023年度政府性基金预算财政拨款收入0万元；年初结转和结余0万元；支出0万元，其中基本支出0万元，项目支出0万元；年末结转和结余0万元。</w:t>
      </w:r>
    </w:p>
    <w:p w14:paraId="78105D2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3EE0904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14:paraId="7F2887D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78C2C11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32C06E9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2.89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57.8</w:t>
      </w:r>
      <w:r>
        <w:rPr>
          <w:rFonts w:hint="eastAsia" w:ascii="仿宋_GB2312" w:hAnsi="仿宋_GB2312" w:eastAsia="仿宋_GB2312" w:cs="仿宋_GB2312"/>
          <w:sz w:val="32"/>
          <w:szCs w:val="32"/>
        </w:rPr>
        <w:t>%，决算数小于预算数的主要原因是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0.03</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1.03</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sz w:val="32"/>
          <w:szCs w:val="32"/>
        </w:rPr>
        <w:t>。其中：</w:t>
      </w:r>
    </w:p>
    <w:p w14:paraId="18593A4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14:paraId="6001622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公务接待费支出预算为</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2.89</w:t>
      </w:r>
      <w:r>
        <w:rPr>
          <w:rFonts w:hint="eastAsia" w:ascii="Times New Roman" w:hAnsi="Times New Roman" w:eastAsia="仿宋_GB2312"/>
          <w:sz w:val="32"/>
          <w:szCs w:val="32"/>
          <w:lang w:eastAsia="zh-CN"/>
        </w:rPr>
        <w:t>万元，完成预算的</w:t>
      </w:r>
      <w:r>
        <w:rPr>
          <w:rFonts w:hint="eastAsia" w:ascii="Times New Roman" w:hAnsi="Times New Roman" w:eastAsia="仿宋_GB2312"/>
          <w:sz w:val="32"/>
          <w:szCs w:val="32"/>
          <w:lang w:val="en-US" w:eastAsia="zh-CN"/>
        </w:rPr>
        <w:t>57.8</w:t>
      </w:r>
      <w:r>
        <w:rPr>
          <w:rFonts w:hint="eastAsia" w:ascii="Times New Roman" w:hAnsi="Times New Roman" w:eastAsia="仿宋_GB2312"/>
          <w:sz w:val="32"/>
          <w:szCs w:val="32"/>
          <w:lang w:eastAsia="zh-CN"/>
        </w:rPr>
        <w:t>%，决算数小于预算数的主要原因是认真贯彻落实中央八项规定精神和厉行节约要求，从严控制“三公”经费开支，与上年相比减少</w:t>
      </w:r>
      <w:r>
        <w:rPr>
          <w:rFonts w:hint="eastAsia" w:ascii="Times New Roman" w:hAnsi="Times New Roman" w:eastAsia="仿宋_GB2312"/>
          <w:sz w:val="32"/>
          <w:szCs w:val="32"/>
          <w:lang w:val="en-US" w:eastAsia="zh-CN"/>
        </w:rPr>
        <w:t>0.03</w:t>
      </w:r>
      <w:r>
        <w:rPr>
          <w:rFonts w:hint="eastAsia" w:ascii="Times New Roman" w:hAnsi="Times New Roman" w:eastAsia="仿宋_GB2312"/>
          <w:sz w:val="32"/>
          <w:szCs w:val="32"/>
          <w:lang w:eastAsia="zh-CN"/>
        </w:rPr>
        <w:t>万元，减少</w:t>
      </w:r>
      <w:r>
        <w:rPr>
          <w:rFonts w:hint="eastAsia" w:ascii="Times New Roman" w:hAnsi="Times New Roman" w:eastAsia="仿宋_GB2312"/>
          <w:sz w:val="32"/>
          <w:szCs w:val="32"/>
          <w:lang w:val="en-US" w:eastAsia="zh-CN"/>
        </w:rPr>
        <w:t>1.03</w:t>
      </w:r>
      <w:r>
        <w:rPr>
          <w:rFonts w:hint="eastAsia" w:ascii="Times New Roman" w:hAnsi="Times New Roman" w:eastAsia="仿宋_GB2312"/>
          <w:sz w:val="32"/>
          <w:szCs w:val="32"/>
          <w:lang w:eastAsia="zh-CN"/>
        </w:rPr>
        <w:t>%,减少的主要原因是认真贯彻落实中央八项规定精神和厉行节约要求，从严控制“三公”经费开支。</w:t>
      </w:r>
    </w:p>
    <w:p w14:paraId="4B219A5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公务用车购置费支出预算为0万元，支出决算为0万元，决算数等于预算数，主要原因是我单位严格按预算执行决算；与上年一致，无增减变动，主要原因是两年均未购置公务用车。  </w:t>
      </w:r>
    </w:p>
    <w:p w14:paraId="24C817A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公务用车运行维护费支出预算为0万元，支出决算为0万元，决算数等于预算数，主要原因是我单位严格按预算执行决算；与上年一致，无增减变动，主要原因是两年均无公务用车需要运行维护。</w:t>
      </w:r>
    </w:p>
    <w:p w14:paraId="2C5F460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20D96C9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2.89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%。其中：</w:t>
      </w:r>
    </w:p>
    <w:p w14:paraId="5F742704">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1、因公出国（境）费支出决算为0万元，全年安排因公出国（境）团组0个，累计0人次，我单位2023年度无因公出国（境）费支出。</w:t>
      </w:r>
    </w:p>
    <w:p w14:paraId="3F8AD3A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公务接待费支出决算为2.89万元，全年共接待来访团组34个、来宾149人次，主要是学习交流、请示汇报、考察调研发生的接待支出。</w:t>
      </w:r>
    </w:p>
    <w:p w14:paraId="25D3A7A9">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630" w:leftChars="0"/>
        <w:textAlignment w:val="auto"/>
        <w:rPr>
          <w:rFonts w:hint="eastAsia" w:ascii="黑体" w:hAnsi="黑体" w:eastAsia="黑体" w:cs="黑体"/>
          <w:b w:val="0"/>
          <w:bCs/>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color w:val="000000"/>
          <w:kern w:val="0"/>
          <w:sz w:val="32"/>
          <w:szCs w:val="32"/>
          <w:lang w:val="en-US" w:eastAsia="zh-CN" w:bidi="ar-SA"/>
        </w:rPr>
        <w:t>公务用车购置费及运行维护费支出决算为0万元，其中：公务用车购置费0万元，当年没有购置公务用车。公务用车运行维护费0万元，截至2023年12月31日，我单位开支财政拨款的公务用车保有量为0辆。</w:t>
      </w:r>
    </w:p>
    <w:p w14:paraId="3C2FE4B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797DEB5">
      <w:pPr>
        <w:pStyle w:val="12"/>
        <w:ind w:firstLine="640" w:firstLineChars="200"/>
        <w:rPr>
          <w:rFonts w:hint="default" w:ascii="Times New Roman" w:hAnsi="Times New Roman" w:eastAsia="仿宋_GB2312"/>
          <w:sz w:val="32"/>
          <w:szCs w:val="32"/>
          <w:lang w:val="en-US"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195.12</w:t>
      </w:r>
      <w:r>
        <w:rPr>
          <w:rFonts w:hint="eastAsia" w:ascii="仿宋_GB2312" w:hAnsi="仿宋_GB2312" w:eastAsia="仿宋_GB2312" w:cs="仿宋_GB2312"/>
          <w:sz w:val="32"/>
          <w:szCs w:val="32"/>
        </w:rPr>
        <w:t>万元，比年初预算数（或者上年决算数）增加</w:t>
      </w:r>
      <w:r>
        <w:rPr>
          <w:rFonts w:hint="eastAsia" w:ascii="仿宋_GB2312" w:hAnsi="仿宋_GB2312" w:eastAsia="仿宋_GB2312" w:cs="仿宋_GB2312"/>
          <w:sz w:val="32"/>
          <w:szCs w:val="32"/>
          <w:lang w:val="en-US" w:eastAsia="zh-CN"/>
        </w:rPr>
        <w:t>16.44</w:t>
      </w:r>
      <w:r>
        <w:rPr>
          <w:rFonts w:hint="eastAsia" w:ascii="仿宋_GB2312" w:hAnsi="仿宋_GB2312" w:eastAsia="仿宋_GB2312" w:cs="仿宋_GB2312"/>
          <w:sz w:val="32"/>
          <w:szCs w:val="32"/>
        </w:rPr>
        <w:t xml:space="preserve"> 万元，增长</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单位人员变化及业务量增大导致支出数增大。</w:t>
      </w:r>
    </w:p>
    <w:p w14:paraId="734B005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5D7B729">
      <w:pPr>
        <w:pStyle w:val="12"/>
        <w:ind w:firstLine="640" w:firstLineChars="200"/>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年度，会议费年初预算5万元，支出决算为3.47万元，完成年初预算的69.4%。用于</w:t>
      </w:r>
      <w:r>
        <w:rPr>
          <w:rFonts w:hint="eastAsia" w:ascii="Times New Roman" w:hAnsi="Times New Roman" w:eastAsia="仿宋_GB2312"/>
          <w:sz w:val="32"/>
          <w:szCs w:val="32"/>
          <w:lang w:val="en-US" w:eastAsia="zh-CN"/>
        </w:rPr>
        <w:t>全市就业工作会议等、会议，人数90人，内容为安排就业创业工作、总结工作进度分析工作特点及难度，县市区之间互相学习借鉴；</w:t>
      </w:r>
    </w:p>
    <w:p w14:paraId="29E64587">
      <w:pPr>
        <w:widowControl w:val="0"/>
        <w:autoSpaceDE w:val="0"/>
        <w:autoSpaceDN w:val="0"/>
        <w:adjustRightInd w:val="0"/>
        <w:ind w:firstLine="640" w:firstLineChars="200"/>
        <w:rPr>
          <w:rFonts w:hint="eastAsia" w:ascii="Times New Roman" w:hAnsi="Times New Roman" w:eastAsia="仿宋_GB2312"/>
          <w:sz w:val="32"/>
          <w:szCs w:val="32"/>
          <w:lang w:val="en-US" w:eastAsia="zh-CN"/>
        </w:rPr>
      </w:pPr>
      <w:r>
        <w:rPr>
          <w:rFonts w:hint="eastAsia" w:ascii="仿宋_GB2312" w:hAnsi="仿宋_GB2312" w:eastAsia="仿宋_GB2312" w:cs="仿宋_GB2312"/>
          <w:color w:val="000000"/>
          <w:kern w:val="0"/>
          <w:sz w:val="32"/>
          <w:szCs w:val="32"/>
          <w:lang w:val="en-US" w:eastAsia="zh-CN" w:bidi="ar-SA"/>
        </w:rPr>
        <w:t>培训费年初预算2万元，支出决算为0.98万元，完成年初预算的49%。</w:t>
      </w:r>
      <w:r>
        <w:rPr>
          <w:rFonts w:hint="eastAsia" w:ascii="Times New Roman" w:hAnsi="Times New Roman" w:eastAsia="仿宋_GB2312"/>
          <w:sz w:val="32"/>
          <w:szCs w:val="32"/>
          <w:lang w:val="en-US" w:eastAsia="zh-CN"/>
        </w:rPr>
        <w:t>用于参加会计继续教育、入党知识分子培训，人数10人，内容为学习相关业务知识。</w:t>
      </w:r>
    </w:p>
    <w:p w14:paraId="620EF0FB">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w:t>
      </w:r>
      <w:r>
        <w:rPr>
          <w:rFonts w:hint="eastAsia" w:ascii="Times New Roman" w:hAnsi="Times New Roman" w:eastAsia="仿宋_GB2312"/>
          <w:sz w:val="32"/>
          <w:szCs w:val="32"/>
          <w:lang w:val="en-US" w:eastAsia="zh-CN"/>
        </w:rPr>
        <w:t>主要是本单位无举办节庆、晚会、论坛、赛事等活动的预算和支出决算数。</w:t>
      </w:r>
    </w:p>
    <w:p w14:paraId="00D461D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2F8C08C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i/>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本部门2023年度政府采购支出总额0万元，其中：政府采购货物支出0 万元、政府采购工程支出0万元、政府采购服务支出0万元。授予中小企业合同金额0万元（由于政府采购支出总额为0，故无法计算占政府采购支出总额的比重），其中：授予小微企业合同金额0万元（由于授予中小企业合同金额为0，故无法计算占授予中小企业合同金额的比重）。货物采购授予中小企业合同金额占货物支出金额的比重，工程采购授予中小企业合同金额占工程支出金额的比重，服务采购授予中小企业合同金额占服务支出金额的比重，由于以上各项合同金额为0，故无法计算各项占比。</w:t>
      </w:r>
    </w:p>
    <w:p w14:paraId="39925D95">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4275870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i w:val="0"/>
          <w:iCs/>
          <w:color w:val="000000" w:themeColor="text1"/>
          <w:sz w:val="32"/>
          <w:szCs w:val="32"/>
          <w:lang w:val="en-US" w:eastAsia="zh-CN"/>
          <w14:textFill>
            <w14:solidFill>
              <w14:schemeClr w14:val="tx1"/>
            </w14:solidFill>
          </w14:textFill>
        </w:rPr>
        <w:t>截至2023年12月31日，本单位共有车辆0辆，其中，</w:t>
      </w:r>
      <w:r>
        <w:rPr>
          <w:rFonts w:hint="eastAsia" w:ascii="仿宋_GB2312" w:hAnsi="仿宋_GB2312" w:eastAsia="仿宋_GB2312" w:cs="仿宋_GB2312"/>
          <w:color w:val="000000" w:themeColor="text1"/>
          <w:sz w:val="32"/>
          <w:szCs w:val="32"/>
          <w:lang w:eastAsia="zh-CN"/>
          <w14:textFill>
            <w14:solidFill>
              <w14:schemeClr w14:val="tx1"/>
            </w14:solidFill>
          </w14:textFill>
        </w:rPr>
        <w:t>副部（省）级及以上领导用车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主要</w:t>
      </w:r>
      <w:r>
        <w:rPr>
          <w:rFonts w:hint="eastAsia" w:ascii="仿宋_GB2312" w:hAnsi="仿宋_GB2312" w:eastAsia="仿宋_GB2312" w:cs="仿宋_GB2312"/>
          <w:color w:val="000000" w:themeColor="text1"/>
          <w:sz w:val="32"/>
          <w:szCs w:val="32"/>
          <w:lang w:eastAsia="zh-CN"/>
          <w14:textFill>
            <w14:solidFill>
              <w14:schemeClr w14:val="tx1"/>
            </w14:solidFill>
          </w14:textFill>
        </w:rPr>
        <w:t>负责人</w:t>
      </w:r>
      <w:r>
        <w:rPr>
          <w:rFonts w:hint="eastAsia" w:ascii="仿宋_GB2312" w:hAnsi="仿宋_GB2312" w:eastAsia="仿宋_GB2312" w:cs="仿宋_GB2312"/>
          <w:color w:val="000000" w:themeColor="text1"/>
          <w:sz w:val="32"/>
          <w:szCs w:val="32"/>
          <w14:textFill>
            <w14:solidFill>
              <w14:schemeClr w14:val="tx1"/>
            </w14:solidFill>
          </w14:textFill>
        </w:rPr>
        <w:t>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机要通信用车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辆、应急保障用车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辆、执法执勤用车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辆、特种专业技术用车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离退休干部服务用车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辆、其他用车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辆；单位价值100万元以上设备</w:t>
      </w:r>
      <w:r>
        <w:rPr>
          <w:rFonts w:hint="eastAsia" w:ascii="仿宋_GB2312" w:hAnsi="仿宋_GB2312" w:eastAsia="仿宋_GB2312" w:cs="仿宋_GB2312"/>
          <w:color w:val="000000" w:themeColor="text1"/>
          <w:sz w:val="32"/>
          <w:szCs w:val="32"/>
          <w:lang w:eastAsia="zh-CN"/>
          <w14:textFill>
            <w14:solidFill>
              <w14:schemeClr w14:val="tx1"/>
            </w14:solidFill>
          </w14:textFill>
        </w:rPr>
        <w:t>（不含车辆）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台（套）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5E0A45E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5CB1F61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21094CA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119CC08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组织开展整体支出绩效评价，涉及一般公共预算支出1517.12万元，政府性基金预算支出</w:t>
      </w:r>
      <w:r>
        <w:rPr>
          <w:rFonts w:hint="default" w:ascii="仿宋_GB2312" w:hAnsi="仿宋_GB2312" w:eastAsia="仿宋_GB2312" w:cs="仿宋_GB2312"/>
          <w:b w:val="0"/>
          <w:bCs w:val="0"/>
          <w:color w:val="000000"/>
          <w:kern w:val="0"/>
          <w:sz w:val="32"/>
          <w:szCs w:val="32"/>
          <w:lang w:eastAsia="zh-CN" w:bidi="ar-SA"/>
        </w:rPr>
        <w:t>0</w:t>
      </w:r>
      <w:r>
        <w:rPr>
          <w:rFonts w:hint="eastAsia" w:ascii="仿宋_GB2312" w:hAnsi="仿宋_GB2312" w:eastAsia="仿宋_GB2312" w:cs="仿宋_GB2312"/>
          <w:b w:val="0"/>
          <w:bCs w:val="0"/>
          <w:color w:val="000000"/>
          <w:kern w:val="0"/>
          <w:sz w:val="32"/>
          <w:szCs w:val="32"/>
          <w:lang w:val="en-US" w:eastAsia="zh-CN" w:bidi="ar-SA"/>
        </w:rPr>
        <w:t>万元，国有资本经营预算支出0万元。从评价情况来看，整体支出绩效评价中，2023年整体支出3058.61万元，其中：基本支出1541.22万元，项目支出1517.39万元，本单位整体支出绩效自评综合评分97分，评价结果等次为优。</w:t>
      </w:r>
    </w:p>
    <w:p w14:paraId="665C5D1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40万元，占一般公共预算项目支出总额的2.64%。组织对政府性基金预算项目支出开展绩效自评，项目0个，共涉及资金0万元，无法计算占政府性基金预算支出的比重。组织对国有资本经营预算项目支出开展绩效自评，项目0个，共涉及资金0万元，无法计算占国有资本经营预算支出的比重。</w:t>
      </w:r>
      <w:bookmarkStart w:id="0" w:name="_GoBack"/>
      <w:bookmarkEnd w:id="0"/>
    </w:p>
    <w:p w14:paraId="0DEF91B5">
      <w:pPr>
        <w:pStyle w:val="2"/>
        <w:rPr>
          <w:rFonts w:hint="eastAsia"/>
          <w:lang w:eastAsia="zh-CN"/>
        </w:rPr>
      </w:pPr>
    </w:p>
    <w:p w14:paraId="1B24AD1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5BC8D4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根据年初设定的绩效目标，绩效自评得分为97分。全年预算数为1494.72万元，执行数为1517.12万元，完成预算的101.5%。绩效目标完成情况：2023年</w:t>
      </w:r>
      <w:r>
        <w:rPr>
          <w:rFonts w:hint="default" w:ascii="仿宋_GB2312" w:hAnsi="仿宋_GB2312" w:eastAsia="仿宋_GB2312" w:cs="仿宋_GB2312"/>
          <w:b w:val="0"/>
          <w:bCs w:val="0"/>
          <w:color w:val="000000"/>
          <w:kern w:val="0"/>
          <w:sz w:val="32"/>
          <w:szCs w:val="32"/>
          <w:lang w:val="en-US" w:eastAsia="zh-CN" w:bidi="ar-SA"/>
        </w:rPr>
        <w:t>全市城镇新增就业6.62万人，完成全年目标任务“5.9万人”的112.2%；城镇调查失业率5.</w:t>
      </w:r>
      <w:r>
        <w:rPr>
          <w:rFonts w:hint="eastAsia" w:ascii="仿宋_GB2312" w:hAnsi="仿宋_GB2312" w:eastAsia="仿宋_GB2312" w:cs="仿宋_GB2312"/>
          <w:b w:val="0"/>
          <w:bCs w:val="0"/>
          <w:color w:val="000000"/>
          <w:kern w:val="0"/>
          <w:sz w:val="32"/>
          <w:szCs w:val="32"/>
          <w:lang w:val="en-US" w:eastAsia="zh-CN" w:bidi="ar-SA"/>
        </w:rPr>
        <w:t>3</w:t>
      </w:r>
      <w:r>
        <w:rPr>
          <w:rFonts w:hint="default" w:ascii="仿宋_GB2312" w:hAnsi="仿宋_GB2312" w:eastAsia="仿宋_GB2312" w:cs="仿宋_GB2312"/>
          <w:b w:val="0"/>
          <w:bCs w:val="0"/>
          <w:color w:val="000000"/>
          <w:kern w:val="0"/>
          <w:sz w:val="32"/>
          <w:szCs w:val="32"/>
          <w:lang w:val="en-US" w:eastAsia="zh-CN" w:bidi="ar-SA"/>
        </w:rPr>
        <w:t>%，控制在合理区间，全省排名并列第三；新增农村劳动力转移就业3.43万人，完成全年目标任务“3.1万人”的110.64%；失业人员再就业5.23万人，完成全年目标任务“2.7万人”的193.7% ；就业困难人员就业1.41万人，完成全年目标任务“9000人”的156.67%；全市4130名有就业意愿退捕渔民保持动态清零，10.91万名脱贫劳动力上岗就业；全市培训创业者1.04万人，完成全年目标任务“9500人”的109.47%；新增发放创业担保贷款5.5亿元，完成指导计划“4.8亿元”的114.58%；全市入驻创业孵化基地实体1594个，双创氛围持续浓厚；累计发放各类失业保险待遇5945.73万元，全市失业保险参保人数48.78万人。累计保管库存档案34.15万卷，新增档案2.71万卷，库存量位居全省前列。与市档案馆协调腾空100平方米档案库房用于存放15.34万人事档案，有效解决了市本级库房严重不足的问题。稳步推进档案信息化建设，全市有14.43万卷档案基础信息全部录入系统，共完成数字化加工10.65万卷。</w:t>
      </w:r>
      <w:r>
        <w:rPr>
          <w:rFonts w:hint="eastAsia" w:ascii="仿宋_GB2312" w:hAnsi="仿宋_GB2312" w:eastAsia="仿宋_GB2312" w:cs="仿宋_GB2312"/>
          <w:b w:val="0"/>
          <w:bCs w:val="0"/>
          <w:color w:val="000000"/>
          <w:kern w:val="0"/>
          <w:sz w:val="32"/>
          <w:szCs w:val="32"/>
          <w:lang w:val="en-US" w:eastAsia="zh-CN" w:bidi="ar-SA"/>
        </w:rPr>
        <w:t>一年</w:t>
      </w:r>
      <w:r>
        <w:rPr>
          <w:rFonts w:hint="default" w:ascii="仿宋_GB2312" w:hAnsi="仿宋_GB2312" w:eastAsia="仿宋_GB2312" w:cs="仿宋_GB2312"/>
          <w:b w:val="0"/>
          <w:bCs w:val="0"/>
          <w:color w:val="000000"/>
          <w:kern w:val="0"/>
          <w:sz w:val="32"/>
          <w:szCs w:val="32"/>
          <w:lang w:val="en-US" w:eastAsia="zh-CN" w:bidi="ar-SA"/>
        </w:rPr>
        <w:t>以来，</w:t>
      </w:r>
      <w:r>
        <w:rPr>
          <w:rFonts w:hint="eastAsia" w:ascii="仿宋_GB2312" w:hAnsi="仿宋_GB2312" w:eastAsia="仿宋_GB2312" w:cs="仿宋_GB2312"/>
          <w:b w:val="0"/>
          <w:bCs w:val="0"/>
          <w:color w:val="000000"/>
          <w:kern w:val="0"/>
          <w:sz w:val="32"/>
          <w:szCs w:val="32"/>
          <w:lang w:val="en-US" w:eastAsia="zh-CN" w:bidi="ar-SA"/>
        </w:rPr>
        <w:t>我中心</w:t>
      </w:r>
      <w:r>
        <w:rPr>
          <w:rFonts w:hint="default" w:ascii="仿宋_GB2312" w:hAnsi="仿宋_GB2312" w:eastAsia="仿宋_GB2312" w:cs="仿宋_GB2312"/>
          <w:b w:val="0"/>
          <w:bCs w:val="0"/>
          <w:color w:val="000000"/>
          <w:kern w:val="0"/>
          <w:sz w:val="32"/>
          <w:szCs w:val="32"/>
          <w:lang w:val="en-US" w:eastAsia="zh-CN" w:bidi="ar-SA"/>
        </w:rPr>
        <w:t>坚决贯彻落实省人社厅有关安排部署，以“追求卓越、争创一流”的精神状态，扎实做好各项稳就业保就业工作，全力确保全市就业大局总体稳定。</w:t>
      </w:r>
    </w:p>
    <w:p w14:paraId="56417875">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5B973F5">
      <w:pPr>
        <w:numPr>
          <w:ilvl w:val="0"/>
          <w:numId w:val="0"/>
        </w:numPr>
        <w:autoSpaceDE w:val="0"/>
        <w:autoSpaceDN w:val="0"/>
        <w:adjustRightInd w:val="0"/>
        <w:ind w:firstLine="640" w:firstLineChars="200"/>
        <w:jc w:val="left"/>
        <w:rPr>
          <w:rFonts w:hint="eastAsia" w:ascii="楷体" w:hAnsi="楷体" w:eastAsia="楷体" w:cs="楷体"/>
          <w:b/>
          <w:bCs/>
          <w:i w:val="0"/>
          <w:iCs w:val="0"/>
          <w:color w:val="FF0000"/>
          <w:kern w:val="0"/>
          <w:sz w:val="36"/>
          <w:szCs w:val="36"/>
          <w:lang w:val="en-US" w:eastAsia="zh-CN"/>
        </w:rPr>
      </w:pPr>
      <w:r>
        <w:rPr>
          <w:rFonts w:hint="eastAsia" w:ascii="仿宋_GB2312" w:hAnsi="仿宋_GB2312" w:eastAsia="仿宋_GB2312" w:cs="仿宋_GB2312"/>
          <w:b w:val="0"/>
          <w:bCs w:val="0"/>
          <w:color w:val="000000"/>
          <w:kern w:val="0"/>
          <w:sz w:val="32"/>
          <w:szCs w:val="32"/>
          <w:lang w:val="en-US" w:eastAsia="zh-CN" w:bidi="ar-SA"/>
        </w:rPr>
        <w:t>存在的问题：内控制度需进一步完善，随着资金管理改革的进一步推进，我单位内部机构进行了相应的优化，建立健全了财务管理制度、费用报销规程等制度，但仍需进一步强化财务约束监督体制。</w:t>
      </w:r>
      <w:r>
        <w:rPr>
          <w:rFonts w:hint="default" w:ascii="仿宋_GB2312" w:hAnsi="仿宋_GB2312" w:eastAsia="仿宋_GB2312" w:cs="仿宋_GB2312"/>
          <w:b w:val="0"/>
          <w:bCs w:val="0"/>
          <w:color w:val="000000"/>
          <w:kern w:val="0"/>
          <w:sz w:val="32"/>
          <w:szCs w:val="32"/>
          <w:lang w:val="en-US" w:eastAsia="zh-CN" w:bidi="ar-SA"/>
        </w:rPr>
        <w:t>可以从预算和预算绩效管理，部门履职效能，资金分配、使用和管理，资产和财务管理、政府采购等方面归纳存在的问题；反映各种预算支出执行偏离绩效目标的情况，并分析其原因。下一步改进措施</w:t>
      </w:r>
      <w:r>
        <w:rPr>
          <w:rFonts w:hint="eastAsia" w:ascii="仿宋_GB2312" w:hAnsi="仿宋_GB2312" w:eastAsia="仿宋_GB2312" w:cs="仿宋_GB2312"/>
          <w:b w:val="0"/>
          <w:bCs w:val="0"/>
          <w:color w:val="000000"/>
          <w:kern w:val="0"/>
          <w:sz w:val="32"/>
          <w:szCs w:val="32"/>
          <w:lang w:val="en-US" w:eastAsia="zh-CN" w:bidi="ar-SA"/>
        </w:rPr>
        <w:t>：1、加强学习，提高绩效管理水平。通过设立预算绩效管理领导小组，指定专人负责项目绩效管理。积极参加财政组织的绩效管理培训，以促进绩效管理认识及能力水平得以进一步提高。2、进一步完善内部管理制度，提升管理效能，更好地履行就业保障民生职能。科学合理编制预算，严格执行预算。进一步提高预算编制到位率，做准做全基本支出预算，做准做全项目支出预算，加强预算支出的审核、跟踪及预算执行情况分析，提高预算编制严谨性和可控性。</w:t>
      </w:r>
    </w:p>
    <w:p w14:paraId="6FB050F6">
      <w:pPr>
        <w:pStyle w:val="12"/>
        <w:jc w:val="both"/>
        <w:rPr>
          <w:sz w:val="72"/>
          <w:szCs w:val="72"/>
        </w:rPr>
      </w:pPr>
    </w:p>
    <w:p w14:paraId="03D1D851">
      <w:pPr>
        <w:pStyle w:val="12"/>
        <w:jc w:val="center"/>
        <w:rPr>
          <w:sz w:val="72"/>
          <w:szCs w:val="72"/>
        </w:rPr>
      </w:pPr>
    </w:p>
    <w:p w14:paraId="1FF352B0">
      <w:pPr>
        <w:pStyle w:val="12"/>
        <w:jc w:val="center"/>
        <w:rPr>
          <w:rFonts w:hint="eastAsia" w:ascii="方正小标宋_GBK" w:hAnsi="方正小标宋_GBK" w:eastAsia="方正小标宋_GBK" w:cs="方正小标宋_GBK"/>
          <w:sz w:val="70"/>
          <w:szCs w:val="70"/>
          <w:lang w:eastAsia="zh-CN"/>
        </w:rPr>
      </w:pPr>
    </w:p>
    <w:p w14:paraId="2C32C59C">
      <w:pPr>
        <w:pStyle w:val="12"/>
        <w:jc w:val="center"/>
        <w:rPr>
          <w:rFonts w:hint="eastAsia" w:ascii="方正小标宋_GBK" w:hAnsi="方正小标宋_GBK" w:eastAsia="方正小标宋_GBK" w:cs="方正小标宋_GBK"/>
          <w:sz w:val="70"/>
          <w:szCs w:val="70"/>
          <w:lang w:eastAsia="zh-CN"/>
        </w:rPr>
      </w:pPr>
    </w:p>
    <w:p w14:paraId="304A2B18">
      <w:pPr>
        <w:pStyle w:val="12"/>
        <w:jc w:val="center"/>
        <w:rPr>
          <w:rFonts w:hint="eastAsia" w:ascii="方正小标宋_GBK" w:hAnsi="方正小标宋_GBK" w:eastAsia="方正小标宋_GBK" w:cs="方正小标宋_GBK"/>
          <w:sz w:val="72"/>
          <w:szCs w:val="72"/>
        </w:rPr>
      </w:pPr>
    </w:p>
    <w:p w14:paraId="15CEAA65">
      <w:pPr>
        <w:pStyle w:val="12"/>
        <w:jc w:val="center"/>
        <w:rPr>
          <w:rFonts w:hint="eastAsia" w:ascii="方正小标宋_GBK" w:hAnsi="方正小标宋_GBK" w:eastAsia="方正小标宋_GBK" w:cs="方正小标宋_GBK"/>
          <w:sz w:val="72"/>
          <w:szCs w:val="72"/>
        </w:rPr>
      </w:pPr>
    </w:p>
    <w:p w14:paraId="55923016">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9FF5D2A">
      <w:pPr>
        <w:jc w:val="center"/>
        <w:rPr>
          <w:rFonts w:hint="eastAsia" w:ascii="方正小标宋_GBK" w:hAnsi="方正小标宋_GBK" w:eastAsia="方正小标宋_GBK" w:cs="方正小标宋_GBK"/>
          <w:color w:val="000000"/>
          <w:kern w:val="0"/>
          <w:sz w:val="70"/>
          <w:szCs w:val="70"/>
        </w:rPr>
      </w:pPr>
    </w:p>
    <w:p w14:paraId="0E5EF737">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E3A5B21">
      <w:pPr>
        <w:pStyle w:val="7"/>
      </w:pPr>
    </w:p>
    <w:p w14:paraId="7940804C">
      <w:pPr>
        <w:pStyle w:val="4"/>
      </w:pPr>
    </w:p>
    <w:p w14:paraId="1609437D"/>
    <w:p w14:paraId="3F592603">
      <w:pPr>
        <w:pStyle w:val="7"/>
      </w:pPr>
    </w:p>
    <w:p w14:paraId="51AA96B1">
      <w:pPr>
        <w:pStyle w:val="4"/>
      </w:pPr>
    </w:p>
    <w:p w14:paraId="073D5AC2"/>
    <w:p w14:paraId="1BFD3A7F">
      <w:pPr>
        <w:pStyle w:val="7"/>
      </w:pPr>
    </w:p>
    <w:p w14:paraId="4C933858">
      <w:pPr>
        <w:pStyle w:val="4"/>
      </w:pPr>
    </w:p>
    <w:p w14:paraId="401DF218"/>
    <w:p w14:paraId="76039583">
      <w:pPr>
        <w:pStyle w:val="7"/>
      </w:pPr>
    </w:p>
    <w:p w14:paraId="75AE2576">
      <w:pPr>
        <w:pStyle w:val="4"/>
      </w:pPr>
    </w:p>
    <w:p w14:paraId="06AE129D"/>
    <w:p w14:paraId="1A777C02">
      <w:pPr>
        <w:pStyle w:val="7"/>
      </w:pPr>
    </w:p>
    <w:p w14:paraId="68060C4A">
      <w:pPr>
        <w:pStyle w:val="4"/>
      </w:pPr>
    </w:p>
    <w:p w14:paraId="5AC125BB"/>
    <w:p w14:paraId="2AE2868B">
      <w:pPr>
        <w:pStyle w:val="7"/>
      </w:pPr>
    </w:p>
    <w:p w14:paraId="03913CD9">
      <w:pPr>
        <w:pStyle w:val="4"/>
      </w:pPr>
    </w:p>
    <w:p w14:paraId="1C4F64E2"/>
    <w:p w14:paraId="17E40A9A">
      <w:pPr>
        <w:pStyle w:val="7"/>
      </w:pPr>
    </w:p>
    <w:p w14:paraId="70B44BE6">
      <w:pPr>
        <w:pStyle w:val="4"/>
      </w:pPr>
    </w:p>
    <w:p w14:paraId="4EB73887"/>
    <w:p w14:paraId="0074C2AB">
      <w:pPr>
        <w:pStyle w:val="7"/>
      </w:pPr>
    </w:p>
    <w:p w14:paraId="5C3CAE55">
      <w:pPr>
        <w:pStyle w:val="4"/>
      </w:pPr>
    </w:p>
    <w:p w14:paraId="4A8F4B70"/>
    <w:p w14:paraId="5C0BA5C2">
      <w:pPr>
        <w:pStyle w:val="7"/>
      </w:pPr>
    </w:p>
    <w:p w14:paraId="29E3BEAD">
      <w:pPr>
        <w:pStyle w:val="4"/>
      </w:pPr>
    </w:p>
    <w:p w14:paraId="7B86ADBD"/>
    <w:p w14:paraId="06D31BCD">
      <w:pPr>
        <w:pStyle w:val="7"/>
      </w:pPr>
    </w:p>
    <w:p w14:paraId="4FBFABEF">
      <w:pPr>
        <w:pStyle w:val="4"/>
      </w:pPr>
    </w:p>
    <w:p w14:paraId="29D1B3DC"/>
    <w:p w14:paraId="1E7521EC">
      <w:pPr>
        <w:pStyle w:val="7"/>
      </w:pPr>
    </w:p>
    <w:p w14:paraId="5A456572">
      <w:pPr>
        <w:pStyle w:val="4"/>
      </w:pPr>
    </w:p>
    <w:p w14:paraId="0001E840">
      <w:pPr>
        <w:pStyle w:val="4"/>
      </w:pPr>
    </w:p>
    <w:p w14:paraId="556E691E"/>
    <w:p w14:paraId="6D74A685">
      <w:pPr>
        <w:pStyle w:val="7"/>
      </w:pPr>
    </w:p>
    <w:p w14:paraId="01F4B82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4A3317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325D70F0">
      <w:pPr>
        <w:pStyle w:val="4"/>
      </w:pPr>
    </w:p>
    <w:p w14:paraId="2185FE3E"/>
    <w:p w14:paraId="39736CA7">
      <w:pPr>
        <w:pStyle w:val="2"/>
      </w:pPr>
    </w:p>
    <w:p w14:paraId="78D632BF"/>
    <w:p w14:paraId="74E89AEB">
      <w:pPr>
        <w:pStyle w:val="2"/>
      </w:pPr>
    </w:p>
    <w:p w14:paraId="2F043411"/>
    <w:p w14:paraId="243401CA"/>
    <w:p w14:paraId="4954BDD4">
      <w:pPr>
        <w:pStyle w:val="7"/>
      </w:pPr>
    </w:p>
    <w:p w14:paraId="18FC2586">
      <w:pPr>
        <w:pStyle w:val="4"/>
      </w:pPr>
    </w:p>
    <w:p w14:paraId="1BEE63E8"/>
    <w:p w14:paraId="518BB94A">
      <w:pPr>
        <w:pStyle w:val="7"/>
      </w:pPr>
    </w:p>
    <w:p w14:paraId="104B317C">
      <w:pPr>
        <w:pStyle w:val="4"/>
      </w:pPr>
    </w:p>
    <w:p w14:paraId="497AD08C"/>
    <w:p w14:paraId="2D2AD829">
      <w:pPr>
        <w:pStyle w:val="7"/>
      </w:pPr>
    </w:p>
    <w:p w14:paraId="7F6E0A7E">
      <w:pPr>
        <w:pStyle w:val="4"/>
      </w:pPr>
    </w:p>
    <w:p w14:paraId="26B542BC"/>
    <w:p w14:paraId="5B938B2A">
      <w:pPr>
        <w:pStyle w:val="7"/>
      </w:pPr>
    </w:p>
    <w:p w14:paraId="5BDBD356">
      <w:pPr>
        <w:pStyle w:val="4"/>
      </w:pPr>
    </w:p>
    <w:p w14:paraId="590F11F3"/>
    <w:p w14:paraId="5833CEB6">
      <w:pPr>
        <w:pStyle w:val="7"/>
      </w:pPr>
    </w:p>
    <w:p w14:paraId="3BE773D7">
      <w:pPr>
        <w:pStyle w:val="4"/>
      </w:pPr>
    </w:p>
    <w:p w14:paraId="59452CBC">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6C547D21">
      <w:pPr>
        <w:pStyle w:val="12"/>
        <w:jc w:val="both"/>
        <w:rPr>
          <w:rFonts w:hint="eastAsia" w:ascii="方正小标宋_GBK" w:hAnsi="方正小标宋_GBK" w:eastAsia="方正小标宋_GBK" w:cs="方正小标宋_GBK"/>
          <w:sz w:val="70"/>
          <w:szCs w:val="70"/>
          <w:lang w:eastAsia="zh-CN"/>
        </w:rPr>
      </w:pPr>
    </w:p>
    <w:p w14:paraId="7B724B52">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22422166">
      <w:pPr>
        <w:ind w:firstLine="640" w:firstLineChars="200"/>
        <w:jc w:val="left"/>
        <w:rPr>
          <w:rFonts w:hint="eastAsia" w:ascii="宋体" w:hAnsi="宋体" w:eastAsia="宋体" w:cs="黑体"/>
          <w:b/>
          <w:color w:val="000000"/>
          <w:kern w:val="0"/>
          <w:sz w:val="32"/>
          <w:szCs w:val="32"/>
          <w:lang w:val="en-US" w:eastAsia="zh-CN"/>
        </w:rPr>
      </w:pPr>
    </w:p>
    <w:p w14:paraId="4E8D6E95">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4BDE06B9">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21B3EB7A"/>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FADF1D-B12E-48F7-AA96-BE3188D44E3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DC38A4B-F2B8-4CF1-B5A2-E57502BD95D8}"/>
  </w:font>
  <w:font w:name="仿宋_GB2312">
    <w:panose1 w:val="02010609030101010101"/>
    <w:charset w:val="86"/>
    <w:family w:val="modern"/>
    <w:pitch w:val="default"/>
    <w:sig w:usb0="00000001" w:usb1="080E0000" w:usb2="00000000" w:usb3="00000000" w:csb0="00040000" w:csb1="00000000"/>
    <w:embedRegular r:id="rId3" w:fontKey="{5D5AE00C-797D-43F4-84BF-96EBCC4FD61F}"/>
  </w:font>
  <w:font w:name="楷体">
    <w:panose1 w:val="02010609060101010101"/>
    <w:charset w:val="86"/>
    <w:family w:val="auto"/>
    <w:pitch w:val="default"/>
    <w:sig w:usb0="800002BF" w:usb1="38CF7CFA" w:usb2="00000016" w:usb3="00000000" w:csb0="00040001" w:csb1="00000000"/>
    <w:embedRegular r:id="rId4" w:fontKey="{34C11670-6519-4FE5-B7B4-0AE07B6FB3D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1M2RhNTcwYzM1ODdkNzU1MzA4Zjk1ZDI2YWY4M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AC21C32"/>
    <w:rsid w:val="0BC47D21"/>
    <w:rsid w:val="11FD79F3"/>
    <w:rsid w:val="12583BA5"/>
    <w:rsid w:val="13BA5B9C"/>
    <w:rsid w:val="180D0928"/>
    <w:rsid w:val="1D97DEFF"/>
    <w:rsid w:val="1DFF72E5"/>
    <w:rsid w:val="1EFC6F07"/>
    <w:rsid w:val="22AC03C2"/>
    <w:rsid w:val="2546391D"/>
    <w:rsid w:val="27FE6A2B"/>
    <w:rsid w:val="2FDF85B8"/>
    <w:rsid w:val="2FFFEE04"/>
    <w:rsid w:val="30896BCA"/>
    <w:rsid w:val="31C95635"/>
    <w:rsid w:val="33A06680"/>
    <w:rsid w:val="33E2248A"/>
    <w:rsid w:val="34DF85B0"/>
    <w:rsid w:val="351F5D4F"/>
    <w:rsid w:val="3B8F36BC"/>
    <w:rsid w:val="3BD11425"/>
    <w:rsid w:val="3ECE6247"/>
    <w:rsid w:val="428672F8"/>
    <w:rsid w:val="491FF225"/>
    <w:rsid w:val="4AB651B1"/>
    <w:rsid w:val="4FFD214C"/>
    <w:rsid w:val="50041972"/>
    <w:rsid w:val="50BF7FC0"/>
    <w:rsid w:val="51AA2CAF"/>
    <w:rsid w:val="5352765A"/>
    <w:rsid w:val="5777D4F5"/>
    <w:rsid w:val="59DD8326"/>
    <w:rsid w:val="5DEF592A"/>
    <w:rsid w:val="5FC6BB1E"/>
    <w:rsid w:val="5FF720F1"/>
    <w:rsid w:val="67A5777F"/>
    <w:rsid w:val="67FF5C0B"/>
    <w:rsid w:val="6B407CDD"/>
    <w:rsid w:val="6BAA4A2F"/>
    <w:rsid w:val="6C595C34"/>
    <w:rsid w:val="6EFC0924"/>
    <w:rsid w:val="6FB74722"/>
    <w:rsid w:val="6FCA008A"/>
    <w:rsid w:val="6FEF8B7E"/>
    <w:rsid w:val="71A6591B"/>
    <w:rsid w:val="737D59BA"/>
    <w:rsid w:val="737F32B1"/>
    <w:rsid w:val="77C37683"/>
    <w:rsid w:val="79D37DAB"/>
    <w:rsid w:val="79FF515B"/>
    <w:rsid w:val="7A4271E6"/>
    <w:rsid w:val="7A695F3F"/>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1"/>
    <w:unhideWhenUsed/>
    <w:qFormat/>
    <w:uiPriority w:val="99"/>
    <w:pPr>
      <w:tabs>
        <w:tab w:val="center" w:pos="4153"/>
        <w:tab w:val="right" w:pos="8306"/>
      </w:tabs>
      <w:snapToGrid w:val="0"/>
      <w:jc w:val="left"/>
    </w:pPr>
    <w:rPr>
      <w:sz w:val="18"/>
      <w:szCs w:val="18"/>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4"/>
    <w:semiHidden/>
    <w:unhideWhenUsed/>
    <w:qFormat/>
    <w:uiPriority w:val="99"/>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4"/>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2"/>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4123</Words>
  <Characters>4514</Characters>
  <Lines>63</Lines>
  <Paragraphs>18</Paragraphs>
  <TotalTime>12</TotalTime>
  <ScaleCrop>false</ScaleCrop>
  <LinksUpToDate>false</LinksUpToDate>
  <CharactersWithSpaces>4533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康烨wan</cp:lastModifiedBy>
  <cp:lastPrinted>2024-08-08T10:20:00Z</cp:lastPrinted>
  <dcterms:modified xsi:type="dcterms:W3CDTF">2025-11-19T02:33:21Z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7CC844EE9A5A4F958B3FCB1136D4D6AD_13</vt:lpwstr>
  </property>
  <property fmtid="{D5CDD505-2E9C-101B-9397-08002B2CF9AE}" pid="4" name="KSOTemplateDocerSaveRecord">
    <vt:lpwstr>eyJoZGlkIjoiNTMyYjVjMTExNmFmMWZkYWM2NTIzMzRhMGRiYzNmMDUiLCJ1c2VySWQiOiIzMjUwMTI5NTYifQ==</vt:lpwstr>
  </property>
</Properties>
</file>