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46F105">
      <w:pPr>
        <w:widowControl/>
        <w:spacing w:after="120" w:afterLines="50"/>
        <w:jc w:val="left"/>
        <w:rPr>
          <w:rFonts w:hint="default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附件5</w:t>
      </w:r>
    </w:p>
    <w:p w14:paraId="4063C09A">
      <w:pPr>
        <w:widowControl/>
        <w:spacing w:after="120" w:afterLines="50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年度部门整体支出绩效自评表</w:t>
      </w:r>
    </w:p>
    <w:tbl>
      <w:tblPr>
        <w:tblStyle w:val="4"/>
        <w:tblW w:w="1007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9"/>
        <w:gridCol w:w="1079"/>
        <w:gridCol w:w="1033"/>
        <w:gridCol w:w="1341"/>
        <w:gridCol w:w="1239"/>
        <w:gridCol w:w="1268"/>
        <w:gridCol w:w="716"/>
        <w:gridCol w:w="886"/>
        <w:gridCol w:w="1438"/>
      </w:tblGrid>
      <w:tr w14:paraId="317C31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0273A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级预算部门名称</w:t>
            </w:r>
          </w:p>
        </w:tc>
        <w:tc>
          <w:tcPr>
            <w:tcW w:w="899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20867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岳阳市美术馆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 w14:paraId="3FAF47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3EEAABC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年度预</w:t>
            </w:r>
          </w:p>
          <w:p w14:paraId="64E9B4C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算申请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（万元）</w:t>
            </w:r>
          </w:p>
        </w:tc>
        <w:tc>
          <w:tcPr>
            <w:tcW w:w="2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45B2A2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AE8D1C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年初预算数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B165A6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全年预算数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80C918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全年执行数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77593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7F9B84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执行率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7B4E7C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得分</w:t>
            </w:r>
          </w:p>
        </w:tc>
      </w:tr>
      <w:tr w14:paraId="29088E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35618F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DDFF98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年度资金总额</w:t>
            </w:r>
          </w:p>
        </w:tc>
        <w:tc>
          <w:tcPr>
            <w:tcW w:w="13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CF00B2"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180.48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5F3B27"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462.61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5F0C97"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372.29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50BFF0"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6E6852"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B02967"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10</w:t>
            </w:r>
          </w:p>
        </w:tc>
      </w:tr>
      <w:tr w14:paraId="1AF17E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E1A81E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DBF100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按收入性质分：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31DA89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按支出性质分：</w:t>
            </w:r>
          </w:p>
        </w:tc>
      </w:tr>
      <w:tr w14:paraId="4626E7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B5D918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4E0A9D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 xml:space="preserve">  其中：  一般公共预算：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372.29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46F730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其中：基本支出：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198.62</w:t>
            </w:r>
          </w:p>
        </w:tc>
      </w:tr>
      <w:tr w14:paraId="6E2453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43A9ED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A52960">
            <w:pPr>
              <w:widowControl/>
              <w:spacing w:line="240" w:lineRule="exact"/>
              <w:ind w:firstLine="800" w:firstLineChars="400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政府性预算收入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：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0E120">
            <w:pPr>
              <w:widowControl/>
              <w:spacing w:line="240" w:lineRule="exact"/>
              <w:ind w:firstLine="600" w:firstLineChars="300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项目支出：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183.68</w:t>
            </w:r>
          </w:p>
        </w:tc>
      </w:tr>
      <w:tr w14:paraId="5F53E3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6391D3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1E9203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纳入专户管理的非税收入拨款：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6BFAD4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2BA51F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5C7355F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DDE768">
            <w:pPr>
              <w:widowControl/>
              <w:spacing w:line="240" w:lineRule="exact"/>
              <w:ind w:firstLine="1400" w:firstLineChars="700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其他资金：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C5979A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4E45AF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9BEFA1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46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32E10DC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43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FFA16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实际完成情况　</w:t>
            </w:r>
          </w:p>
        </w:tc>
      </w:tr>
      <w:tr w14:paraId="7FAF58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1E1C094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35193F0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深入贯彻党的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方针政策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逐步扩大美术馆在行业的影响力,吸引更多的人免费参观;在展览策划、公共教育、学术交流等多项工作上提升新的台阶。</w:t>
            </w:r>
          </w:p>
        </w:tc>
        <w:tc>
          <w:tcPr>
            <w:tcW w:w="43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5DA1B4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2024年举办了13场展览，以及公教活动、采风写生等活动60余场，平均每周都有一场活动，接待观众30万余人次。美术馆工作人员多次参加国家级、省市级展览。　</w:t>
            </w:r>
          </w:p>
        </w:tc>
      </w:tr>
      <w:tr w14:paraId="16794A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228CB2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绩</w:t>
            </w:r>
          </w:p>
          <w:p w14:paraId="5006FAD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</w:t>
            </w:r>
          </w:p>
          <w:p w14:paraId="752E113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</w:t>
            </w:r>
          </w:p>
          <w:p w14:paraId="42271F1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标</w:t>
            </w:r>
          </w:p>
          <w:p w14:paraId="7041B8D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77904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D3B8FC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13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793CB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445851"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年度指标值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ED1BE2">
            <w:pPr>
              <w:widowControl/>
              <w:spacing w:line="240" w:lineRule="exac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实际完成值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470805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D7F652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FC682E"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偏差原因分析及改进措施</w:t>
            </w:r>
          </w:p>
        </w:tc>
      </w:tr>
      <w:tr w14:paraId="6F602C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0813CC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3AA250CA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产出指标</w:t>
            </w:r>
          </w:p>
          <w:p w14:paraId="27ABB17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 w14:paraId="5BE2A4A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(50分)</w:t>
            </w:r>
          </w:p>
        </w:tc>
        <w:tc>
          <w:tcPr>
            <w:tcW w:w="1034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7EE888A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3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FC90C7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全年需开展多项活动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997660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55场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776963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73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场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EDF24C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096A8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1A47AF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 w14:paraId="1C7E37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47554C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239791D1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511CD4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420CC6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全年举行活动接待观众需达到22万人次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53910A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22万人次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9BBBED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30万余人次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887BA5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9DD4E3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07F15C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 w14:paraId="23892B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7F86EF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68F5E290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3E6F684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3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AEBB28"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第八届湖南艺术节美术书法摄影展顺利完成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529C3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实际完成情况：2024年全年共开展各项活动73场，每周至少都有一场活动，接待观众32万人次。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FBE4C">
            <w:pPr>
              <w:widowControl/>
              <w:spacing w:line="24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美术馆工作人员多次参加国家级、省市级展览。岳阳市美术馆志愿服务分队“守护好一江碧水”美育志愿废物项目荣获湖南省文化和旅游厅2023年度“最佳文旅志愿者服务项目”；岳阳市美术馆的展览海报获得2023年度中国博物馆美术馆百强、十佳海报。获省文旅厅、省司法厅“法治进文旅场馆先进单位。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A331E8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D05C4F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AC9F21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 w14:paraId="430ACD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199981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6B809775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FABCBF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A81273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增加志愿者，达到馆校合作双赢，暖心志愿服务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AADBF3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新增120人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F1B36F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新增143人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EA6C49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1429FE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F3824C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 w14:paraId="580711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5A7D26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0F102829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78DC2EA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3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0EE3B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目标任务完成及时率达到100%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BC3FC2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7E1332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99CF57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228AA6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1254E7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 w14:paraId="2098BB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311A83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583033BF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44E3FB0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13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306F8A"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预算成本控制≤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243.83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万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17B7BD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≤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243.83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A6D914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243.82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16358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F930E6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E1A75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 w14:paraId="36C9CA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431A0C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3A0A8B47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效益指标</w:t>
            </w:r>
          </w:p>
          <w:p w14:paraId="1DDD541D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 w14:paraId="130B6563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（30分）</w:t>
            </w:r>
          </w:p>
          <w:p w14:paraId="3AFFC99D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64383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社会效</w:t>
            </w:r>
          </w:p>
          <w:p w14:paraId="67CCFF0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3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A9DFFE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免费参观，吸引更多的人走进美术馆参观打卡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78375E">
            <w:pPr>
              <w:widowControl/>
              <w:spacing w:line="240" w:lineRule="exact"/>
              <w:ind w:firstLine="200" w:firstLineChars="100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较2023年有所增加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AA150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达到效果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745A73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384013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A76B8A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 w14:paraId="032FF0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EE43A7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0595A45F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5D403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生态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</w:t>
            </w:r>
          </w:p>
          <w:p w14:paraId="7B3965F2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3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F9BDE2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岳阳具有深厚的湖湘文化历史底蕴，有效地深耕洞庭湖元素，用摄影的手法展现生态环境，让更多的人爱护洞庭湖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68D694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较2023年有所提高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62AFDD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达到效果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4C09F0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33A8FD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6614EC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 w14:paraId="0401FE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1C7FC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04C36D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EFF8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3936F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公共教育部一直积极挖掘本土人文资源，邀请艺术家和艺术爱好者进行经验分享和学术交流，深入贯彻党的方针政策，逐步扩大美术馆在行业的影响力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8F0CD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　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00EE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达到效果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5B6DD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657F3">
            <w:pPr>
              <w:widowControl/>
              <w:spacing w:line="240" w:lineRule="exact"/>
              <w:ind w:firstLine="200" w:firstLineChars="100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ED247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 w14:paraId="16DD0B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E64AB4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1F5CE355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满意度</w:t>
            </w:r>
          </w:p>
          <w:p w14:paraId="187DA47C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</w:t>
            </w:r>
          </w:p>
          <w:p w14:paraId="294D1FC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0分）</w:t>
            </w:r>
          </w:p>
        </w:tc>
        <w:tc>
          <w:tcPr>
            <w:tcW w:w="1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89EA8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13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FD4D11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社会公众满意度≥90%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3CD952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90%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3C398A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98%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06E7C5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1F6598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18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87365D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活动策划宣传力度不够</w:t>
            </w:r>
          </w:p>
        </w:tc>
      </w:tr>
      <w:tr w14:paraId="2CB6F0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CBE428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EE42C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9EBC91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98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22D47E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</w:tbl>
    <w:p w14:paraId="64EA4024">
      <w:pPr>
        <w:rPr>
          <w:rFonts w:hint="default" w:ascii="Times New Roman" w:hAnsi="Times New Roman" w:eastAsia="仿宋_GB2312" w:cs="Times New Roman"/>
          <w:sz w:val="22"/>
          <w:szCs w:val="22"/>
        </w:rPr>
      </w:pPr>
    </w:p>
    <w:p w14:paraId="38A319F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19628F"/>
    <w:rsid w:val="26D16D9D"/>
    <w:rsid w:val="6E4F8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paragraph" w:styleId="3">
    <w:name w:val="toc 5"/>
    <w:basedOn w:val="1"/>
    <w:next w:val="1"/>
    <w:qFormat/>
    <w:uiPriority w:val="0"/>
    <w:pPr>
      <w:ind w:left="1680" w:leftChars="8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894</Words>
  <Characters>1017</Characters>
  <Lines>0</Lines>
  <Paragraphs>0</Paragraphs>
  <TotalTime>62</TotalTime>
  <ScaleCrop>false</ScaleCrop>
  <LinksUpToDate>false</LinksUpToDate>
  <CharactersWithSpaces>1064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2025-03-10T00:18:00Z</dcterms:created>
  <dc:creator>Administrator</dc:creator>
  <cp:lastModifiedBy>Administrator</cp:lastModifiedBy>
  <dcterms:modified xsi:type="dcterms:W3CDTF">2025-03-11T04:41:29Z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eyJoZGlkIjoiMTQ3NjI3NDc3MTZlMDQ3Mjk4MzkzZDUzMDU5ZDk4NjcifQ==</vt:lpwstr>
  </property>
  <property fmtid="{D5CDD505-2E9C-101B-9397-08002B2CF9AE}" pid="4" name="ICV">
    <vt:lpwstr>9469CC60D751B99B53A3CF67612EB3F6_43</vt:lpwstr>
  </property>
</Properties>
</file>