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6DCFF1">
      <w:pPr>
        <w:pStyle w:val="12"/>
        <w:jc w:val="center"/>
        <w:rPr>
          <w:sz w:val="56"/>
          <w:szCs w:val="56"/>
        </w:rPr>
      </w:pPr>
    </w:p>
    <w:p w14:paraId="3BDF5AB8">
      <w:pPr>
        <w:pStyle w:val="12"/>
        <w:jc w:val="center"/>
        <w:rPr>
          <w:sz w:val="56"/>
          <w:szCs w:val="56"/>
        </w:rPr>
      </w:pPr>
    </w:p>
    <w:p w14:paraId="60CA4575">
      <w:pPr>
        <w:pStyle w:val="12"/>
        <w:jc w:val="center"/>
        <w:rPr>
          <w:sz w:val="84"/>
          <w:szCs w:val="84"/>
        </w:rPr>
      </w:pPr>
    </w:p>
    <w:p w14:paraId="215EB31D">
      <w:pPr>
        <w:pStyle w:val="12"/>
        <w:jc w:val="center"/>
        <w:rPr>
          <w:sz w:val="84"/>
          <w:szCs w:val="84"/>
        </w:rPr>
      </w:pPr>
    </w:p>
    <w:p w14:paraId="376C8602">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202</w:t>
      </w:r>
      <w:r>
        <w:rPr>
          <w:rFonts w:hint="eastAsia" w:ascii="方正小标宋_GBK" w:hAnsi="方正小标宋_GBK" w:eastAsia="方正小标宋_GBK" w:cs="方正小标宋_GBK"/>
          <w:sz w:val="84"/>
          <w:szCs w:val="84"/>
          <w:lang w:val="en-US" w:eastAsia="zh-CN"/>
        </w:rPr>
        <w:t>4</w:t>
      </w:r>
      <w:r>
        <w:rPr>
          <w:rFonts w:hint="eastAsia" w:ascii="方正小标宋_GBK" w:hAnsi="方正小标宋_GBK" w:eastAsia="方正小标宋_GBK" w:cs="方正小标宋_GBK"/>
          <w:sz w:val="84"/>
          <w:szCs w:val="84"/>
        </w:rPr>
        <w:t>年度</w:t>
      </w:r>
    </w:p>
    <w:p w14:paraId="6934EBE9">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lang w:val="en-US" w:eastAsia="zh-CN"/>
        </w:rPr>
        <w:t>岳阳美术馆</w:t>
      </w:r>
      <w:r>
        <w:rPr>
          <w:rFonts w:hint="eastAsia" w:ascii="方正小标宋_GBK" w:hAnsi="方正小标宋_GBK" w:eastAsia="方正小标宋_GBK" w:cs="方正小标宋_GBK"/>
          <w:sz w:val="84"/>
          <w:szCs w:val="84"/>
        </w:rPr>
        <w:t>单位决算</w:t>
      </w:r>
    </w:p>
    <w:p w14:paraId="3A699C16">
      <w:pPr>
        <w:pStyle w:val="12"/>
        <w:jc w:val="center"/>
        <w:rPr>
          <w:rFonts w:hint="eastAsia" w:ascii="方正小标宋_GBK" w:hAnsi="方正小标宋_GBK" w:eastAsia="方正小标宋_GBK" w:cs="方正小标宋_GBK"/>
          <w:sz w:val="56"/>
          <w:szCs w:val="56"/>
        </w:rPr>
      </w:pPr>
    </w:p>
    <w:p w14:paraId="72C8FB58">
      <w:pPr>
        <w:pStyle w:val="12"/>
        <w:jc w:val="center"/>
        <w:rPr>
          <w:sz w:val="56"/>
          <w:szCs w:val="56"/>
        </w:rPr>
      </w:pPr>
    </w:p>
    <w:p w14:paraId="25018D25">
      <w:pPr>
        <w:pStyle w:val="12"/>
        <w:jc w:val="center"/>
        <w:rPr>
          <w:sz w:val="56"/>
          <w:szCs w:val="56"/>
        </w:rPr>
      </w:pPr>
    </w:p>
    <w:p w14:paraId="5EE73A38">
      <w:pPr>
        <w:pStyle w:val="12"/>
        <w:jc w:val="center"/>
        <w:rPr>
          <w:sz w:val="56"/>
          <w:szCs w:val="56"/>
        </w:rPr>
      </w:pPr>
    </w:p>
    <w:p w14:paraId="297571C5">
      <w:pPr>
        <w:pStyle w:val="12"/>
        <w:jc w:val="center"/>
        <w:rPr>
          <w:sz w:val="32"/>
          <w:szCs w:val="32"/>
        </w:rPr>
      </w:pPr>
    </w:p>
    <w:p w14:paraId="08493D1E">
      <w:pPr>
        <w:pStyle w:val="12"/>
        <w:jc w:val="center"/>
        <w:rPr>
          <w:sz w:val="32"/>
          <w:szCs w:val="32"/>
        </w:rPr>
      </w:pPr>
    </w:p>
    <w:p w14:paraId="5BD6E8BD">
      <w:pPr>
        <w:pStyle w:val="12"/>
        <w:jc w:val="center"/>
        <w:rPr>
          <w:sz w:val="32"/>
          <w:szCs w:val="32"/>
        </w:rPr>
      </w:pPr>
    </w:p>
    <w:p w14:paraId="1062A3B4">
      <w:pPr>
        <w:pStyle w:val="12"/>
        <w:jc w:val="center"/>
        <w:rPr>
          <w:sz w:val="32"/>
          <w:szCs w:val="32"/>
        </w:rPr>
      </w:pPr>
    </w:p>
    <w:p w14:paraId="6311DFC7">
      <w:pPr>
        <w:pStyle w:val="12"/>
        <w:jc w:val="center"/>
        <w:rPr>
          <w:sz w:val="32"/>
          <w:szCs w:val="32"/>
        </w:rPr>
      </w:pPr>
    </w:p>
    <w:p w14:paraId="50228290">
      <w:pPr>
        <w:pStyle w:val="12"/>
        <w:spacing w:line="540" w:lineRule="exact"/>
        <w:jc w:val="center"/>
        <w:rPr>
          <w:sz w:val="56"/>
          <w:szCs w:val="56"/>
        </w:rPr>
      </w:pPr>
    </w:p>
    <w:p w14:paraId="459C483D">
      <w:pPr>
        <w:pStyle w:val="12"/>
        <w:spacing w:line="500" w:lineRule="exact"/>
        <w:jc w:val="both"/>
        <w:rPr>
          <w:b/>
          <w:sz w:val="36"/>
          <w:szCs w:val="28"/>
        </w:rPr>
      </w:pPr>
    </w:p>
    <w:p w14:paraId="24F3309B">
      <w:pPr>
        <w:pStyle w:val="12"/>
        <w:spacing w:line="500" w:lineRule="exact"/>
        <w:jc w:val="center"/>
        <w:rPr>
          <w:b/>
          <w:sz w:val="36"/>
          <w:szCs w:val="28"/>
        </w:rPr>
      </w:pPr>
      <w:r>
        <w:rPr>
          <w:rFonts w:hint="eastAsia"/>
          <w:b/>
          <w:sz w:val="36"/>
          <w:szCs w:val="28"/>
        </w:rPr>
        <w:t>目录</w:t>
      </w:r>
    </w:p>
    <w:p w14:paraId="6CBD0C22">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第一部分</w:t>
      </w:r>
      <w:r>
        <w:rPr>
          <w:rFonts w:hint="eastAsia" w:ascii="黑体" w:hAnsi="黑体" w:eastAsia="黑体" w:cs="黑体"/>
          <w:b w:val="0"/>
          <w:bCs/>
          <w:sz w:val="28"/>
          <w:szCs w:val="28"/>
          <w:lang w:val="en-US" w:eastAsia="zh-CN"/>
        </w:rPr>
        <w:t xml:space="preserve"> </w:t>
      </w:r>
      <w:r>
        <w:rPr>
          <w:rFonts w:hint="eastAsia" w:hAnsi="黑体" w:cs="黑体"/>
          <w:b w:val="0"/>
          <w:bCs/>
          <w:sz w:val="28"/>
          <w:szCs w:val="28"/>
          <w:lang w:val="en-US" w:eastAsia="zh-CN"/>
        </w:rPr>
        <w:t>岳阳市美术馆</w:t>
      </w:r>
      <w:r>
        <w:rPr>
          <w:rFonts w:hint="eastAsia" w:ascii="黑体" w:hAnsi="黑体" w:eastAsia="黑体" w:cs="黑体"/>
          <w:b w:val="0"/>
          <w:bCs/>
          <w:sz w:val="28"/>
          <w:szCs w:val="28"/>
        </w:rPr>
        <w:t>单位概况</w:t>
      </w:r>
    </w:p>
    <w:p w14:paraId="060CB1DC">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一、部门职责</w:t>
      </w:r>
    </w:p>
    <w:p w14:paraId="315E49DA">
      <w:pPr>
        <w:pStyle w:val="12"/>
        <w:spacing w:line="500" w:lineRule="exact"/>
        <w:ind w:firstLine="700" w:firstLineChars="25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二、机构设置</w:t>
      </w:r>
      <w:r>
        <w:rPr>
          <w:rFonts w:hint="eastAsia" w:ascii="仿宋_GB2312" w:hAnsi="仿宋_GB2312" w:eastAsia="仿宋_GB2312" w:cs="仿宋_GB2312"/>
          <w:sz w:val="28"/>
          <w:szCs w:val="28"/>
          <w:lang w:eastAsia="zh-CN"/>
        </w:rPr>
        <w:t>及决算单位构成</w:t>
      </w:r>
    </w:p>
    <w:p w14:paraId="3CE431DD">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第二部分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部门决算表</w:t>
      </w:r>
    </w:p>
    <w:p w14:paraId="4B1DE222">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一、收入支出决算总表</w:t>
      </w:r>
    </w:p>
    <w:p w14:paraId="28DAEA9B">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二、收入决算表</w:t>
      </w:r>
    </w:p>
    <w:p w14:paraId="4189E141">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三、支出决算表</w:t>
      </w:r>
    </w:p>
    <w:p w14:paraId="0621647E">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四、财政拨款收入支出决算总表</w:t>
      </w:r>
    </w:p>
    <w:p w14:paraId="28E0B171">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五、一般公共预算财政拨款支出决算表</w:t>
      </w:r>
    </w:p>
    <w:p w14:paraId="0A1DA969">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六、一般公共预算财政拨款基本支出决算明细表</w:t>
      </w:r>
    </w:p>
    <w:p w14:paraId="62E9A333">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七、政府性基金预算财政拨款收入支出决算表</w:t>
      </w:r>
    </w:p>
    <w:p w14:paraId="316661B6">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八、国有资本经营预算财政拨款支出决算表</w:t>
      </w:r>
    </w:p>
    <w:p w14:paraId="23827588">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九、财政拨款“三公”经费支出决算表</w:t>
      </w:r>
    </w:p>
    <w:p w14:paraId="69B4707F">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第三部分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部门决算情况说明</w:t>
      </w:r>
    </w:p>
    <w:p w14:paraId="30D2819C">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一、收入支出决算总体情况说明</w:t>
      </w:r>
    </w:p>
    <w:p w14:paraId="2F99AFEC">
      <w:pPr>
        <w:spacing w:line="500" w:lineRule="exact"/>
        <w:ind w:firstLine="700" w:firstLineChars="250"/>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二、收入决算情况说明</w:t>
      </w:r>
    </w:p>
    <w:p w14:paraId="69796A82">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三、支出决算情况说明</w:t>
      </w:r>
    </w:p>
    <w:p w14:paraId="42F5763D">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四、财政拨款收入支出决算总体情况说明</w:t>
      </w:r>
    </w:p>
    <w:p w14:paraId="4551B6B2">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五、一般公共预算财政拨款支出决算情况说明</w:t>
      </w:r>
    </w:p>
    <w:p w14:paraId="0BC2CE30">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六、一般公共预算财政拨款基本支出决算情况说明</w:t>
      </w:r>
    </w:p>
    <w:p w14:paraId="11D85543">
      <w:pPr>
        <w:keepNext w:val="0"/>
        <w:keepLines w:val="0"/>
        <w:pageBreakBefore w:val="0"/>
        <w:widowControl w:val="0"/>
        <w:kinsoku/>
        <w:wordWrap/>
        <w:overflowPunct/>
        <w:topLinePunct w:val="0"/>
        <w:autoSpaceDE w:val="0"/>
        <w:autoSpaceDN w:val="0"/>
        <w:bidi w:val="0"/>
        <w:adjustRightInd w:val="0"/>
        <w:snapToGrid/>
        <w:spacing w:line="480" w:lineRule="exact"/>
        <w:ind w:firstLine="700" w:firstLineChars="250"/>
        <w:jc w:val="left"/>
        <w:textAlignment w:val="auto"/>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七、政府性基金预算收入支出决算情况</w:t>
      </w:r>
    </w:p>
    <w:p w14:paraId="5F6B554B">
      <w:pPr>
        <w:keepNext w:val="0"/>
        <w:keepLines w:val="0"/>
        <w:pageBreakBefore w:val="0"/>
        <w:widowControl w:val="0"/>
        <w:kinsoku/>
        <w:wordWrap/>
        <w:overflowPunct/>
        <w:topLinePunct w:val="0"/>
        <w:autoSpaceDE w:val="0"/>
        <w:autoSpaceDN w:val="0"/>
        <w:bidi w:val="0"/>
        <w:adjustRightInd w:val="0"/>
        <w:snapToGrid/>
        <w:spacing w:line="480" w:lineRule="exact"/>
        <w:ind w:firstLine="700" w:firstLineChars="250"/>
        <w:jc w:val="left"/>
        <w:textAlignment w:val="auto"/>
        <w:rPr>
          <w:rFonts w:hint="eastAsia" w:ascii="仿宋_GB2312" w:hAnsi="仿宋_GB2312" w:eastAsia="仿宋_GB2312" w:cs="仿宋_GB2312"/>
          <w:color w:val="000000"/>
          <w:kern w:val="0"/>
          <w:sz w:val="28"/>
          <w:szCs w:val="28"/>
          <w:highlight w:val="yellow"/>
        </w:rPr>
      </w:pPr>
      <w:r>
        <w:rPr>
          <w:rFonts w:hint="eastAsia" w:ascii="仿宋_GB2312" w:hAnsi="仿宋_GB2312" w:eastAsia="仿宋_GB2312" w:cs="仿宋_GB2312"/>
          <w:color w:val="000000"/>
          <w:kern w:val="0"/>
          <w:sz w:val="28"/>
          <w:szCs w:val="28"/>
          <w:highlight w:val="none"/>
        </w:rPr>
        <w:t>八、</w:t>
      </w:r>
      <w:r>
        <w:rPr>
          <w:rFonts w:hint="eastAsia" w:ascii="仿宋_GB2312" w:hAnsi="仿宋_GB2312" w:eastAsia="仿宋_GB2312" w:cs="仿宋_GB2312"/>
          <w:sz w:val="28"/>
          <w:szCs w:val="28"/>
          <w:highlight w:val="none"/>
        </w:rPr>
        <w:t>国有资本经营预算财政拨款支出决算</w:t>
      </w:r>
      <w:r>
        <w:rPr>
          <w:rFonts w:hint="eastAsia" w:ascii="仿宋_GB2312" w:hAnsi="仿宋_GB2312" w:eastAsia="仿宋_GB2312" w:cs="仿宋_GB2312"/>
          <w:sz w:val="28"/>
          <w:szCs w:val="28"/>
          <w:highlight w:val="none"/>
          <w:lang w:eastAsia="zh-CN"/>
        </w:rPr>
        <w:t>情况</w:t>
      </w:r>
    </w:p>
    <w:p w14:paraId="71D9102A">
      <w:pPr>
        <w:keepNext w:val="0"/>
        <w:keepLines w:val="0"/>
        <w:pageBreakBefore w:val="0"/>
        <w:widowControl w:val="0"/>
        <w:kinsoku/>
        <w:wordWrap/>
        <w:overflowPunct/>
        <w:topLinePunct w:val="0"/>
        <w:autoSpaceDE w:val="0"/>
        <w:autoSpaceDN w:val="0"/>
        <w:bidi w:val="0"/>
        <w:adjustRightInd w:val="0"/>
        <w:snapToGrid/>
        <w:spacing w:line="480" w:lineRule="exact"/>
        <w:ind w:firstLine="700" w:firstLineChars="250"/>
        <w:jc w:val="left"/>
        <w:textAlignment w:val="auto"/>
        <w:rPr>
          <w:rFonts w:hint="eastAsia" w:ascii="仿宋_GB2312" w:hAnsi="仿宋_GB2312" w:eastAsia="仿宋_GB2312" w:cs="仿宋_GB2312"/>
          <w:color w:val="000000"/>
          <w:kern w:val="0"/>
          <w:sz w:val="28"/>
          <w:szCs w:val="28"/>
          <w:lang w:eastAsia="zh-CN"/>
        </w:rPr>
      </w:pPr>
      <w:r>
        <w:rPr>
          <w:rFonts w:hint="eastAsia" w:ascii="仿宋_GB2312" w:hAnsi="仿宋_GB2312" w:eastAsia="仿宋_GB2312" w:cs="仿宋_GB2312"/>
          <w:color w:val="000000"/>
          <w:kern w:val="0"/>
          <w:sz w:val="28"/>
          <w:szCs w:val="28"/>
        </w:rPr>
        <w:t>九、财政拨款三公经费支出决算情况说明</w:t>
      </w:r>
    </w:p>
    <w:p w14:paraId="371B64F5">
      <w:pPr>
        <w:keepNext w:val="0"/>
        <w:keepLines w:val="0"/>
        <w:pageBreakBefore w:val="0"/>
        <w:widowControl w:val="0"/>
        <w:kinsoku/>
        <w:wordWrap/>
        <w:overflowPunct/>
        <w:topLinePunct w:val="0"/>
        <w:autoSpaceDE w:val="0"/>
        <w:autoSpaceDN w:val="0"/>
        <w:bidi w:val="0"/>
        <w:adjustRightInd w:val="0"/>
        <w:snapToGrid/>
        <w:spacing w:line="480" w:lineRule="exact"/>
        <w:ind w:firstLine="700" w:firstLineChars="250"/>
        <w:jc w:val="left"/>
        <w:textAlignment w:val="auto"/>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十、关于机关运行经费支出说明</w:t>
      </w:r>
    </w:p>
    <w:p w14:paraId="1624E73C">
      <w:pPr>
        <w:keepNext w:val="0"/>
        <w:keepLines w:val="0"/>
        <w:pageBreakBefore w:val="0"/>
        <w:widowControl w:val="0"/>
        <w:kinsoku/>
        <w:wordWrap/>
        <w:overflowPunct/>
        <w:topLinePunct w:val="0"/>
        <w:autoSpaceDE w:val="0"/>
        <w:autoSpaceDN w:val="0"/>
        <w:bidi w:val="0"/>
        <w:adjustRightInd w:val="0"/>
        <w:snapToGrid/>
        <w:spacing w:line="480" w:lineRule="exact"/>
        <w:ind w:firstLine="700" w:firstLineChars="250"/>
        <w:jc w:val="left"/>
        <w:textAlignment w:val="auto"/>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十一、一般性支出情况说明</w:t>
      </w:r>
    </w:p>
    <w:p w14:paraId="6C86A3EF">
      <w:pPr>
        <w:keepNext w:val="0"/>
        <w:keepLines w:val="0"/>
        <w:pageBreakBefore w:val="0"/>
        <w:widowControl w:val="0"/>
        <w:kinsoku/>
        <w:wordWrap/>
        <w:overflowPunct/>
        <w:topLinePunct w:val="0"/>
        <w:autoSpaceDE w:val="0"/>
        <w:autoSpaceDN w:val="0"/>
        <w:bidi w:val="0"/>
        <w:adjustRightInd w:val="0"/>
        <w:snapToGrid/>
        <w:spacing w:line="480" w:lineRule="exact"/>
        <w:ind w:firstLine="700" w:firstLineChars="250"/>
        <w:jc w:val="left"/>
        <w:textAlignment w:val="auto"/>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sz w:val="28"/>
          <w:szCs w:val="28"/>
        </w:rPr>
        <w:t>十二、</w:t>
      </w:r>
      <w:r>
        <w:rPr>
          <w:rFonts w:hint="eastAsia" w:ascii="仿宋_GB2312" w:hAnsi="仿宋_GB2312" w:eastAsia="仿宋_GB2312" w:cs="仿宋_GB2312"/>
          <w:color w:val="000000"/>
          <w:kern w:val="0"/>
          <w:sz w:val="28"/>
          <w:szCs w:val="28"/>
        </w:rPr>
        <w:t>关于政府采购支出说明</w:t>
      </w:r>
    </w:p>
    <w:p w14:paraId="5E15A642">
      <w:pPr>
        <w:keepNext w:val="0"/>
        <w:keepLines w:val="0"/>
        <w:pageBreakBefore w:val="0"/>
        <w:widowControl w:val="0"/>
        <w:kinsoku/>
        <w:wordWrap/>
        <w:overflowPunct/>
        <w:topLinePunct w:val="0"/>
        <w:autoSpaceDE w:val="0"/>
        <w:autoSpaceDN w:val="0"/>
        <w:bidi w:val="0"/>
        <w:adjustRightInd w:val="0"/>
        <w:snapToGrid/>
        <w:spacing w:line="480" w:lineRule="exact"/>
        <w:ind w:firstLine="700" w:firstLineChars="250"/>
        <w:textAlignment w:val="auto"/>
        <w:rPr>
          <w:rFonts w:hint="eastAsia" w:ascii="仿宋_GB2312" w:hAnsi="仿宋_GB2312" w:eastAsia="仿宋_GB2312" w:cs="仿宋_GB2312"/>
          <w:color w:val="000000"/>
          <w:kern w:val="0"/>
          <w:sz w:val="28"/>
          <w:szCs w:val="28"/>
          <w:lang w:val="en-US" w:eastAsia="zh-CN" w:bidi="ar-SA"/>
        </w:rPr>
      </w:pPr>
      <w:r>
        <w:rPr>
          <w:rFonts w:hint="eastAsia" w:ascii="仿宋_GB2312" w:hAnsi="仿宋_GB2312" w:eastAsia="仿宋_GB2312" w:cs="仿宋_GB2312"/>
          <w:color w:val="000000"/>
          <w:kern w:val="0"/>
          <w:sz w:val="28"/>
          <w:szCs w:val="28"/>
          <w:lang w:val="en-US" w:eastAsia="zh-CN" w:bidi="ar-SA"/>
        </w:rPr>
        <w:t>十三、关于国有资产占用情况说明</w:t>
      </w:r>
    </w:p>
    <w:p w14:paraId="5BD7D26C">
      <w:pPr>
        <w:pStyle w:val="12"/>
        <w:spacing w:line="500" w:lineRule="exact"/>
        <w:ind w:firstLine="700" w:firstLineChars="250"/>
        <w:rPr>
          <w:rFonts w:hint="eastAsia" w:ascii="仿宋_GB2312" w:hAnsi="仿宋_GB2312" w:eastAsia="仿宋_GB2312" w:cs="仿宋_GB2312"/>
          <w:sz w:val="28"/>
          <w:szCs w:val="28"/>
          <w:highlight w:val="none"/>
        </w:rPr>
      </w:pPr>
      <w:r>
        <w:rPr>
          <w:rFonts w:hint="eastAsia" w:ascii="仿宋_GB2312" w:hAnsi="仿宋_GB2312" w:eastAsia="仿宋_GB2312" w:cs="仿宋_GB2312"/>
          <w:color w:val="000000"/>
          <w:kern w:val="0"/>
          <w:sz w:val="28"/>
          <w:szCs w:val="28"/>
          <w:highlight w:val="none"/>
          <w:lang w:val="en-US" w:eastAsia="zh-CN" w:bidi="ar-SA"/>
        </w:rPr>
        <w:t>十四、</w:t>
      </w:r>
      <w:r>
        <w:rPr>
          <w:rFonts w:hint="eastAsia" w:ascii="仿宋_GB2312" w:hAnsi="仿宋_GB2312" w:eastAsia="仿宋_GB2312" w:cs="仿宋_GB2312"/>
          <w:sz w:val="28"/>
          <w:szCs w:val="28"/>
          <w:highlight w:val="none"/>
        </w:rPr>
        <w:t>关于</w:t>
      </w:r>
      <w:r>
        <w:rPr>
          <w:rFonts w:hint="default" w:ascii="Times New Roman" w:hAnsi="Times New Roman" w:eastAsia="仿宋_GB2312" w:cs="Times New Roman"/>
          <w:sz w:val="28"/>
          <w:szCs w:val="28"/>
          <w:highlight w:val="none"/>
        </w:rPr>
        <w:t>202</w:t>
      </w:r>
      <w:r>
        <w:rPr>
          <w:rFonts w:hint="eastAsia" w:ascii="Times New Roman" w:hAnsi="Times New Roman" w:eastAsia="仿宋_GB2312" w:cs="Times New Roman"/>
          <w:sz w:val="28"/>
          <w:szCs w:val="28"/>
          <w:highlight w:val="none"/>
          <w:lang w:val="en-US" w:eastAsia="zh-CN"/>
        </w:rPr>
        <w:t>4</w:t>
      </w:r>
      <w:r>
        <w:rPr>
          <w:rFonts w:hint="eastAsia" w:ascii="仿宋_GB2312" w:hAnsi="仿宋_GB2312" w:eastAsia="仿宋_GB2312" w:cs="仿宋_GB2312"/>
          <w:sz w:val="28"/>
          <w:szCs w:val="28"/>
          <w:highlight w:val="none"/>
        </w:rPr>
        <w:t>年度</w:t>
      </w:r>
      <w:r>
        <w:rPr>
          <w:rFonts w:hint="eastAsia" w:ascii="仿宋_GB2312" w:hAnsi="仿宋_GB2312" w:eastAsia="仿宋_GB2312" w:cs="仿宋_GB2312"/>
          <w:sz w:val="28"/>
          <w:szCs w:val="28"/>
          <w:highlight w:val="none"/>
          <w:lang w:eastAsia="zh-CN"/>
        </w:rPr>
        <w:t>预算</w:t>
      </w:r>
      <w:r>
        <w:rPr>
          <w:rFonts w:hint="eastAsia" w:ascii="仿宋_GB2312" w:hAnsi="仿宋_GB2312" w:eastAsia="仿宋_GB2312" w:cs="仿宋_GB2312"/>
          <w:sz w:val="28"/>
          <w:szCs w:val="28"/>
          <w:highlight w:val="none"/>
        </w:rPr>
        <w:t>绩效</w:t>
      </w:r>
      <w:r>
        <w:rPr>
          <w:rFonts w:hint="eastAsia" w:ascii="仿宋_GB2312" w:hAnsi="仿宋_GB2312" w:eastAsia="仿宋_GB2312" w:cs="仿宋_GB2312"/>
          <w:sz w:val="28"/>
          <w:szCs w:val="28"/>
          <w:highlight w:val="none"/>
          <w:lang w:eastAsia="zh-CN"/>
        </w:rPr>
        <w:t>管理</w:t>
      </w:r>
      <w:r>
        <w:rPr>
          <w:rFonts w:hint="eastAsia" w:ascii="仿宋_GB2312" w:hAnsi="仿宋_GB2312" w:eastAsia="仿宋_GB2312" w:cs="仿宋_GB2312"/>
          <w:sz w:val="28"/>
          <w:szCs w:val="28"/>
          <w:highlight w:val="none"/>
        </w:rPr>
        <w:t>情况的说明</w:t>
      </w:r>
    </w:p>
    <w:p w14:paraId="51852483">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第四部分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名词解释</w:t>
      </w:r>
    </w:p>
    <w:p w14:paraId="7D866A9C">
      <w:pPr>
        <w:pStyle w:val="12"/>
        <w:spacing w:line="500" w:lineRule="exact"/>
        <w:rPr>
          <w:rFonts w:hint="eastAsia" w:ascii="黑体" w:hAnsi="黑体" w:eastAsia="黑体" w:cs="黑体"/>
          <w:b w:val="0"/>
          <w:bCs/>
          <w:sz w:val="28"/>
          <w:szCs w:val="28"/>
          <w:lang w:eastAsia="zh-CN"/>
        </w:rPr>
      </w:pPr>
      <w:r>
        <w:rPr>
          <w:rFonts w:hint="eastAsia" w:ascii="黑体" w:hAnsi="黑体" w:eastAsia="黑体" w:cs="黑体"/>
          <w:b w:val="0"/>
          <w:bCs/>
          <w:sz w:val="28"/>
          <w:szCs w:val="28"/>
        </w:rPr>
        <w:t>第</w:t>
      </w:r>
      <w:r>
        <w:rPr>
          <w:rFonts w:hint="eastAsia" w:hAnsi="黑体" w:cs="黑体"/>
          <w:b w:val="0"/>
          <w:bCs/>
          <w:sz w:val="28"/>
          <w:szCs w:val="28"/>
          <w:lang w:eastAsia="zh-CN"/>
        </w:rPr>
        <w:t>五</w:t>
      </w:r>
      <w:r>
        <w:rPr>
          <w:rFonts w:hint="eastAsia" w:ascii="黑体" w:hAnsi="黑体" w:eastAsia="黑体" w:cs="黑体"/>
          <w:b w:val="0"/>
          <w:bCs/>
          <w:sz w:val="28"/>
          <w:szCs w:val="28"/>
        </w:rPr>
        <w:t>部分</w:t>
      </w:r>
      <w:r>
        <w:rPr>
          <w:rFonts w:hint="eastAsia" w:ascii="黑体" w:hAnsi="黑体" w:eastAsia="黑体" w:cs="黑体"/>
          <w:b w:val="0"/>
          <w:bCs/>
          <w:sz w:val="28"/>
          <w:szCs w:val="28"/>
          <w:lang w:val="en-US" w:eastAsia="zh-CN"/>
        </w:rPr>
        <w:t xml:space="preserve"> </w:t>
      </w:r>
      <w:r>
        <w:rPr>
          <w:rFonts w:hint="eastAsia" w:hAnsi="黑体" w:cs="黑体"/>
          <w:b w:val="0"/>
          <w:bCs/>
          <w:sz w:val="28"/>
          <w:szCs w:val="28"/>
          <w:lang w:eastAsia="zh-CN"/>
        </w:rPr>
        <w:t>附件</w:t>
      </w:r>
    </w:p>
    <w:p w14:paraId="2E7F14A9">
      <w:pPr>
        <w:pStyle w:val="12"/>
        <w:jc w:val="center"/>
        <w:rPr>
          <w:rFonts w:hint="eastAsia" w:ascii="方正小标宋_GBK" w:hAnsi="方正小标宋_GBK" w:eastAsia="方正小标宋_GBK" w:cs="方正小标宋_GBK"/>
          <w:sz w:val="84"/>
          <w:szCs w:val="84"/>
        </w:rPr>
      </w:pPr>
    </w:p>
    <w:p w14:paraId="1095DEAB">
      <w:pPr>
        <w:pStyle w:val="12"/>
        <w:jc w:val="center"/>
        <w:rPr>
          <w:rFonts w:hint="eastAsia" w:ascii="方正小标宋_GBK" w:hAnsi="方正小标宋_GBK" w:eastAsia="方正小标宋_GBK" w:cs="方正小标宋_GBK"/>
          <w:sz w:val="84"/>
          <w:szCs w:val="84"/>
        </w:rPr>
      </w:pPr>
    </w:p>
    <w:p w14:paraId="0DEEC249">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 xml:space="preserve">第一部分 </w:t>
      </w:r>
    </w:p>
    <w:p w14:paraId="5C6A94F8">
      <w:pPr>
        <w:pStyle w:val="12"/>
        <w:jc w:val="center"/>
        <w:rPr>
          <w:rFonts w:hint="eastAsia" w:ascii="方正小标宋_GBK" w:hAnsi="方正小标宋_GBK" w:eastAsia="方正小标宋_GBK" w:cs="方正小标宋_GBK"/>
          <w:sz w:val="84"/>
          <w:szCs w:val="84"/>
        </w:rPr>
      </w:pPr>
    </w:p>
    <w:p w14:paraId="5EF69A9D">
      <w:pPr>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lang w:val="en-US" w:eastAsia="zh-CN"/>
        </w:rPr>
        <w:t>岳阳市美术馆</w:t>
      </w:r>
      <w:r>
        <w:rPr>
          <w:rFonts w:hint="eastAsia" w:ascii="方正小标宋_GBK" w:hAnsi="方正小标宋_GBK" w:eastAsia="方正小标宋_GBK" w:cs="方正小标宋_GBK"/>
          <w:sz w:val="84"/>
          <w:szCs w:val="84"/>
        </w:rPr>
        <w:t>概况</w:t>
      </w:r>
    </w:p>
    <w:p w14:paraId="77A0C778">
      <w:pPr>
        <w:pStyle w:val="7"/>
        <w:rPr>
          <w:rFonts w:hint="eastAsia" w:ascii="方正小标宋_GBK" w:hAnsi="方正小标宋_GBK" w:eastAsia="方正小标宋_GBK" w:cs="方正小标宋_GBK"/>
          <w:sz w:val="84"/>
          <w:szCs w:val="84"/>
        </w:rPr>
      </w:pPr>
    </w:p>
    <w:p w14:paraId="397AC3FB">
      <w:pPr>
        <w:pStyle w:val="3"/>
        <w:rPr>
          <w:rFonts w:hint="eastAsia" w:ascii="方正小标宋_GBK" w:hAnsi="方正小标宋_GBK" w:eastAsia="方正小标宋_GBK" w:cs="方正小标宋_GBK"/>
          <w:sz w:val="84"/>
          <w:szCs w:val="84"/>
        </w:rPr>
      </w:pPr>
    </w:p>
    <w:p w14:paraId="13F2C40A">
      <w:pPr>
        <w:rPr>
          <w:rFonts w:hint="eastAsia" w:ascii="方正小标宋_GBK" w:hAnsi="方正小标宋_GBK" w:eastAsia="方正小标宋_GBK" w:cs="方正小标宋_GBK"/>
          <w:sz w:val="84"/>
          <w:szCs w:val="84"/>
        </w:rPr>
      </w:pPr>
    </w:p>
    <w:p w14:paraId="128B0AE2">
      <w:pPr>
        <w:pStyle w:val="7"/>
        <w:rPr>
          <w:rFonts w:hint="eastAsia" w:ascii="方正小标宋_GBK" w:hAnsi="方正小标宋_GBK" w:eastAsia="方正小标宋_GBK" w:cs="方正小标宋_GBK"/>
          <w:sz w:val="84"/>
          <w:szCs w:val="84"/>
        </w:rPr>
      </w:pPr>
    </w:p>
    <w:p w14:paraId="1469560B">
      <w:pPr>
        <w:pStyle w:val="3"/>
        <w:rPr>
          <w:rFonts w:hint="eastAsia" w:ascii="方正小标宋_GBK" w:hAnsi="方正小标宋_GBK" w:eastAsia="方正小标宋_GBK" w:cs="方正小标宋_GBK"/>
          <w:sz w:val="84"/>
          <w:szCs w:val="84"/>
        </w:rPr>
      </w:pPr>
    </w:p>
    <w:p w14:paraId="692F1EB1">
      <w:pPr>
        <w:pStyle w:val="13"/>
        <w:numPr>
          <w:ilvl w:val="0"/>
          <w:numId w:val="0"/>
        </w:numPr>
        <w:ind w:leftChars="0" w:firstLine="640" w:firstLineChars="200"/>
        <w:jc w:val="left"/>
        <w:rPr>
          <w:rFonts w:hint="default" w:ascii="Times New Roman" w:hAnsi="Times New Roman" w:eastAsia="仿宋_GB2312" w:cs="仿宋_GB2312"/>
          <w:sz w:val="32"/>
          <w:szCs w:val="32"/>
          <w:lang w:val="en-US" w:eastAsia="zh-CN"/>
        </w:rPr>
      </w:pPr>
      <w:r>
        <w:rPr>
          <w:rFonts w:hint="eastAsia" w:ascii="黑体" w:hAnsi="黑体" w:eastAsia="黑体" w:cs="黑体"/>
          <w:b w:val="0"/>
          <w:bCs w:val="0"/>
          <w:sz w:val="32"/>
          <w:szCs w:val="32"/>
          <w:lang w:val="en-US" w:eastAsia="zh-CN"/>
        </w:rPr>
        <w:t>一、</w:t>
      </w:r>
      <w:r>
        <w:rPr>
          <w:rFonts w:hint="eastAsia" w:ascii="黑体" w:hAnsi="黑体" w:eastAsia="黑体" w:cs="黑体"/>
          <w:b w:val="0"/>
          <w:bCs w:val="0"/>
          <w:sz w:val="32"/>
          <w:szCs w:val="32"/>
        </w:rPr>
        <w:t>部门职责</w:t>
      </w:r>
    </w:p>
    <w:p w14:paraId="386C0A6B">
      <w:pPr>
        <w:pStyle w:val="13"/>
        <w:numPr>
          <w:ilvl w:val="0"/>
          <w:numId w:val="0"/>
        </w:numPr>
        <w:ind w:leftChars="0" w:firstLine="640" w:firstLineChars="200"/>
        <w:jc w:val="left"/>
        <w:rPr>
          <w:rFonts w:hint="default"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rPr>
        <w:t>（一）</w:t>
      </w:r>
      <w:r>
        <w:rPr>
          <w:rFonts w:hint="eastAsia" w:ascii="Times New Roman" w:hAnsi="Times New Roman" w:eastAsia="仿宋_GB2312" w:cs="仿宋_GB2312"/>
          <w:sz w:val="32"/>
          <w:szCs w:val="32"/>
          <w:lang w:val="en-US" w:eastAsia="zh-CN"/>
        </w:rPr>
        <w:t>创作研究艺术、促进艺术繁荣。</w:t>
      </w:r>
    </w:p>
    <w:p w14:paraId="55D0BCFD">
      <w:pPr>
        <w:ind w:firstLine="640" w:firstLineChars="200"/>
        <w:jc w:val="left"/>
        <w:rPr>
          <w:rFonts w:hint="default"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rPr>
        <w:t>（二）</w:t>
      </w:r>
      <w:r>
        <w:rPr>
          <w:rFonts w:hint="eastAsia" w:ascii="Times New Roman" w:hAnsi="Times New Roman" w:eastAsia="仿宋_GB2312" w:cs="仿宋_GB2312"/>
          <w:sz w:val="32"/>
          <w:szCs w:val="32"/>
          <w:lang w:val="en-US" w:eastAsia="zh-CN"/>
        </w:rPr>
        <w:t>开展书法、美术、摄影创作，展览、教育以及艺术品收藏研究。</w:t>
      </w:r>
    </w:p>
    <w:p w14:paraId="2DC82B10">
      <w:pPr>
        <w:widowControl/>
        <w:spacing w:line="600" w:lineRule="exact"/>
        <w:ind w:firstLine="640" w:firstLineChars="200"/>
        <w:rPr>
          <w:rFonts w:hint="eastAsia" w:ascii="黑体" w:hAnsi="黑体" w:eastAsia="黑体" w:cs="黑体"/>
          <w:b w:val="0"/>
          <w:bCs/>
          <w:kern w:val="0"/>
          <w:sz w:val="32"/>
          <w:szCs w:val="32"/>
        </w:rPr>
      </w:pPr>
      <w:r>
        <w:rPr>
          <w:rFonts w:hint="eastAsia" w:ascii="黑体" w:hAnsi="黑体" w:eastAsia="黑体" w:cs="黑体"/>
          <w:b w:val="0"/>
          <w:bCs/>
          <w:kern w:val="0"/>
          <w:sz w:val="32"/>
          <w:szCs w:val="32"/>
        </w:rPr>
        <w:t>二、机构设置及决算单位构成</w:t>
      </w:r>
    </w:p>
    <w:p w14:paraId="6EF8F9F7">
      <w:pPr>
        <w:widowControl/>
        <w:spacing w:line="600" w:lineRule="exact"/>
        <w:ind w:firstLine="640" w:firstLineChars="200"/>
        <w:rPr>
          <w:rFonts w:hint="eastAsia"/>
        </w:rPr>
      </w:pPr>
      <w:r>
        <w:rPr>
          <w:rFonts w:hint="eastAsia" w:ascii="Times New Roman" w:hAnsi="Times New Roman" w:eastAsia="仿宋_GB2312" w:cs="仿宋_GB2312"/>
          <w:bCs/>
          <w:kern w:val="0"/>
          <w:sz w:val="32"/>
          <w:szCs w:val="32"/>
        </w:rPr>
        <w:t>（一）内设机构设置。</w:t>
      </w:r>
      <w:r>
        <w:rPr>
          <w:rFonts w:hint="eastAsia" w:ascii="Times New Roman" w:hAnsi="Times New Roman" w:eastAsia="仿宋_GB2312" w:cs="仿宋_GB2312"/>
          <w:bCs/>
          <w:kern w:val="0"/>
          <w:sz w:val="32"/>
          <w:szCs w:val="32"/>
          <w:lang w:val="en-US" w:eastAsia="zh-CN"/>
        </w:rPr>
        <w:t>岳阳市美术馆</w:t>
      </w:r>
      <w:r>
        <w:rPr>
          <w:rFonts w:hint="eastAsia" w:ascii="Times New Roman" w:hAnsi="Times New Roman" w:eastAsia="仿宋_GB2312" w:cs="仿宋_GB2312"/>
          <w:bCs/>
          <w:kern w:val="0"/>
          <w:sz w:val="32"/>
          <w:szCs w:val="32"/>
        </w:rPr>
        <w:t>内设机构包括：</w:t>
      </w:r>
      <w:r>
        <w:rPr>
          <w:rFonts w:hint="eastAsia" w:ascii="Times New Roman" w:hAnsi="Times New Roman" w:eastAsia="仿宋_GB2312" w:cs="仿宋_GB2312"/>
          <w:bCs/>
          <w:kern w:val="0"/>
          <w:sz w:val="32"/>
          <w:szCs w:val="32"/>
          <w:lang w:val="en-US" w:eastAsia="zh-CN"/>
        </w:rPr>
        <w:t>办公室、展览策划部、学士研究部、典藏部、宣传推广部、公共教育部、信息技术部7个部室。馆内1-3层为展厅，并设置公共教育室、会议室、体验室、临摹室、图书资料室、休闲区等多种配套服务设施，为公众提供不同形式的文化及美育服务。</w:t>
      </w:r>
    </w:p>
    <w:p w14:paraId="26156450">
      <w:pPr>
        <w:widowControl/>
        <w:spacing w:line="600" w:lineRule="exact"/>
        <w:ind w:firstLine="640" w:firstLineChars="200"/>
        <w:rPr>
          <w:rFonts w:ascii="仿宋_GB2312" w:eastAsia="仿宋_GB2312" w:hAnsiTheme="minorEastAsia"/>
          <w:sz w:val="28"/>
          <w:szCs w:val="32"/>
        </w:rPr>
      </w:pPr>
      <w:r>
        <w:rPr>
          <w:rFonts w:hint="eastAsia" w:ascii="Times New Roman" w:hAnsi="Times New Roman" w:eastAsia="仿宋_GB2312" w:cs="仿宋_GB2312"/>
          <w:bCs/>
          <w:kern w:val="0"/>
          <w:sz w:val="32"/>
          <w:szCs w:val="32"/>
        </w:rPr>
        <w:t>（二）决算单位构成。</w:t>
      </w:r>
      <w:r>
        <w:rPr>
          <w:rFonts w:hint="eastAsia" w:ascii="Times New Roman" w:hAnsi="Times New Roman" w:eastAsia="仿宋_GB2312" w:cs="仿宋_GB2312"/>
          <w:bCs/>
          <w:kern w:val="0"/>
          <w:sz w:val="32"/>
          <w:szCs w:val="32"/>
          <w:lang w:val="en-US" w:eastAsia="zh-CN"/>
        </w:rPr>
        <w:t>本</w:t>
      </w:r>
      <w:r>
        <w:rPr>
          <w:rFonts w:hint="eastAsia" w:ascii="Times New Roman" w:hAnsi="Times New Roman" w:eastAsia="仿宋_GB2312" w:cs="仿宋_GB2312"/>
          <w:bCs/>
          <w:kern w:val="0"/>
          <w:sz w:val="32"/>
          <w:szCs w:val="32"/>
        </w:rPr>
        <w:t>单位</w:t>
      </w:r>
      <w:r>
        <w:rPr>
          <w:rFonts w:hint="eastAsia" w:ascii="Times New Roman" w:hAnsi="Times New Roman" w:eastAsia="仿宋_GB2312" w:cs="仿宋_GB2312"/>
          <w:bCs/>
          <w:kern w:val="0"/>
          <w:sz w:val="32"/>
          <w:szCs w:val="32"/>
          <w:lang w:val="en-US" w:eastAsia="zh-CN"/>
        </w:rPr>
        <w:t>无独立核算的下属单位，</w:t>
      </w:r>
      <w:r>
        <w:rPr>
          <w:rFonts w:hint="eastAsia" w:ascii="Times New Roman" w:hAnsi="Times New Roman" w:eastAsia="仿宋_GB2312" w:cs="仿宋_GB2312"/>
          <w:bCs/>
          <w:kern w:val="0"/>
          <w:sz w:val="32"/>
          <w:szCs w:val="32"/>
        </w:rPr>
        <w:t>202</w:t>
      </w:r>
      <w:r>
        <w:rPr>
          <w:rFonts w:hint="eastAsia" w:ascii="Times New Roman" w:hAnsi="Times New Roman" w:eastAsia="仿宋_GB2312" w:cs="仿宋_GB2312"/>
          <w:bCs/>
          <w:kern w:val="0"/>
          <w:sz w:val="32"/>
          <w:szCs w:val="32"/>
          <w:lang w:val="en-US" w:eastAsia="zh-CN"/>
        </w:rPr>
        <w:t>3</w:t>
      </w:r>
      <w:r>
        <w:rPr>
          <w:rFonts w:hint="eastAsia" w:ascii="Times New Roman" w:hAnsi="Times New Roman" w:eastAsia="仿宋_GB2312" w:cs="仿宋_GB2312"/>
          <w:bCs/>
          <w:kern w:val="0"/>
          <w:sz w:val="32"/>
          <w:szCs w:val="32"/>
        </w:rPr>
        <w:t>年</w:t>
      </w:r>
      <w:r>
        <w:rPr>
          <w:rFonts w:hint="eastAsia" w:ascii="Times New Roman" w:hAnsi="Times New Roman" w:eastAsia="仿宋_GB2312" w:cs="仿宋_GB2312"/>
          <w:bCs/>
          <w:kern w:val="0"/>
          <w:sz w:val="32"/>
          <w:szCs w:val="32"/>
          <w:lang w:val="en-US" w:eastAsia="zh-CN"/>
        </w:rPr>
        <w:t>度</w:t>
      </w:r>
      <w:r>
        <w:rPr>
          <w:rFonts w:hint="eastAsia" w:ascii="Times New Roman" w:hAnsi="Times New Roman" w:eastAsia="仿宋_GB2312" w:cs="仿宋_GB2312"/>
          <w:bCs/>
          <w:kern w:val="0"/>
          <w:sz w:val="32"/>
          <w:szCs w:val="32"/>
        </w:rPr>
        <w:t>部门决算汇总公开单位</w:t>
      </w:r>
      <w:r>
        <w:rPr>
          <w:rFonts w:hint="eastAsia" w:ascii="Times New Roman" w:hAnsi="Times New Roman" w:eastAsia="仿宋_GB2312" w:cs="仿宋_GB2312"/>
          <w:bCs/>
          <w:kern w:val="0"/>
          <w:sz w:val="32"/>
          <w:szCs w:val="32"/>
          <w:lang w:val="en-US" w:eastAsia="zh-CN"/>
        </w:rPr>
        <w:t>仅包括岳阳市美术馆。</w:t>
      </w:r>
    </w:p>
    <w:p w14:paraId="38152785"/>
    <w:p w14:paraId="3CE56614">
      <w:pPr>
        <w:pStyle w:val="7"/>
      </w:pPr>
    </w:p>
    <w:p w14:paraId="70B4D569">
      <w:pPr>
        <w:pStyle w:val="3"/>
      </w:pPr>
    </w:p>
    <w:p w14:paraId="5B1D6CBC"/>
    <w:p w14:paraId="7D6C31E4">
      <w:pPr>
        <w:pStyle w:val="7"/>
      </w:pPr>
    </w:p>
    <w:p w14:paraId="056E4ECA">
      <w:pPr>
        <w:pStyle w:val="3"/>
      </w:pPr>
    </w:p>
    <w:p w14:paraId="3288C9C5"/>
    <w:p w14:paraId="14507043">
      <w:pPr>
        <w:pStyle w:val="7"/>
      </w:pPr>
    </w:p>
    <w:p w14:paraId="465EA8BD">
      <w:pPr>
        <w:pStyle w:val="3"/>
      </w:pPr>
    </w:p>
    <w:p w14:paraId="49E51758"/>
    <w:p w14:paraId="3DC8C6CD">
      <w:pPr>
        <w:pStyle w:val="7"/>
      </w:pPr>
    </w:p>
    <w:p w14:paraId="36E702E5">
      <w:pPr>
        <w:pStyle w:val="3"/>
      </w:pPr>
    </w:p>
    <w:p w14:paraId="0416550A"/>
    <w:p w14:paraId="28B49BCE">
      <w:pPr>
        <w:pStyle w:val="7"/>
      </w:pPr>
    </w:p>
    <w:p w14:paraId="43291855">
      <w:pPr>
        <w:pStyle w:val="3"/>
      </w:pPr>
    </w:p>
    <w:p w14:paraId="7CD92489"/>
    <w:p w14:paraId="5267F12B">
      <w:pPr>
        <w:pStyle w:val="7"/>
      </w:pPr>
    </w:p>
    <w:p w14:paraId="28828498">
      <w:pPr>
        <w:pStyle w:val="3"/>
      </w:pPr>
    </w:p>
    <w:p w14:paraId="04E62672"/>
    <w:p w14:paraId="1D6D7A8B">
      <w:pPr>
        <w:pStyle w:val="7"/>
      </w:pPr>
    </w:p>
    <w:p w14:paraId="2E47952B">
      <w:pPr>
        <w:pStyle w:val="3"/>
      </w:pPr>
    </w:p>
    <w:p w14:paraId="18A19BE5"/>
    <w:p w14:paraId="7CCBF86D">
      <w:pPr>
        <w:pStyle w:val="7"/>
      </w:pPr>
    </w:p>
    <w:p w14:paraId="0017F5EC">
      <w:pPr>
        <w:pStyle w:val="3"/>
      </w:pPr>
    </w:p>
    <w:p w14:paraId="76181D4E"/>
    <w:p w14:paraId="1A174866">
      <w:pPr>
        <w:pStyle w:val="12"/>
        <w:jc w:val="center"/>
        <w:rPr>
          <w:rFonts w:hint="eastAsia" w:ascii="方正小标宋_GBK" w:hAnsi="方正小标宋_GBK" w:eastAsia="方正小标宋_GBK" w:cs="方正小标宋_GBK"/>
          <w:sz w:val="84"/>
          <w:szCs w:val="84"/>
        </w:rPr>
      </w:pPr>
    </w:p>
    <w:p w14:paraId="2B49F2B7">
      <w:pPr>
        <w:pStyle w:val="12"/>
        <w:jc w:val="center"/>
        <w:rPr>
          <w:rFonts w:hint="eastAsia" w:ascii="方正小标宋_GBK" w:hAnsi="方正小标宋_GBK" w:eastAsia="方正小标宋_GBK" w:cs="方正小标宋_GBK"/>
          <w:sz w:val="84"/>
          <w:szCs w:val="84"/>
        </w:rPr>
      </w:pPr>
    </w:p>
    <w:p w14:paraId="661BBFC8">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第二部分</w:t>
      </w:r>
    </w:p>
    <w:p w14:paraId="5FB02ED5">
      <w:pPr>
        <w:pStyle w:val="12"/>
        <w:jc w:val="center"/>
        <w:rPr>
          <w:rFonts w:hint="eastAsia" w:ascii="方正小标宋_GBK" w:hAnsi="方正小标宋_GBK" w:eastAsia="方正小标宋_GBK" w:cs="方正小标宋_GBK"/>
          <w:sz w:val="84"/>
          <w:szCs w:val="84"/>
        </w:rPr>
      </w:pPr>
    </w:p>
    <w:p w14:paraId="3860F185">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部门决算表</w:t>
      </w:r>
    </w:p>
    <w:p w14:paraId="50A5962C">
      <w:pPr>
        <w:pStyle w:val="12"/>
        <w:jc w:val="both"/>
        <w:rPr>
          <w:rFonts w:hint="eastAsia" w:ascii="仿宋_GB2312" w:hAnsi="仿宋_GB2312" w:eastAsia="仿宋_GB2312" w:cs="仿宋_GB2312"/>
          <w:b w:val="0"/>
          <w:bCs w:val="0"/>
          <w:sz w:val="72"/>
          <w:szCs w:val="72"/>
          <w:lang w:eastAsia="zh-CN"/>
        </w:rPr>
      </w:pPr>
    </w:p>
    <w:p w14:paraId="325AF5B5">
      <w:pPr>
        <w:pStyle w:val="12"/>
        <w:jc w:val="center"/>
        <w:rPr>
          <w:rFonts w:hint="eastAsia" w:ascii="仿宋_GB2312" w:hAnsi="仿宋_GB2312" w:eastAsia="仿宋_GB2312" w:cs="仿宋_GB2312"/>
          <w:b w:val="0"/>
          <w:bCs w:val="0"/>
          <w:sz w:val="72"/>
          <w:szCs w:val="72"/>
          <w:lang w:eastAsia="zh-CN"/>
        </w:rPr>
      </w:pPr>
    </w:p>
    <w:p w14:paraId="0568D1B8">
      <w:pPr>
        <w:pStyle w:val="12"/>
        <w:jc w:val="center"/>
        <w:rPr>
          <w:rFonts w:hint="eastAsia" w:ascii="仿宋_GB2312" w:hAnsi="仿宋_GB2312" w:eastAsia="仿宋_GB2312" w:cs="仿宋_GB2312"/>
          <w:b w:val="0"/>
          <w:bCs w:val="0"/>
          <w:sz w:val="72"/>
          <w:szCs w:val="72"/>
          <w:lang w:eastAsia="zh-CN"/>
        </w:rPr>
      </w:pPr>
    </w:p>
    <w:p w14:paraId="5C65B646">
      <w:pPr>
        <w:pStyle w:val="12"/>
        <w:jc w:val="center"/>
        <w:rPr>
          <w:rFonts w:hint="eastAsia" w:ascii="仿宋_GB2312" w:hAnsi="仿宋_GB2312" w:eastAsia="仿宋_GB2312" w:cs="仿宋_GB2312"/>
          <w:b w:val="0"/>
          <w:bCs w:val="0"/>
          <w:sz w:val="72"/>
          <w:szCs w:val="72"/>
          <w:lang w:eastAsia="zh-CN"/>
        </w:rPr>
      </w:pPr>
    </w:p>
    <w:p w14:paraId="62EA5E89">
      <w:pPr>
        <w:pStyle w:val="12"/>
        <w:jc w:val="center"/>
        <w:rPr>
          <w:rFonts w:hint="eastAsia" w:ascii="仿宋_GB2312" w:hAnsi="仿宋_GB2312" w:eastAsia="仿宋_GB2312" w:cs="仿宋_GB2312"/>
          <w:b w:val="0"/>
          <w:bCs w:val="0"/>
          <w:sz w:val="72"/>
          <w:szCs w:val="72"/>
          <w:lang w:eastAsia="zh-CN"/>
        </w:rPr>
      </w:pPr>
    </w:p>
    <w:p w14:paraId="63BFFD84">
      <w:pPr>
        <w:pStyle w:val="12"/>
        <w:jc w:val="center"/>
        <w:rPr>
          <w:rFonts w:hint="eastAsia" w:ascii="仿宋_GB2312" w:hAnsi="仿宋_GB2312" w:eastAsia="仿宋_GB2312" w:cs="仿宋_GB2312"/>
          <w:b w:val="0"/>
          <w:bCs w:val="0"/>
          <w:sz w:val="72"/>
          <w:szCs w:val="72"/>
          <w:lang w:eastAsia="zh-CN"/>
        </w:rPr>
      </w:pPr>
    </w:p>
    <w:p w14:paraId="4565BABE">
      <w:pPr>
        <w:pStyle w:val="12"/>
        <w:jc w:val="center"/>
        <w:rPr>
          <w:rFonts w:hint="eastAsia" w:ascii="仿宋_GB2312" w:hAnsi="仿宋_GB2312" w:eastAsia="仿宋_GB2312" w:cs="仿宋_GB2312"/>
          <w:b w:val="0"/>
          <w:bCs w:val="0"/>
          <w:sz w:val="72"/>
          <w:szCs w:val="72"/>
          <w:lang w:eastAsia="zh-CN"/>
        </w:rPr>
      </w:pPr>
    </w:p>
    <w:p w14:paraId="6ADFE038">
      <w:pPr>
        <w:spacing w:line="12782" w:lineRule="exact"/>
      </w:pPr>
      <w:r>
        <w:rPr>
          <w:position w:val="-255"/>
        </w:rPr>
        <w:drawing>
          <wp:inline distT="0" distB="0" distL="0" distR="0">
            <wp:extent cx="9229725" cy="8116570"/>
            <wp:effectExtent l="0" t="0" r="9525" b="1778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6"/>
                    <a:stretch>
                      <a:fillRect/>
                    </a:stretch>
                  </pic:blipFill>
                  <pic:spPr>
                    <a:xfrm>
                      <a:off x="0" y="0"/>
                      <a:ext cx="9229725" cy="8116723"/>
                    </a:xfrm>
                    <a:prstGeom prst="rect">
                      <a:avLst/>
                    </a:prstGeom>
                  </pic:spPr>
                </pic:pic>
              </a:graphicData>
            </a:graphic>
          </wp:inline>
        </w:drawing>
      </w:r>
    </w:p>
    <w:p w14:paraId="7470C854">
      <w:pPr>
        <w:spacing w:line="12782" w:lineRule="exact"/>
        <w:sectPr>
          <w:headerReference r:id="rId3" w:type="default"/>
          <w:footerReference r:id="rId4" w:type="default"/>
          <w:pgSz w:w="14535" w:h="12795"/>
          <w:pgMar w:top="1" w:right="0" w:bottom="1" w:left="0" w:header="0" w:footer="0" w:gutter="0"/>
          <w:cols w:space="720" w:num="1"/>
        </w:sectPr>
      </w:pPr>
    </w:p>
    <w:p w14:paraId="13698198">
      <w:pPr>
        <w:spacing w:line="9662" w:lineRule="exact"/>
      </w:pPr>
      <w:r>
        <w:rPr>
          <w:position w:val="-193"/>
        </w:rPr>
        <w:drawing>
          <wp:inline distT="0" distB="0" distL="0" distR="0">
            <wp:extent cx="10801350" cy="6135370"/>
            <wp:effectExtent l="0" t="0" r="0" b="1778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
                    <a:stretch>
                      <a:fillRect/>
                    </a:stretch>
                  </pic:blipFill>
                  <pic:spPr>
                    <a:xfrm>
                      <a:off x="0" y="0"/>
                      <a:ext cx="10801350" cy="6135522"/>
                    </a:xfrm>
                    <a:prstGeom prst="rect">
                      <a:avLst/>
                    </a:prstGeom>
                  </pic:spPr>
                </pic:pic>
              </a:graphicData>
            </a:graphic>
          </wp:inline>
        </w:drawing>
      </w:r>
    </w:p>
    <w:p w14:paraId="293471E2">
      <w:pPr>
        <w:spacing w:line="9662" w:lineRule="exact"/>
        <w:sectPr>
          <w:pgSz w:w="17010" w:h="9675"/>
          <w:pgMar w:top="1" w:right="0" w:bottom="1" w:left="0" w:header="0" w:footer="0" w:gutter="0"/>
          <w:cols w:space="720" w:num="1"/>
        </w:sectPr>
      </w:pPr>
    </w:p>
    <w:p w14:paraId="7535E5D2">
      <w:pPr>
        <w:spacing w:line="9662" w:lineRule="exact"/>
      </w:pPr>
      <w:r>
        <w:rPr>
          <w:position w:val="-193"/>
        </w:rPr>
        <w:drawing>
          <wp:inline distT="0" distB="0" distL="0" distR="0">
            <wp:extent cx="10382250" cy="6135370"/>
            <wp:effectExtent l="0" t="0" r="0" b="1778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8"/>
                    <a:stretch>
                      <a:fillRect/>
                    </a:stretch>
                  </pic:blipFill>
                  <pic:spPr>
                    <a:xfrm>
                      <a:off x="0" y="0"/>
                      <a:ext cx="10382250" cy="6135522"/>
                    </a:xfrm>
                    <a:prstGeom prst="rect">
                      <a:avLst/>
                    </a:prstGeom>
                  </pic:spPr>
                </pic:pic>
              </a:graphicData>
            </a:graphic>
          </wp:inline>
        </w:drawing>
      </w:r>
    </w:p>
    <w:p w14:paraId="1CD0960E">
      <w:pPr>
        <w:spacing w:line="9662" w:lineRule="exact"/>
        <w:sectPr>
          <w:pgSz w:w="16350" w:h="9675"/>
          <w:pgMar w:top="1" w:right="0" w:bottom="1" w:left="0" w:header="0" w:footer="0" w:gutter="0"/>
          <w:cols w:space="720" w:num="1"/>
        </w:sectPr>
      </w:pPr>
    </w:p>
    <w:p w14:paraId="2EBDAF94">
      <w:pPr>
        <w:spacing w:line="13607" w:lineRule="exact"/>
      </w:pPr>
      <w:r>
        <w:rPr>
          <w:position w:val="-272"/>
        </w:rPr>
        <w:drawing>
          <wp:inline distT="0" distB="0" distL="0" distR="0">
            <wp:extent cx="10201275" cy="8640445"/>
            <wp:effectExtent l="0" t="0" r="9525" b="8255"/>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9"/>
                    <a:stretch>
                      <a:fillRect/>
                    </a:stretch>
                  </pic:blipFill>
                  <pic:spPr>
                    <a:xfrm>
                      <a:off x="0" y="0"/>
                      <a:ext cx="10201275" cy="8640598"/>
                    </a:xfrm>
                    <a:prstGeom prst="rect">
                      <a:avLst/>
                    </a:prstGeom>
                  </pic:spPr>
                </pic:pic>
              </a:graphicData>
            </a:graphic>
          </wp:inline>
        </w:drawing>
      </w:r>
    </w:p>
    <w:p w14:paraId="34AFB838">
      <w:pPr>
        <w:spacing w:line="13607" w:lineRule="exact"/>
        <w:sectPr>
          <w:pgSz w:w="16065" w:h="13620"/>
          <w:pgMar w:top="1" w:right="0" w:bottom="1" w:left="0" w:header="0" w:footer="0" w:gutter="0"/>
          <w:cols w:space="720" w:num="1"/>
        </w:sectPr>
      </w:pPr>
    </w:p>
    <w:p w14:paraId="0F6EE32A">
      <w:pPr>
        <w:spacing w:line="9947" w:lineRule="exact"/>
      </w:pPr>
      <w:r>
        <w:rPr>
          <w:position w:val="-198"/>
        </w:rPr>
        <w:drawing>
          <wp:inline distT="0" distB="0" distL="0" distR="0">
            <wp:extent cx="6334125" cy="6316345"/>
            <wp:effectExtent l="0" t="0" r="9525" b="8255"/>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0"/>
                    <a:stretch>
                      <a:fillRect/>
                    </a:stretch>
                  </pic:blipFill>
                  <pic:spPr>
                    <a:xfrm>
                      <a:off x="0" y="0"/>
                      <a:ext cx="6334125" cy="6316497"/>
                    </a:xfrm>
                    <a:prstGeom prst="rect">
                      <a:avLst/>
                    </a:prstGeom>
                  </pic:spPr>
                </pic:pic>
              </a:graphicData>
            </a:graphic>
          </wp:inline>
        </w:drawing>
      </w:r>
    </w:p>
    <w:p w14:paraId="2396BF56">
      <w:pPr>
        <w:spacing w:line="9947" w:lineRule="exact"/>
        <w:sectPr>
          <w:pgSz w:w="9975" w:h="9960"/>
          <w:pgMar w:top="1" w:right="0" w:bottom="1" w:left="0" w:header="0" w:footer="0" w:gutter="0"/>
          <w:cols w:space="720" w:num="1"/>
        </w:sectPr>
      </w:pPr>
    </w:p>
    <w:p w14:paraId="6B7635F4">
      <w:pPr>
        <w:spacing w:line="11762" w:lineRule="exact"/>
      </w:pPr>
      <w:r>
        <w:rPr>
          <w:position w:val="-235"/>
        </w:rPr>
        <w:drawing>
          <wp:inline distT="0" distB="0" distL="0" distR="0">
            <wp:extent cx="12515850" cy="7468870"/>
            <wp:effectExtent l="0" t="0" r="0" b="1778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1"/>
                    <a:stretch>
                      <a:fillRect/>
                    </a:stretch>
                  </pic:blipFill>
                  <pic:spPr>
                    <a:xfrm>
                      <a:off x="0" y="0"/>
                      <a:ext cx="12515850" cy="7469023"/>
                    </a:xfrm>
                    <a:prstGeom prst="rect">
                      <a:avLst/>
                    </a:prstGeom>
                  </pic:spPr>
                </pic:pic>
              </a:graphicData>
            </a:graphic>
          </wp:inline>
        </w:drawing>
      </w:r>
    </w:p>
    <w:p w14:paraId="5BFCDF9F">
      <w:pPr>
        <w:spacing w:line="11762" w:lineRule="exact"/>
        <w:sectPr>
          <w:pgSz w:w="19710" w:h="11775"/>
          <w:pgMar w:top="1" w:right="0" w:bottom="1" w:left="0" w:header="0" w:footer="0" w:gutter="0"/>
          <w:cols w:space="720" w:num="1"/>
        </w:sectPr>
      </w:pPr>
    </w:p>
    <w:p w14:paraId="68514993">
      <w:pPr>
        <w:spacing w:line="6002" w:lineRule="exact"/>
      </w:pPr>
      <w:r>
        <w:rPr>
          <w:position w:val="-120"/>
        </w:rPr>
        <w:drawing>
          <wp:inline distT="0" distB="0" distL="0" distR="0">
            <wp:extent cx="9601200" cy="3811270"/>
            <wp:effectExtent l="0" t="0" r="0" b="1778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2"/>
                    <a:stretch>
                      <a:fillRect/>
                    </a:stretch>
                  </pic:blipFill>
                  <pic:spPr>
                    <a:xfrm>
                      <a:off x="0" y="0"/>
                      <a:ext cx="9601200" cy="3811422"/>
                    </a:xfrm>
                    <a:prstGeom prst="rect">
                      <a:avLst/>
                    </a:prstGeom>
                  </pic:spPr>
                </pic:pic>
              </a:graphicData>
            </a:graphic>
          </wp:inline>
        </w:drawing>
      </w:r>
    </w:p>
    <w:p w14:paraId="69263885">
      <w:pPr>
        <w:spacing w:line="6002" w:lineRule="exact"/>
        <w:sectPr>
          <w:pgSz w:w="15120" w:h="6015"/>
          <w:pgMar w:top="1" w:right="0" w:bottom="1" w:left="0" w:header="0" w:footer="0" w:gutter="0"/>
          <w:cols w:space="720" w:num="1"/>
        </w:sectPr>
      </w:pPr>
    </w:p>
    <w:p w14:paraId="453F79EF">
      <w:pPr>
        <w:spacing w:line="6782" w:lineRule="exact"/>
      </w:pPr>
      <w:r>
        <w:rPr>
          <w:position w:val="-135"/>
        </w:rPr>
        <w:drawing>
          <wp:inline distT="0" distB="0" distL="0" distR="0">
            <wp:extent cx="6896100" cy="4306570"/>
            <wp:effectExtent l="0" t="0" r="0" b="1778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3"/>
                    <a:stretch>
                      <a:fillRect/>
                    </a:stretch>
                  </pic:blipFill>
                  <pic:spPr>
                    <a:xfrm>
                      <a:off x="0" y="0"/>
                      <a:ext cx="6896100" cy="4306722"/>
                    </a:xfrm>
                    <a:prstGeom prst="rect">
                      <a:avLst/>
                    </a:prstGeom>
                  </pic:spPr>
                </pic:pic>
              </a:graphicData>
            </a:graphic>
          </wp:inline>
        </w:drawing>
      </w:r>
    </w:p>
    <w:p w14:paraId="130657C2">
      <w:pPr>
        <w:spacing w:line="6782" w:lineRule="exact"/>
        <w:sectPr>
          <w:pgSz w:w="10860" w:h="6795"/>
          <w:pgMar w:top="1" w:right="0" w:bottom="1" w:left="0" w:header="0" w:footer="0" w:gutter="0"/>
          <w:cols w:space="720" w:num="1"/>
        </w:sectPr>
      </w:pPr>
    </w:p>
    <w:p w14:paraId="5EDFF57B">
      <w:pPr>
        <w:spacing w:line="5567" w:lineRule="exact"/>
      </w:pPr>
      <w:r>
        <w:rPr>
          <w:position w:val="-111"/>
        </w:rPr>
        <w:drawing>
          <wp:inline distT="0" distB="0" distL="0" distR="0">
            <wp:extent cx="6911975" cy="3014345"/>
            <wp:effectExtent l="0" t="0" r="3175" b="14605"/>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4"/>
                    <a:srcRect/>
                    <a:stretch>
                      <a:fillRect/>
                    </a:stretch>
                  </pic:blipFill>
                  <pic:spPr>
                    <a:xfrm>
                      <a:off x="0" y="0"/>
                      <a:ext cx="6911975" cy="3014345"/>
                    </a:xfrm>
                    <a:prstGeom prst="rect">
                      <a:avLst/>
                    </a:prstGeom>
                  </pic:spPr>
                </pic:pic>
              </a:graphicData>
            </a:graphic>
          </wp:inline>
        </w:drawing>
      </w:r>
    </w:p>
    <w:p w14:paraId="646CCBDB">
      <w:pPr>
        <w:pStyle w:val="12"/>
        <w:jc w:val="center"/>
        <w:rPr>
          <w:rFonts w:hint="eastAsia" w:ascii="仿宋_GB2312" w:hAnsi="仿宋_GB2312" w:eastAsia="仿宋_GB2312" w:cs="仿宋_GB2312"/>
          <w:b w:val="0"/>
          <w:bCs w:val="0"/>
          <w:sz w:val="72"/>
          <w:szCs w:val="72"/>
          <w:lang w:eastAsia="zh-CN"/>
        </w:rPr>
      </w:pPr>
    </w:p>
    <w:p w14:paraId="603C04A7">
      <w:pPr>
        <w:pStyle w:val="12"/>
        <w:jc w:val="center"/>
        <w:rPr>
          <w:rFonts w:hint="eastAsia" w:ascii="方正小标宋_GBK" w:hAnsi="方正小标宋_GBK" w:eastAsia="方正小标宋_GBK" w:cs="方正小标宋_GBK"/>
          <w:sz w:val="72"/>
          <w:szCs w:val="72"/>
        </w:rPr>
      </w:pPr>
    </w:p>
    <w:p w14:paraId="7A44A82E">
      <w:pPr>
        <w:pStyle w:val="12"/>
        <w:jc w:val="center"/>
        <w:rPr>
          <w:rFonts w:hint="eastAsia" w:ascii="方正小标宋_GBK" w:hAnsi="方正小标宋_GBK" w:eastAsia="方正小标宋_GBK" w:cs="方正小标宋_GBK"/>
          <w:sz w:val="72"/>
          <w:szCs w:val="72"/>
        </w:rPr>
      </w:pPr>
    </w:p>
    <w:p w14:paraId="06211665">
      <w:pPr>
        <w:pStyle w:val="12"/>
        <w:jc w:val="both"/>
        <w:rPr>
          <w:rFonts w:hint="eastAsia" w:ascii="方正小标宋_GBK" w:hAnsi="方正小标宋_GBK" w:eastAsia="方正小标宋_GBK" w:cs="方正小标宋_GBK"/>
          <w:sz w:val="72"/>
          <w:szCs w:val="72"/>
        </w:rPr>
      </w:pPr>
    </w:p>
    <w:p w14:paraId="7804FBAA">
      <w:pPr>
        <w:pStyle w:val="12"/>
        <w:jc w:val="center"/>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第三部分</w:t>
      </w:r>
    </w:p>
    <w:p w14:paraId="7D53C949">
      <w:pPr>
        <w:pStyle w:val="12"/>
        <w:jc w:val="center"/>
        <w:rPr>
          <w:rFonts w:hint="eastAsia" w:ascii="方正小标宋_GBK" w:hAnsi="方正小标宋_GBK" w:eastAsia="方正小标宋_GBK" w:cs="方正小标宋_GBK"/>
          <w:sz w:val="70"/>
          <w:szCs w:val="70"/>
        </w:rPr>
      </w:pPr>
    </w:p>
    <w:p w14:paraId="4F77A5A6">
      <w:pPr>
        <w:pStyle w:val="12"/>
        <w:jc w:val="center"/>
        <w:rPr>
          <w:rFonts w:hint="eastAsia" w:ascii="方正小标宋_GBK" w:hAnsi="方正小标宋_GBK" w:eastAsia="方正小标宋_GBK" w:cs="方正小标宋_GBK"/>
          <w:sz w:val="70"/>
          <w:szCs w:val="70"/>
        </w:rPr>
      </w:pPr>
      <w:r>
        <w:rPr>
          <w:rFonts w:hint="eastAsia" w:ascii="方正小标宋_GBK" w:hAnsi="方正小标宋_GBK" w:eastAsia="方正小标宋_GBK" w:cs="方正小标宋_GBK"/>
          <w:sz w:val="70"/>
          <w:szCs w:val="70"/>
        </w:rPr>
        <w:t>202</w:t>
      </w:r>
      <w:r>
        <w:rPr>
          <w:rFonts w:hint="eastAsia" w:ascii="方正小标宋_GBK" w:hAnsi="方正小标宋_GBK" w:eastAsia="方正小标宋_GBK" w:cs="方正小标宋_GBK"/>
          <w:sz w:val="70"/>
          <w:szCs w:val="70"/>
          <w:lang w:val="en-US" w:eastAsia="zh-CN"/>
        </w:rPr>
        <w:t>4</w:t>
      </w:r>
      <w:r>
        <w:rPr>
          <w:rFonts w:hint="eastAsia" w:ascii="方正小标宋_GBK" w:hAnsi="方正小标宋_GBK" w:eastAsia="方正小标宋_GBK" w:cs="方正小标宋_GBK"/>
          <w:sz w:val="70"/>
          <w:szCs w:val="70"/>
        </w:rPr>
        <w:t>年度部门决算情况说明</w:t>
      </w:r>
    </w:p>
    <w:p w14:paraId="17862F93">
      <w:pPr>
        <w:pStyle w:val="12"/>
        <w:jc w:val="center"/>
        <w:rPr>
          <w:rFonts w:hint="eastAsia" w:ascii="方正小标宋_GBK" w:hAnsi="方正小标宋_GBK" w:eastAsia="方正小标宋_GBK" w:cs="方正小标宋_GBK"/>
          <w:sz w:val="70"/>
          <w:szCs w:val="70"/>
        </w:rPr>
      </w:pPr>
    </w:p>
    <w:p w14:paraId="6EEC30AB">
      <w:pPr>
        <w:pStyle w:val="12"/>
        <w:jc w:val="center"/>
        <w:rPr>
          <w:rFonts w:hint="eastAsia" w:ascii="方正小标宋_GBK" w:hAnsi="方正小标宋_GBK" w:eastAsia="方正小标宋_GBK" w:cs="方正小标宋_GBK"/>
          <w:sz w:val="70"/>
          <w:szCs w:val="70"/>
        </w:rPr>
      </w:pPr>
    </w:p>
    <w:p w14:paraId="417367C1">
      <w:pPr>
        <w:pStyle w:val="12"/>
        <w:jc w:val="center"/>
        <w:rPr>
          <w:rFonts w:hint="eastAsia" w:ascii="方正小标宋_GBK" w:hAnsi="方正小标宋_GBK" w:eastAsia="方正小标宋_GBK" w:cs="方正小标宋_GBK"/>
          <w:sz w:val="70"/>
          <w:szCs w:val="70"/>
        </w:rPr>
      </w:pPr>
    </w:p>
    <w:p w14:paraId="5EF1049C">
      <w:pPr>
        <w:pStyle w:val="12"/>
        <w:jc w:val="center"/>
        <w:rPr>
          <w:rFonts w:hint="eastAsia" w:ascii="方正小标宋_GBK" w:hAnsi="方正小标宋_GBK" w:eastAsia="方正小标宋_GBK" w:cs="方正小标宋_GBK"/>
          <w:sz w:val="70"/>
          <w:szCs w:val="70"/>
        </w:rPr>
      </w:pPr>
    </w:p>
    <w:p w14:paraId="7E4B3CF9">
      <w:pPr>
        <w:pStyle w:val="12"/>
        <w:jc w:val="center"/>
        <w:rPr>
          <w:rFonts w:hint="eastAsia" w:ascii="方正小标宋_GBK" w:hAnsi="方正小标宋_GBK" w:eastAsia="方正小标宋_GBK" w:cs="方正小标宋_GBK"/>
          <w:sz w:val="70"/>
          <w:szCs w:val="70"/>
        </w:rPr>
      </w:pPr>
    </w:p>
    <w:p w14:paraId="514C0722">
      <w:pPr>
        <w:pStyle w:val="12"/>
        <w:jc w:val="center"/>
        <w:rPr>
          <w:rFonts w:hint="eastAsia" w:ascii="方正小标宋_GBK" w:hAnsi="方正小标宋_GBK" w:eastAsia="方正小标宋_GBK" w:cs="方正小标宋_GBK"/>
          <w:sz w:val="70"/>
          <w:szCs w:val="70"/>
        </w:rPr>
      </w:pPr>
    </w:p>
    <w:p w14:paraId="111D7AB8">
      <w:pPr>
        <w:widowControl/>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说明：</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由于</w:t>
      </w:r>
      <w:r>
        <w:rPr>
          <w:rFonts w:hint="eastAsia" w:ascii="仿宋_GB2312" w:hAnsi="仿宋_GB2312" w:eastAsia="仿宋_GB2312" w:cs="仿宋_GB2312"/>
          <w:sz w:val="32"/>
          <w:szCs w:val="32"/>
          <w:lang w:eastAsia="zh-CN"/>
        </w:rPr>
        <w:t>部门</w:t>
      </w:r>
      <w:r>
        <w:rPr>
          <w:rFonts w:hint="eastAsia" w:ascii="仿宋_GB2312" w:hAnsi="仿宋_GB2312" w:eastAsia="仿宋_GB2312" w:cs="仿宋_GB2312"/>
          <w:sz w:val="32"/>
          <w:szCs w:val="32"/>
        </w:rPr>
        <w:t>决算编制时</w:t>
      </w:r>
      <w:r>
        <w:rPr>
          <w:rFonts w:hint="eastAsia" w:ascii="仿宋_GB2312" w:hAnsi="仿宋_GB2312" w:eastAsia="仿宋_GB2312" w:cs="仿宋_GB2312"/>
          <w:sz w:val="32"/>
          <w:szCs w:val="32"/>
          <w:lang w:eastAsia="zh-CN"/>
        </w:rPr>
        <w:t>数据</w:t>
      </w:r>
      <w:r>
        <w:rPr>
          <w:rFonts w:hint="eastAsia" w:ascii="仿宋_GB2312" w:hAnsi="仿宋_GB2312" w:eastAsia="仿宋_GB2312" w:cs="仿宋_GB2312"/>
          <w:sz w:val="32"/>
          <w:szCs w:val="32"/>
        </w:rPr>
        <w:t>明细</w:t>
      </w:r>
      <w:r>
        <w:rPr>
          <w:rFonts w:hint="eastAsia" w:ascii="仿宋_GB2312" w:hAnsi="仿宋_GB2312" w:eastAsia="仿宋_GB2312" w:cs="仿宋_GB2312"/>
          <w:sz w:val="32"/>
          <w:szCs w:val="32"/>
          <w:lang w:eastAsia="zh-CN"/>
        </w:rPr>
        <w:t>至“金额单位：元</w:t>
      </w:r>
      <w:r>
        <w:rPr>
          <w:rFonts w:hint="eastAsia" w:ascii="仿宋_GB2312" w:hAnsi="仿宋_GB2312" w:eastAsia="仿宋_GB2312" w:cs="仿宋_GB2312"/>
          <w:sz w:val="32"/>
          <w:szCs w:val="32"/>
        </w:rPr>
        <w:t>”，而</w:t>
      </w:r>
      <w:r>
        <w:rPr>
          <w:rFonts w:hint="eastAsia" w:ascii="仿宋_GB2312" w:hAnsi="仿宋_GB2312" w:eastAsia="仿宋_GB2312" w:cs="仿宋_GB2312"/>
          <w:sz w:val="32"/>
          <w:szCs w:val="32"/>
          <w:lang w:eastAsia="zh-CN"/>
        </w:rPr>
        <w:t>本套部门决算文字说明</w:t>
      </w:r>
      <w:r>
        <w:rPr>
          <w:rFonts w:hint="eastAsia" w:ascii="仿宋_GB2312" w:hAnsi="仿宋_GB2312" w:eastAsia="仿宋_GB2312" w:cs="仿宋_GB2312"/>
          <w:sz w:val="32"/>
          <w:szCs w:val="32"/>
        </w:rPr>
        <w:t>和公开表格</w:t>
      </w:r>
      <w:r>
        <w:rPr>
          <w:rFonts w:hint="eastAsia" w:ascii="仿宋_GB2312" w:hAnsi="仿宋_GB2312" w:eastAsia="仿宋_GB2312" w:cs="仿宋_GB2312"/>
          <w:sz w:val="32"/>
          <w:szCs w:val="32"/>
          <w:lang w:eastAsia="zh-CN"/>
        </w:rPr>
        <w:t>数据</w:t>
      </w:r>
      <w:r>
        <w:rPr>
          <w:rFonts w:hint="eastAsia" w:ascii="仿宋_GB2312" w:hAnsi="仿宋_GB2312" w:eastAsia="仿宋_GB2312" w:cs="仿宋_GB2312"/>
          <w:sz w:val="32"/>
          <w:szCs w:val="32"/>
        </w:rPr>
        <w:t>取数</w:t>
      </w:r>
      <w:r>
        <w:rPr>
          <w:rFonts w:hint="eastAsia" w:ascii="仿宋_GB2312" w:hAnsi="仿宋_GB2312" w:eastAsia="仿宋_GB2312" w:cs="仿宋_GB2312"/>
          <w:sz w:val="32"/>
          <w:szCs w:val="32"/>
          <w:lang w:eastAsia="zh-CN"/>
        </w:rPr>
        <w:t>转换为</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金额单位：</w:t>
      </w:r>
      <w:r>
        <w:rPr>
          <w:rFonts w:hint="eastAsia" w:ascii="仿宋_GB2312" w:hAnsi="仿宋_GB2312" w:eastAsia="仿宋_GB2312" w:cs="仿宋_GB2312"/>
          <w:sz w:val="32"/>
          <w:szCs w:val="32"/>
        </w:rPr>
        <w:t>万元”，可能导致</w:t>
      </w:r>
      <w:r>
        <w:rPr>
          <w:rFonts w:hint="eastAsia" w:ascii="仿宋_GB2312" w:hAnsi="仿宋_GB2312" w:eastAsia="仿宋_GB2312" w:cs="仿宋_GB2312"/>
          <w:sz w:val="32"/>
          <w:szCs w:val="32"/>
          <w:lang w:eastAsia="zh-CN"/>
        </w:rPr>
        <w:t>以下文字说明中的各项数据取数以及公开</w:t>
      </w:r>
      <w:r>
        <w:rPr>
          <w:rFonts w:hint="eastAsia" w:ascii="仿宋_GB2312" w:hAnsi="仿宋_GB2312" w:eastAsia="仿宋_GB2312" w:cs="仿宋_GB2312"/>
          <w:sz w:val="32"/>
          <w:szCs w:val="32"/>
        </w:rPr>
        <w:t>表格</w:t>
      </w:r>
      <w:r>
        <w:rPr>
          <w:rFonts w:hint="eastAsia" w:ascii="仿宋_GB2312" w:hAnsi="仿宋_GB2312" w:eastAsia="仿宋_GB2312" w:cs="仿宋_GB2312"/>
          <w:sz w:val="32"/>
          <w:szCs w:val="32"/>
          <w:lang w:eastAsia="zh-CN"/>
        </w:rPr>
        <w:t>中的各项数据取数之间存在</w:t>
      </w:r>
      <w:r>
        <w:rPr>
          <w:rFonts w:hint="eastAsia" w:ascii="仿宋_GB2312" w:hAnsi="仿宋_GB2312" w:eastAsia="仿宋_GB2312" w:cs="仿宋_GB2312"/>
          <w:sz w:val="32"/>
          <w:szCs w:val="32"/>
        </w:rPr>
        <w:t>0.01的尾数差异。</w:t>
      </w:r>
      <w:r>
        <w:rPr>
          <w:rFonts w:hint="eastAsia" w:ascii="仿宋_GB2312" w:hAnsi="仿宋_GB2312" w:eastAsia="仿宋_GB2312" w:cs="仿宋_GB2312"/>
          <w:sz w:val="32"/>
          <w:szCs w:val="32"/>
          <w:lang w:val="en-US" w:eastAsia="zh-CN"/>
        </w:rPr>
        <w:t>2、以下文字说明中，部分科目由于预算数为0，无法计算完成年初预算的百分比，故未描述“</w:t>
      </w:r>
      <w:r>
        <w:rPr>
          <w:rFonts w:hint="eastAsia" w:ascii="仿宋_GB2312" w:hAnsi="仿宋_GB2312" w:eastAsia="仿宋_GB2312" w:cs="仿宋_GB2312"/>
          <w:sz w:val="32"/>
          <w:szCs w:val="32"/>
        </w:rPr>
        <w:t>完成年初预算的XX%</w:t>
      </w:r>
      <w:r>
        <w:rPr>
          <w:rFonts w:hint="eastAsia" w:ascii="仿宋_GB2312" w:hAnsi="仿宋_GB2312" w:eastAsia="仿宋_GB2312" w:cs="仿宋_GB2312"/>
          <w:sz w:val="32"/>
          <w:szCs w:val="32"/>
          <w:lang w:val="en-US" w:eastAsia="zh-CN"/>
        </w:rPr>
        <w:t>”。</w:t>
      </w:r>
      <w:r>
        <w:rPr>
          <w:rFonts w:hint="eastAsia" w:ascii="仿宋_GB2312" w:hAnsi="仿宋_GB2312" w:eastAsia="仿宋_GB2312" w:cs="仿宋_GB2312"/>
          <w:sz w:val="32"/>
          <w:szCs w:val="32"/>
        </w:rPr>
        <w:t>）</w:t>
      </w:r>
    </w:p>
    <w:p w14:paraId="2411C081">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一、收入支出决算总体情况说明</w:t>
      </w:r>
    </w:p>
    <w:p w14:paraId="4E3344DE">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年度收、支总计</w:t>
      </w:r>
      <w:r>
        <w:rPr>
          <w:rFonts w:hint="eastAsia" w:ascii="仿宋_GB2312" w:hAnsi="仿宋_GB2312" w:eastAsia="仿宋_GB2312" w:cs="仿宋_GB2312"/>
          <w:sz w:val="32"/>
          <w:szCs w:val="32"/>
          <w:lang w:val="en-US" w:eastAsia="zh-CN"/>
        </w:rPr>
        <w:t>382.3</w:t>
      </w:r>
      <w:r>
        <w:rPr>
          <w:rFonts w:hint="eastAsia" w:ascii="仿宋_GB2312" w:hAnsi="仿宋_GB2312" w:eastAsia="仿宋_GB2312" w:cs="仿宋_GB2312"/>
          <w:sz w:val="32"/>
          <w:szCs w:val="32"/>
        </w:rPr>
        <w:t>万元。与上年</w:t>
      </w:r>
      <w:r>
        <w:rPr>
          <w:rFonts w:hint="eastAsia" w:ascii="仿宋_GB2312" w:hAnsi="仿宋_GB2312" w:eastAsia="仿宋_GB2312" w:cs="仿宋_GB2312"/>
          <w:sz w:val="32"/>
          <w:szCs w:val="32"/>
          <w:lang w:val="en-US" w:eastAsia="zh-CN"/>
        </w:rPr>
        <w:t>335.01万元</w:t>
      </w:r>
      <w:r>
        <w:rPr>
          <w:rFonts w:hint="eastAsia" w:ascii="仿宋_GB2312" w:hAnsi="仿宋_GB2312" w:eastAsia="仿宋_GB2312" w:cs="仿宋_GB2312"/>
          <w:sz w:val="32"/>
          <w:szCs w:val="32"/>
        </w:rPr>
        <w:t>相比，增加</w:t>
      </w:r>
      <w:r>
        <w:rPr>
          <w:rFonts w:hint="eastAsia" w:ascii="仿宋_GB2312" w:hAnsi="仿宋_GB2312" w:eastAsia="仿宋_GB2312" w:cs="仿宋_GB2312"/>
          <w:sz w:val="32"/>
          <w:szCs w:val="32"/>
          <w:lang w:val="en-US" w:eastAsia="zh-CN"/>
        </w:rPr>
        <w:t>47.29</w:t>
      </w:r>
      <w:r>
        <w:rPr>
          <w:rFonts w:hint="eastAsia" w:ascii="仿宋_GB2312" w:hAnsi="仿宋_GB2312" w:eastAsia="仿宋_GB2312" w:cs="仿宋_GB2312"/>
          <w:sz w:val="32"/>
          <w:szCs w:val="32"/>
        </w:rPr>
        <w:t>万元，增长</w:t>
      </w:r>
      <w:r>
        <w:rPr>
          <w:rFonts w:hint="eastAsia" w:ascii="仿宋_GB2312" w:hAnsi="仿宋_GB2312" w:eastAsia="仿宋_GB2312" w:cs="仿宋_GB2312"/>
          <w:sz w:val="32"/>
          <w:szCs w:val="32"/>
          <w:lang w:val="en-US" w:eastAsia="zh-CN"/>
        </w:rPr>
        <w:t>14</w:t>
      </w:r>
      <w:r>
        <w:rPr>
          <w:rFonts w:hint="eastAsia" w:ascii="仿宋_GB2312" w:hAnsi="仿宋_GB2312" w:eastAsia="仿宋_GB2312" w:cs="仿宋_GB2312"/>
          <w:sz w:val="32"/>
          <w:szCs w:val="32"/>
        </w:rPr>
        <w:t>%，主要是因为</w:t>
      </w:r>
      <w:r>
        <w:rPr>
          <w:rFonts w:hint="eastAsia" w:ascii="仿宋_GB2312" w:hAnsi="仿宋_GB2312" w:eastAsia="仿宋_GB2312" w:cs="仿宋_GB2312"/>
          <w:sz w:val="32"/>
          <w:szCs w:val="32"/>
          <w:lang w:val="en-US" w:eastAsia="zh-CN"/>
        </w:rPr>
        <w:t>人员经费的增加。</w:t>
      </w:r>
    </w:p>
    <w:p w14:paraId="298DD613">
      <w:pPr>
        <w:pStyle w:val="12"/>
        <w:keepNext w:val="0"/>
        <w:keepLines w:val="0"/>
        <w:pageBreakBefore w:val="0"/>
        <w:widowControl w:val="0"/>
        <w:numPr>
          <w:ilvl w:val="0"/>
          <w:numId w:val="1"/>
        </w:numPr>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sz w:val="32"/>
          <w:szCs w:val="32"/>
        </w:rPr>
      </w:pPr>
      <w:r>
        <w:rPr>
          <w:rFonts w:hint="eastAsia" w:ascii="黑体" w:hAnsi="黑体" w:eastAsia="黑体" w:cs="黑体"/>
          <w:b w:val="0"/>
          <w:bCs/>
          <w:sz w:val="32"/>
          <w:szCs w:val="32"/>
        </w:rPr>
        <w:t>收入决算情况说明</w:t>
      </w:r>
    </w:p>
    <w:p w14:paraId="47D45DF3">
      <w:pPr>
        <w:pStyle w:val="12"/>
        <w:keepNext w:val="0"/>
        <w:keepLines w:val="0"/>
        <w:pageBreakBefore w:val="0"/>
        <w:widowControl w:val="0"/>
        <w:numPr>
          <w:ilvl w:val="0"/>
          <w:numId w:val="0"/>
        </w:numPr>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年度收入合计</w:t>
      </w:r>
      <w:r>
        <w:rPr>
          <w:rFonts w:hint="eastAsia" w:ascii="仿宋_GB2312" w:hAnsi="仿宋_GB2312" w:eastAsia="仿宋_GB2312" w:cs="仿宋_GB2312"/>
          <w:sz w:val="32"/>
          <w:szCs w:val="32"/>
          <w:lang w:val="en-US" w:eastAsia="zh-CN"/>
        </w:rPr>
        <w:t>382.3</w:t>
      </w:r>
      <w:r>
        <w:rPr>
          <w:rFonts w:hint="eastAsia" w:ascii="仿宋_GB2312" w:hAnsi="仿宋_GB2312" w:eastAsia="仿宋_GB2312" w:cs="仿宋_GB2312"/>
          <w:sz w:val="32"/>
          <w:szCs w:val="32"/>
        </w:rPr>
        <w:t>万元，其中：财政拨款收入</w:t>
      </w:r>
      <w:r>
        <w:rPr>
          <w:rFonts w:hint="eastAsia" w:ascii="仿宋_GB2312" w:hAnsi="仿宋_GB2312" w:eastAsia="仿宋_GB2312" w:cs="仿宋_GB2312"/>
          <w:sz w:val="32"/>
          <w:szCs w:val="32"/>
          <w:lang w:val="en-US" w:eastAsia="zh-CN"/>
        </w:rPr>
        <w:t>372.3</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97</w:t>
      </w:r>
      <w:r>
        <w:rPr>
          <w:rFonts w:hint="eastAsia" w:ascii="仿宋_GB2312" w:hAnsi="仿宋_GB2312" w:eastAsia="仿宋_GB2312" w:cs="仿宋_GB2312"/>
          <w:sz w:val="32"/>
          <w:szCs w:val="32"/>
        </w:rPr>
        <w:t>%；上级补助收入</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%；事业收入</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%；经营收入</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%；附属单位上缴收入</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%；其他收入</w:t>
      </w: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w:t>
      </w:r>
    </w:p>
    <w:p w14:paraId="2D1A2B4D">
      <w:pPr>
        <w:pStyle w:val="12"/>
        <w:keepNext w:val="0"/>
        <w:keepLines w:val="0"/>
        <w:pageBreakBefore w:val="0"/>
        <w:widowControl w:val="0"/>
        <w:numPr>
          <w:ilvl w:val="0"/>
          <w:numId w:val="1"/>
        </w:numPr>
        <w:kinsoku/>
        <w:wordWrap/>
        <w:overflowPunct/>
        <w:topLinePunct w:val="0"/>
        <w:bidi w:val="0"/>
        <w:snapToGrid/>
        <w:spacing w:line="600" w:lineRule="exact"/>
        <w:ind w:left="0" w:leftChars="0"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支出决算情况说明</w:t>
      </w:r>
    </w:p>
    <w:p w14:paraId="6187E906">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年度支出合计</w:t>
      </w:r>
      <w:r>
        <w:rPr>
          <w:rFonts w:hint="eastAsia" w:ascii="仿宋_GB2312" w:hAnsi="仿宋_GB2312" w:eastAsia="仿宋_GB2312" w:cs="仿宋_GB2312"/>
          <w:sz w:val="32"/>
          <w:szCs w:val="32"/>
          <w:lang w:val="en-US" w:eastAsia="zh-CN"/>
        </w:rPr>
        <w:t>382.3</w:t>
      </w:r>
      <w:r>
        <w:rPr>
          <w:rFonts w:hint="eastAsia" w:ascii="仿宋_GB2312" w:hAnsi="仿宋_GB2312" w:eastAsia="仿宋_GB2312" w:cs="仿宋_GB2312"/>
          <w:sz w:val="32"/>
          <w:szCs w:val="32"/>
        </w:rPr>
        <w:t>万元，其中：基本支出</w:t>
      </w:r>
      <w:r>
        <w:rPr>
          <w:rFonts w:hint="eastAsia" w:ascii="仿宋_GB2312" w:hAnsi="仿宋_GB2312" w:eastAsia="仿宋_GB2312" w:cs="仿宋_GB2312"/>
          <w:sz w:val="32"/>
          <w:szCs w:val="32"/>
          <w:lang w:val="en-US" w:eastAsia="zh-CN"/>
        </w:rPr>
        <w:t>198.62</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51</w:t>
      </w:r>
      <w:r>
        <w:rPr>
          <w:rFonts w:hint="eastAsia" w:ascii="仿宋_GB2312" w:hAnsi="仿宋_GB2312" w:eastAsia="仿宋_GB2312" w:cs="仿宋_GB2312"/>
          <w:sz w:val="32"/>
          <w:szCs w:val="32"/>
        </w:rPr>
        <w:t>%；项目支出</w:t>
      </w:r>
      <w:r>
        <w:rPr>
          <w:rFonts w:hint="eastAsia" w:ascii="仿宋_GB2312" w:hAnsi="仿宋_GB2312" w:eastAsia="仿宋_GB2312" w:cs="仿宋_GB2312"/>
          <w:sz w:val="32"/>
          <w:szCs w:val="32"/>
          <w:lang w:val="en-US" w:eastAsia="zh-CN"/>
        </w:rPr>
        <w:t>183.68</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49</w:t>
      </w:r>
      <w:r>
        <w:rPr>
          <w:rFonts w:hint="eastAsia" w:ascii="仿宋_GB2312" w:hAnsi="仿宋_GB2312" w:eastAsia="仿宋_GB2312" w:cs="仿宋_GB2312"/>
          <w:sz w:val="32"/>
          <w:szCs w:val="32"/>
        </w:rPr>
        <w:t>%；上缴上级支出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%；经营支出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%；对附属单位补助支出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w:t>
      </w:r>
    </w:p>
    <w:p w14:paraId="69857526">
      <w:pPr>
        <w:pStyle w:val="12"/>
        <w:keepNext w:val="0"/>
        <w:keepLines w:val="0"/>
        <w:pageBreakBefore w:val="0"/>
        <w:widowControl w:val="0"/>
        <w:numPr>
          <w:ilvl w:val="0"/>
          <w:numId w:val="0"/>
        </w:numPr>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hAnsi="黑体" w:cs="黑体"/>
          <w:b w:val="0"/>
          <w:bCs/>
          <w:sz w:val="32"/>
          <w:szCs w:val="32"/>
          <w:lang w:val="en-US" w:eastAsia="zh-CN"/>
        </w:rPr>
        <w:t>四、</w:t>
      </w:r>
      <w:r>
        <w:rPr>
          <w:rFonts w:hint="eastAsia" w:ascii="黑体" w:hAnsi="黑体" w:eastAsia="黑体" w:cs="黑体"/>
          <w:b w:val="0"/>
          <w:bCs/>
          <w:sz w:val="32"/>
          <w:szCs w:val="32"/>
        </w:rPr>
        <w:t>财政拨款收入支出决算总体情况说明</w:t>
      </w:r>
    </w:p>
    <w:p w14:paraId="1361E062">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年度财政拨款收、支总计</w:t>
      </w:r>
      <w:r>
        <w:rPr>
          <w:rFonts w:hint="eastAsia" w:ascii="仿宋_GB2312" w:hAnsi="仿宋_GB2312" w:eastAsia="仿宋_GB2312" w:cs="仿宋_GB2312"/>
          <w:sz w:val="32"/>
          <w:szCs w:val="32"/>
          <w:lang w:val="en-US" w:eastAsia="zh-CN"/>
        </w:rPr>
        <w:t>372.3</w:t>
      </w:r>
      <w:r>
        <w:rPr>
          <w:rFonts w:hint="eastAsia" w:ascii="仿宋_GB2312" w:hAnsi="仿宋_GB2312" w:eastAsia="仿宋_GB2312" w:cs="仿宋_GB2312"/>
          <w:sz w:val="32"/>
          <w:szCs w:val="32"/>
        </w:rPr>
        <w:t>万元，与上年</w:t>
      </w:r>
      <w:r>
        <w:rPr>
          <w:rFonts w:hint="eastAsia" w:ascii="仿宋_GB2312" w:hAnsi="仿宋_GB2312" w:eastAsia="仿宋_GB2312" w:cs="仿宋_GB2312"/>
          <w:sz w:val="32"/>
          <w:szCs w:val="32"/>
          <w:lang w:val="en-US" w:eastAsia="zh-CN"/>
        </w:rPr>
        <w:t>334.15万元</w:t>
      </w:r>
      <w:r>
        <w:rPr>
          <w:rFonts w:hint="eastAsia" w:ascii="仿宋_GB2312" w:hAnsi="仿宋_GB2312" w:eastAsia="仿宋_GB2312" w:cs="仿宋_GB2312"/>
          <w:sz w:val="32"/>
          <w:szCs w:val="32"/>
        </w:rPr>
        <w:t>相比，增加</w:t>
      </w:r>
      <w:r>
        <w:rPr>
          <w:rFonts w:hint="eastAsia" w:ascii="仿宋_GB2312" w:hAnsi="仿宋_GB2312" w:eastAsia="仿宋_GB2312" w:cs="仿宋_GB2312"/>
          <w:sz w:val="32"/>
          <w:szCs w:val="32"/>
          <w:lang w:val="en-US" w:eastAsia="zh-CN"/>
        </w:rPr>
        <w:t>38.15</w:t>
      </w:r>
      <w:r>
        <w:rPr>
          <w:rFonts w:hint="eastAsia" w:ascii="仿宋_GB2312" w:hAnsi="仿宋_GB2312" w:eastAsia="仿宋_GB2312" w:cs="仿宋_GB2312"/>
          <w:sz w:val="32"/>
          <w:szCs w:val="32"/>
        </w:rPr>
        <w:t>万元,增长</w:t>
      </w: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%，主要是因为</w:t>
      </w:r>
      <w:r>
        <w:rPr>
          <w:rFonts w:hint="eastAsia" w:ascii="仿宋_GB2312" w:hAnsi="仿宋_GB2312" w:eastAsia="仿宋_GB2312" w:cs="仿宋_GB2312"/>
          <w:sz w:val="32"/>
          <w:szCs w:val="32"/>
          <w:lang w:val="en-US" w:eastAsia="zh-CN"/>
        </w:rPr>
        <w:t>人员经费增加。</w:t>
      </w:r>
    </w:p>
    <w:p w14:paraId="4BB30A62">
      <w:pPr>
        <w:widowControl w:val="0"/>
        <w:autoSpaceDE w:val="0"/>
        <w:autoSpaceDN w:val="0"/>
        <w:adjustRightInd w:val="0"/>
        <w:ind w:firstLine="640" w:firstLineChars="200"/>
        <w:rPr>
          <w:rFonts w:hint="eastAsia" w:ascii="黑体" w:hAnsi="黑体" w:eastAsia="黑体" w:cs="黑体"/>
          <w:b w:val="0"/>
          <w:bCs/>
          <w:sz w:val="32"/>
          <w:szCs w:val="32"/>
        </w:rPr>
      </w:pPr>
      <w:r>
        <w:rPr>
          <w:rFonts w:hint="eastAsia" w:ascii="黑体" w:hAnsi="黑体" w:eastAsia="黑体" w:cs="黑体"/>
          <w:b w:val="0"/>
          <w:bCs/>
          <w:sz w:val="32"/>
          <w:szCs w:val="32"/>
        </w:rPr>
        <w:t>五、一般公共预算财政拨款支出决算情况说明</w:t>
      </w:r>
    </w:p>
    <w:p w14:paraId="60232831">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（一）一般公共预算财政拨款支出决算总体情况</w:t>
      </w:r>
    </w:p>
    <w:p w14:paraId="79386A49">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年度财政拨款支出</w:t>
      </w:r>
      <w:r>
        <w:rPr>
          <w:rFonts w:hint="eastAsia" w:ascii="仿宋_GB2312" w:hAnsi="仿宋_GB2312" w:eastAsia="仿宋_GB2312" w:cs="仿宋_GB2312"/>
          <w:sz w:val="32"/>
          <w:szCs w:val="32"/>
          <w:lang w:val="en-US" w:eastAsia="zh-CN"/>
        </w:rPr>
        <w:t>372.3</w:t>
      </w:r>
      <w:r>
        <w:rPr>
          <w:rFonts w:hint="eastAsia" w:ascii="仿宋_GB2312" w:hAnsi="仿宋_GB2312" w:eastAsia="仿宋_GB2312" w:cs="仿宋_GB2312"/>
          <w:sz w:val="32"/>
          <w:szCs w:val="32"/>
        </w:rPr>
        <w:t>万元，占本年支出合计的</w:t>
      </w:r>
      <w:r>
        <w:rPr>
          <w:rFonts w:hint="eastAsia" w:ascii="仿宋_GB2312" w:hAnsi="仿宋_GB2312" w:eastAsia="仿宋_GB2312" w:cs="仿宋_GB2312"/>
          <w:sz w:val="32"/>
          <w:szCs w:val="32"/>
          <w:lang w:val="en-US" w:eastAsia="zh-CN"/>
        </w:rPr>
        <w:t>97</w:t>
      </w:r>
      <w:r>
        <w:rPr>
          <w:rFonts w:hint="eastAsia" w:ascii="仿宋_GB2312" w:hAnsi="仿宋_GB2312" w:eastAsia="仿宋_GB2312" w:cs="仿宋_GB2312"/>
          <w:sz w:val="32"/>
          <w:szCs w:val="32"/>
        </w:rPr>
        <w:t>%，与上年</w:t>
      </w:r>
      <w:r>
        <w:rPr>
          <w:rFonts w:hint="eastAsia" w:ascii="仿宋_GB2312" w:hAnsi="仿宋_GB2312" w:eastAsia="仿宋_GB2312" w:cs="仿宋_GB2312"/>
          <w:sz w:val="32"/>
          <w:szCs w:val="32"/>
          <w:lang w:val="en-US" w:eastAsia="zh-CN"/>
        </w:rPr>
        <w:t>334.15万元</w:t>
      </w:r>
      <w:r>
        <w:rPr>
          <w:rFonts w:hint="eastAsia" w:ascii="仿宋_GB2312" w:hAnsi="仿宋_GB2312" w:eastAsia="仿宋_GB2312" w:cs="仿宋_GB2312"/>
          <w:sz w:val="32"/>
          <w:szCs w:val="32"/>
        </w:rPr>
        <w:t>相比，财政拨款支出增加</w:t>
      </w:r>
      <w:r>
        <w:rPr>
          <w:rFonts w:hint="eastAsia" w:ascii="仿宋_GB2312" w:hAnsi="仿宋_GB2312" w:eastAsia="仿宋_GB2312" w:cs="仿宋_GB2312"/>
          <w:sz w:val="32"/>
          <w:szCs w:val="32"/>
          <w:lang w:val="en-US" w:eastAsia="zh-CN"/>
        </w:rPr>
        <w:t>38.15</w:t>
      </w:r>
      <w:r>
        <w:rPr>
          <w:rFonts w:hint="eastAsia" w:ascii="仿宋_GB2312" w:hAnsi="仿宋_GB2312" w:eastAsia="仿宋_GB2312" w:cs="仿宋_GB2312"/>
          <w:sz w:val="32"/>
          <w:szCs w:val="32"/>
        </w:rPr>
        <w:t>万元，增长</w:t>
      </w: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%，主要是因为</w:t>
      </w:r>
      <w:r>
        <w:rPr>
          <w:rFonts w:hint="eastAsia" w:ascii="仿宋_GB2312" w:hAnsi="仿宋_GB2312" w:eastAsia="仿宋_GB2312" w:cs="仿宋_GB2312"/>
          <w:sz w:val="32"/>
          <w:szCs w:val="32"/>
          <w:lang w:val="en-US" w:eastAsia="zh-CN"/>
        </w:rPr>
        <w:t>人员经费的增加。</w:t>
      </w:r>
    </w:p>
    <w:p w14:paraId="04A86D3F">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b w:val="0"/>
          <w:bCs/>
          <w:sz w:val="32"/>
          <w:szCs w:val="32"/>
        </w:rPr>
      </w:pPr>
    </w:p>
    <w:p w14:paraId="66C54C85">
      <w:pPr>
        <w:pStyle w:val="12"/>
        <w:keepNext w:val="0"/>
        <w:keepLines w:val="0"/>
        <w:pageBreakBefore w:val="0"/>
        <w:widowControl w:val="0"/>
        <w:numPr>
          <w:ilvl w:val="0"/>
          <w:numId w:val="0"/>
        </w:numPr>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w:t>
      </w:r>
      <w:r>
        <w:rPr>
          <w:rFonts w:hint="eastAsia" w:ascii="仿宋_GB2312" w:hAnsi="仿宋_GB2312" w:eastAsia="仿宋_GB2312" w:cs="仿宋_GB2312"/>
          <w:b w:val="0"/>
          <w:bCs/>
          <w:sz w:val="32"/>
          <w:szCs w:val="32"/>
          <w:lang w:val="en-US" w:eastAsia="zh-CN"/>
        </w:rPr>
        <w:t>二</w:t>
      </w:r>
      <w:r>
        <w:rPr>
          <w:rFonts w:hint="eastAsia" w:ascii="仿宋_GB2312" w:hAnsi="仿宋_GB2312" w:eastAsia="仿宋_GB2312" w:cs="仿宋_GB2312"/>
          <w:b w:val="0"/>
          <w:bCs/>
          <w:sz w:val="32"/>
          <w:szCs w:val="32"/>
        </w:rPr>
        <w:t>）一般公共预算财政拨款支出决算结构情况</w:t>
      </w:r>
    </w:p>
    <w:p w14:paraId="100B560A">
      <w:pPr>
        <w:pStyle w:val="12"/>
        <w:keepNext w:val="0"/>
        <w:keepLines w:val="0"/>
        <w:pageBreakBefore w:val="0"/>
        <w:widowControl w:val="0"/>
        <w:numPr>
          <w:ilvl w:val="0"/>
          <w:numId w:val="0"/>
        </w:numPr>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t>202</w:t>
      </w:r>
      <w:r>
        <w:rPr>
          <w:rFonts w:hint="eastAsia" w:ascii="仿宋_GB2312" w:hAnsi="仿宋_GB2312" w:eastAsia="仿宋_GB2312" w:cs="仿宋_GB2312"/>
          <w:sz w:val="32"/>
          <w:szCs w:val="32"/>
          <w:highlight w:val="none"/>
          <w:lang w:val="en-US" w:eastAsia="zh-CN"/>
        </w:rPr>
        <w:t>4</w:t>
      </w:r>
      <w:r>
        <w:rPr>
          <w:rFonts w:hint="eastAsia" w:ascii="仿宋_GB2312" w:hAnsi="仿宋_GB2312" w:eastAsia="仿宋_GB2312" w:cs="仿宋_GB2312"/>
          <w:sz w:val="32"/>
          <w:szCs w:val="32"/>
          <w:highlight w:val="none"/>
        </w:rPr>
        <w:t>年度财政拨款支出</w:t>
      </w:r>
      <w:r>
        <w:rPr>
          <w:rFonts w:hint="eastAsia" w:ascii="仿宋_GB2312" w:hAnsi="仿宋_GB2312" w:eastAsia="仿宋_GB2312" w:cs="仿宋_GB2312"/>
          <w:sz w:val="32"/>
          <w:szCs w:val="32"/>
          <w:highlight w:val="none"/>
          <w:lang w:val="en-US" w:eastAsia="zh-CN"/>
        </w:rPr>
        <w:t>372.3</w:t>
      </w:r>
      <w:r>
        <w:rPr>
          <w:rFonts w:hint="eastAsia" w:ascii="仿宋_GB2312" w:hAnsi="仿宋_GB2312" w:eastAsia="仿宋_GB2312" w:cs="仿宋_GB2312"/>
          <w:sz w:val="32"/>
          <w:szCs w:val="32"/>
          <w:highlight w:val="none"/>
        </w:rPr>
        <w:t>万元，主要用于以下方面：</w:t>
      </w:r>
      <w:r>
        <w:rPr>
          <w:rFonts w:hint="eastAsia" w:ascii="仿宋_GB2312" w:hAnsi="仿宋_GB2312" w:eastAsia="仿宋_GB2312" w:cs="仿宋_GB2312"/>
          <w:sz w:val="32"/>
          <w:szCs w:val="32"/>
          <w:highlight w:val="none"/>
          <w:lang w:val="en-US" w:eastAsia="zh-CN"/>
        </w:rPr>
        <w:t>文化旅游体育与传媒支出（类）330.58万元，占88.79%，社会保障和就业支出（类）22.53万元，占6.05%，卫生健康支出（类）6.71万元，占1.8%，住房保障支出（类）12.48万元，占3.36%。</w:t>
      </w:r>
    </w:p>
    <w:p w14:paraId="5CDBADF9">
      <w:pPr>
        <w:pStyle w:val="12"/>
        <w:keepNext w:val="0"/>
        <w:keepLines w:val="0"/>
        <w:pageBreakBefore w:val="0"/>
        <w:widowControl w:val="0"/>
        <w:numPr>
          <w:ilvl w:val="0"/>
          <w:numId w:val="0"/>
        </w:numPr>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lang w:eastAsia="zh-CN"/>
        </w:rPr>
        <w:t>（</w:t>
      </w:r>
      <w:r>
        <w:rPr>
          <w:rFonts w:hint="eastAsia" w:ascii="仿宋_GB2312" w:hAnsi="仿宋_GB2312" w:eastAsia="仿宋_GB2312" w:cs="仿宋_GB2312"/>
          <w:b w:val="0"/>
          <w:bCs/>
          <w:sz w:val="32"/>
          <w:szCs w:val="32"/>
          <w:lang w:val="en-US" w:eastAsia="zh-CN"/>
        </w:rPr>
        <w:t>三）</w:t>
      </w:r>
      <w:r>
        <w:rPr>
          <w:rFonts w:hint="eastAsia" w:ascii="仿宋_GB2312" w:hAnsi="仿宋_GB2312" w:eastAsia="仿宋_GB2312" w:cs="仿宋_GB2312"/>
          <w:b w:val="0"/>
          <w:bCs/>
          <w:sz w:val="32"/>
          <w:szCs w:val="32"/>
        </w:rPr>
        <w:t>一般公共预算财政拨款支出决算具体情况</w:t>
      </w:r>
    </w:p>
    <w:p w14:paraId="349DB9C4">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年度财政拨款支出年初预算数为</w:t>
      </w:r>
      <w:r>
        <w:rPr>
          <w:rFonts w:hint="eastAsia" w:ascii="仿宋_GB2312" w:hAnsi="仿宋_GB2312" w:eastAsia="仿宋_GB2312" w:cs="仿宋_GB2312"/>
          <w:sz w:val="32"/>
          <w:szCs w:val="32"/>
          <w:lang w:val="en-US" w:eastAsia="zh-CN"/>
        </w:rPr>
        <w:t>180.48</w:t>
      </w:r>
      <w:r>
        <w:rPr>
          <w:rFonts w:hint="eastAsia" w:ascii="仿宋_GB2312" w:hAnsi="仿宋_GB2312" w:eastAsia="仿宋_GB2312" w:cs="仿宋_GB2312"/>
          <w:sz w:val="32"/>
          <w:szCs w:val="32"/>
        </w:rPr>
        <w:t>万元，支出决算数为</w:t>
      </w:r>
      <w:r>
        <w:rPr>
          <w:rFonts w:hint="eastAsia" w:ascii="仿宋_GB2312" w:hAnsi="仿宋_GB2312" w:eastAsia="仿宋_GB2312" w:cs="仿宋_GB2312"/>
          <w:sz w:val="32"/>
          <w:szCs w:val="32"/>
          <w:lang w:val="en-US" w:eastAsia="zh-CN"/>
        </w:rPr>
        <w:t>372.3</w:t>
      </w:r>
      <w:r>
        <w:rPr>
          <w:rFonts w:hint="eastAsia" w:ascii="仿宋_GB2312" w:hAnsi="仿宋_GB2312" w:eastAsia="仿宋_GB2312" w:cs="仿宋_GB2312"/>
          <w:sz w:val="32"/>
          <w:szCs w:val="32"/>
        </w:rPr>
        <w:t>万元，完成年初预算的</w:t>
      </w:r>
      <w:r>
        <w:rPr>
          <w:rFonts w:hint="eastAsia" w:ascii="仿宋_GB2312" w:hAnsi="仿宋_GB2312" w:eastAsia="仿宋_GB2312" w:cs="仿宋_GB2312"/>
          <w:sz w:val="32"/>
          <w:szCs w:val="32"/>
          <w:lang w:val="en-US" w:eastAsia="zh-CN"/>
        </w:rPr>
        <w:t>206</w:t>
      </w:r>
      <w:r>
        <w:rPr>
          <w:rFonts w:hint="eastAsia" w:ascii="仿宋_GB2312" w:hAnsi="仿宋_GB2312" w:eastAsia="仿宋_GB2312" w:cs="仿宋_GB2312"/>
          <w:sz w:val="32"/>
          <w:szCs w:val="32"/>
        </w:rPr>
        <w:t>%，其中：</w:t>
      </w:r>
    </w:p>
    <w:p w14:paraId="403538DF">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val="en-US" w:eastAsia="zh-CN"/>
        </w:rPr>
        <w:t>文化旅游体育与传媒支出</w:t>
      </w:r>
      <w:r>
        <w:rPr>
          <w:rFonts w:hint="eastAsia" w:ascii="仿宋_GB2312" w:hAnsi="仿宋_GB2312" w:eastAsia="仿宋_GB2312" w:cs="仿宋_GB2312"/>
          <w:sz w:val="32"/>
          <w:szCs w:val="32"/>
        </w:rPr>
        <w:t>（类）</w:t>
      </w:r>
      <w:r>
        <w:rPr>
          <w:rFonts w:hint="eastAsia" w:ascii="仿宋_GB2312" w:hAnsi="仿宋_GB2312" w:eastAsia="仿宋_GB2312" w:cs="仿宋_GB2312"/>
          <w:sz w:val="32"/>
          <w:szCs w:val="32"/>
          <w:lang w:val="en-US" w:eastAsia="zh-CN"/>
        </w:rPr>
        <w:t>文化和旅游</w:t>
      </w:r>
      <w:r>
        <w:rPr>
          <w:rFonts w:hint="eastAsia" w:ascii="仿宋_GB2312" w:hAnsi="仿宋_GB2312" w:eastAsia="仿宋_GB2312" w:cs="仿宋_GB2312"/>
          <w:sz w:val="32"/>
          <w:szCs w:val="32"/>
        </w:rPr>
        <w:t>（款）</w:t>
      </w:r>
      <w:r>
        <w:rPr>
          <w:rFonts w:hint="eastAsia" w:ascii="仿宋_GB2312" w:hAnsi="仿宋_GB2312" w:eastAsia="仿宋_GB2312" w:cs="仿宋_GB2312"/>
          <w:sz w:val="32"/>
          <w:szCs w:val="32"/>
          <w:lang w:val="en-US" w:eastAsia="zh-CN"/>
        </w:rPr>
        <w:t>文化展示及纪念机构</w:t>
      </w:r>
      <w:r>
        <w:rPr>
          <w:rFonts w:hint="eastAsia" w:ascii="仿宋_GB2312" w:hAnsi="仿宋_GB2312" w:eastAsia="仿宋_GB2312" w:cs="仿宋_GB2312"/>
          <w:sz w:val="32"/>
          <w:szCs w:val="32"/>
        </w:rPr>
        <w:t>（项）。</w:t>
      </w:r>
    </w:p>
    <w:p w14:paraId="4FD60458">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年初预算为</w:t>
      </w:r>
      <w:r>
        <w:rPr>
          <w:rFonts w:hint="eastAsia" w:ascii="仿宋_GB2312" w:hAnsi="仿宋_GB2312" w:eastAsia="仿宋_GB2312" w:cs="仿宋_GB2312"/>
          <w:sz w:val="32"/>
          <w:szCs w:val="32"/>
          <w:lang w:val="en-US" w:eastAsia="zh-CN"/>
        </w:rPr>
        <w:t>138</w:t>
      </w:r>
      <w:r>
        <w:rPr>
          <w:rFonts w:hint="eastAsia" w:ascii="仿宋_GB2312" w:hAnsi="仿宋_GB2312" w:eastAsia="仿宋_GB2312" w:cs="仿宋_GB2312"/>
          <w:color w:val="auto"/>
          <w:sz w:val="32"/>
          <w:szCs w:val="32"/>
          <w:lang w:val="en-US" w:eastAsia="zh-CN"/>
        </w:rPr>
        <w:t>.76</w:t>
      </w:r>
      <w:r>
        <w:rPr>
          <w:rFonts w:hint="eastAsia" w:ascii="仿宋_GB2312" w:hAnsi="仿宋_GB2312" w:eastAsia="仿宋_GB2312" w:cs="仿宋_GB2312"/>
          <w:sz w:val="32"/>
          <w:szCs w:val="32"/>
        </w:rPr>
        <w:t>万元，支出决算为</w:t>
      </w:r>
      <w:r>
        <w:rPr>
          <w:rFonts w:hint="eastAsia" w:ascii="仿宋_GB2312" w:hAnsi="仿宋_GB2312" w:eastAsia="仿宋_GB2312" w:cs="仿宋_GB2312"/>
          <w:sz w:val="32"/>
          <w:szCs w:val="32"/>
          <w:lang w:val="en-US" w:eastAsia="zh-CN"/>
        </w:rPr>
        <w:t>156.90</w:t>
      </w:r>
      <w:r>
        <w:rPr>
          <w:rFonts w:hint="eastAsia" w:ascii="仿宋_GB2312" w:hAnsi="仿宋_GB2312" w:eastAsia="仿宋_GB2312" w:cs="仿宋_GB2312"/>
          <w:sz w:val="32"/>
          <w:szCs w:val="32"/>
        </w:rPr>
        <w:t>万元，完成年初预算的</w:t>
      </w:r>
      <w:r>
        <w:rPr>
          <w:rFonts w:hint="eastAsia" w:ascii="仿宋_GB2312" w:hAnsi="仿宋_GB2312" w:eastAsia="仿宋_GB2312" w:cs="仿宋_GB2312"/>
          <w:sz w:val="32"/>
          <w:szCs w:val="32"/>
          <w:lang w:val="en-US" w:eastAsia="zh-CN"/>
        </w:rPr>
        <w:t>113</w:t>
      </w:r>
      <w:r>
        <w:rPr>
          <w:rFonts w:hint="eastAsia" w:ascii="仿宋_GB2312" w:hAnsi="仿宋_GB2312" w:eastAsia="仿宋_GB2312" w:cs="仿宋_GB2312"/>
          <w:sz w:val="32"/>
          <w:szCs w:val="32"/>
        </w:rPr>
        <w:t>%，决算数大于年初预算数的主要原因是：</w:t>
      </w:r>
      <w:r>
        <w:rPr>
          <w:rFonts w:hint="eastAsia" w:ascii="仿宋_GB2312" w:hAnsi="仿宋_GB2312" w:eastAsia="仿宋_GB2312" w:cs="仿宋_GB2312"/>
          <w:sz w:val="32"/>
          <w:szCs w:val="32"/>
          <w:lang w:val="en-US" w:eastAsia="zh-CN"/>
        </w:rPr>
        <w:t>人员经费的增加。</w:t>
      </w:r>
    </w:p>
    <w:p w14:paraId="2B584408">
      <w:pPr>
        <w:pStyle w:val="12"/>
        <w:keepNext w:val="0"/>
        <w:keepLines w:val="0"/>
        <w:pageBreakBefore w:val="0"/>
        <w:widowControl w:val="0"/>
        <w:numPr>
          <w:ilvl w:val="0"/>
          <w:numId w:val="2"/>
        </w:numPr>
        <w:kinsoku/>
        <w:wordWrap/>
        <w:overflowPunct/>
        <w:topLinePunct w:val="0"/>
        <w:bidi w:val="0"/>
        <w:snapToGrid/>
        <w:spacing w:line="600" w:lineRule="exact"/>
        <w:ind w:firstLine="800" w:firstLineChars="25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文化旅游体育与传媒支出（类）文化和旅游（款）其他文化和旅游（项 ）</w:t>
      </w:r>
    </w:p>
    <w:p w14:paraId="25F02298">
      <w:pPr>
        <w:pStyle w:val="12"/>
        <w:keepNext w:val="0"/>
        <w:keepLines w:val="0"/>
        <w:pageBreakBefore w:val="0"/>
        <w:widowControl w:val="0"/>
        <w:numPr>
          <w:ilvl w:val="0"/>
          <w:numId w:val="0"/>
        </w:numPr>
        <w:kinsoku/>
        <w:wordWrap/>
        <w:overflowPunct/>
        <w:topLinePunct w:val="0"/>
        <w:bidi w:val="0"/>
        <w:snapToGrid/>
        <w:spacing w:line="600" w:lineRule="exact"/>
        <w:ind w:leftChars="25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auto"/>
          <w:sz w:val="32"/>
          <w:szCs w:val="32"/>
          <w:lang w:val="en-US" w:eastAsia="zh-CN"/>
        </w:rPr>
        <w:t xml:space="preserve">     年初预算为0万元，支出决算为93.68万元，由于预算数为0，无法计算百分比。</w:t>
      </w:r>
      <w:r>
        <w:rPr>
          <w:rFonts w:hint="eastAsia" w:ascii="仿宋_GB2312" w:hAnsi="仿宋_GB2312" w:eastAsia="仿宋_GB2312" w:cs="仿宋_GB2312"/>
          <w:sz w:val="32"/>
          <w:szCs w:val="32"/>
        </w:rPr>
        <w:t>决算数大于年初预算数的主要原因是：</w:t>
      </w:r>
      <w:r>
        <w:rPr>
          <w:rFonts w:hint="eastAsia" w:ascii="仿宋_GB2312" w:hAnsi="仿宋_GB2312" w:eastAsia="仿宋_GB2312" w:cs="仿宋_GB2312"/>
          <w:sz w:val="32"/>
          <w:szCs w:val="32"/>
          <w:lang w:val="en-US" w:eastAsia="zh-CN"/>
        </w:rPr>
        <w:t>人员经费的增加</w:t>
      </w:r>
      <w:r>
        <w:rPr>
          <w:rFonts w:hint="eastAsia" w:ascii="仿宋_GB2312" w:hAnsi="仿宋_GB2312" w:eastAsia="仿宋_GB2312" w:cs="仿宋_GB2312"/>
          <w:color w:val="auto"/>
          <w:sz w:val="32"/>
          <w:szCs w:val="32"/>
          <w:lang w:val="en-US" w:eastAsia="zh-CN"/>
        </w:rPr>
        <w:t>。</w:t>
      </w:r>
    </w:p>
    <w:p w14:paraId="6D1C7D1F">
      <w:pPr>
        <w:pStyle w:val="12"/>
        <w:keepNext w:val="0"/>
        <w:keepLines w:val="0"/>
        <w:pageBreakBefore w:val="0"/>
        <w:widowControl w:val="0"/>
        <w:numPr>
          <w:ilvl w:val="0"/>
          <w:numId w:val="2"/>
        </w:numPr>
        <w:kinsoku/>
        <w:wordWrap/>
        <w:overflowPunct/>
        <w:topLinePunct w:val="0"/>
        <w:bidi w:val="0"/>
        <w:snapToGrid/>
        <w:spacing w:line="600" w:lineRule="exact"/>
        <w:ind w:left="0" w:leftChars="0" w:firstLine="800" w:firstLineChars="25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社会保障和就业支出（类）行政事业单位养老支出（款）机关事业单位基本养老保险缴费支出（项）</w:t>
      </w:r>
    </w:p>
    <w:p w14:paraId="65FDA588">
      <w:pPr>
        <w:pStyle w:val="12"/>
        <w:keepNext w:val="0"/>
        <w:keepLines w:val="0"/>
        <w:pageBreakBefore w:val="0"/>
        <w:widowControl w:val="0"/>
        <w:numPr>
          <w:ilvl w:val="0"/>
          <w:numId w:val="0"/>
        </w:numPr>
        <w:kinsoku/>
        <w:wordWrap/>
        <w:overflowPunct/>
        <w:topLinePunct w:val="0"/>
        <w:bidi w:val="0"/>
        <w:snapToGrid/>
        <w:spacing w:line="600" w:lineRule="exact"/>
        <w:ind w:leftChars="25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  年初预算为17.3万元，支出决算为17.3，完成预算数的100%，决算数等于预算数的主要原因是：无人员异动。</w:t>
      </w:r>
    </w:p>
    <w:p w14:paraId="5287462E">
      <w:pPr>
        <w:pStyle w:val="12"/>
        <w:keepNext w:val="0"/>
        <w:keepLines w:val="0"/>
        <w:pageBreakBefore w:val="0"/>
        <w:widowControl w:val="0"/>
        <w:numPr>
          <w:ilvl w:val="0"/>
          <w:numId w:val="2"/>
        </w:numPr>
        <w:kinsoku/>
        <w:wordWrap/>
        <w:overflowPunct/>
        <w:topLinePunct w:val="0"/>
        <w:bidi w:val="0"/>
        <w:snapToGrid/>
        <w:spacing w:line="600" w:lineRule="exact"/>
        <w:ind w:left="0" w:leftChars="0" w:firstLine="800" w:firstLineChars="25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社会保障和就业支出（类）其他社会保障和就业支出（款）其他社会保障和就业支出（项）</w:t>
      </w:r>
    </w:p>
    <w:p w14:paraId="4B9293C6">
      <w:pPr>
        <w:pStyle w:val="12"/>
        <w:keepNext w:val="0"/>
        <w:keepLines w:val="0"/>
        <w:pageBreakBefore w:val="0"/>
        <w:widowControl w:val="0"/>
        <w:numPr>
          <w:ilvl w:val="0"/>
          <w:numId w:val="0"/>
        </w:numPr>
        <w:kinsoku/>
        <w:wordWrap/>
        <w:overflowPunct/>
        <w:topLinePunct w:val="0"/>
        <w:bidi w:val="0"/>
        <w:snapToGrid/>
        <w:spacing w:line="600" w:lineRule="exact"/>
        <w:ind w:leftChars="25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   年初预算为5.23万元，支出决算为5.23万元，完成预算数的100%，决算数等于预算数，决算数等于预算数的主要原因是：无人员异动。</w:t>
      </w:r>
    </w:p>
    <w:p w14:paraId="7966A916">
      <w:pPr>
        <w:pStyle w:val="12"/>
        <w:keepNext w:val="0"/>
        <w:keepLines w:val="0"/>
        <w:pageBreakBefore w:val="0"/>
        <w:widowControl w:val="0"/>
        <w:numPr>
          <w:ilvl w:val="0"/>
          <w:numId w:val="2"/>
        </w:numPr>
        <w:kinsoku/>
        <w:wordWrap/>
        <w:overflowPunct/>
        <w:topLinePunct w:val="0"/>
        <w:bidi w:val="0"/>
        <w:snapToGrid/>
        <w:spacing w:line="600" w:lineRule="exact"/>
        <w:ind w:left="0" w:leftChars="0" w:firstLine="800" w:firstLineChars="25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卫生健康支出（类）行政事业单位医疗（款）事业单位医疗（项）</w:t>
      </w:r>
    </w:p>
    <w:p w14:paraId="248E728B">
      <w:pPr>
        <w:pStyle w:val="12"/>
        <w:keepNext w:val="0"/>
        <w:keepLines w:val="0"/>
        <w:pageBreakBefore w:val="0"/>
        <w:widowControl w:val="0"/>
        <w:numPr>
          <w:ilvl w:val="0"/>
          <w:numId w:val="0"/>
        </w:numPr>
        <w:kinsoku/>
        <w:wordWrap/>
        <w:overflowPunct/>
        <w:topLinePunct w:val="0"/>
        <w:bidi w:val="0"/>
        <w:snapToGrid/>
        <w:spacing w:line="600" w:lineRule="exact"/>
        <w:ind w:leftChars="250" w:firstLine="64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年初预算为6.71万元，支出决算数为6.71，完成年初预算数的100%，决算数等于预算数。决算数等于预算数的主要原因是：无人员异动。</w:t>
      </w:r>
    </w:p>
    <w:p w14:paraId="3E802145">
      <w:pPr>
        <w:pStyle w:val="12"/>
        <w:keepNext w:val="0"/>
        <w:keepLines w:val="0"/>
        <w:pageBreakBefore w:val="0"/>
        <w:widowControl w:val="0"/>
        <w:numPr>
          <w:ilvl w:val="0"/>
          <w:numId w:val="0"/>
        </w:numPr>
        <w:kinsoku/>
        <w:wordWrap/>
        <w:overflowPunct/>
        <w:topLinePunct w:val="0"/>
        <w:bidi w:val="0"/>
        <w:snapToGrid/>
        <w:spacing w:line="600" w:lineRule="exact"/>
        <w:textAlignment w:val="auto"/>
        <w:rPr>
          <w:rFonts w:hint="default" w:ascii="仿宋_GB2312" w:hAnsi="仿宋_GB2312" w:eastAsia="仿宋_GB2312" w:cs="仿宋_GB2312"/>
          <w:color w:val="auto"/>
          <w:sz w:val="32"/>
          <w:szCs w:val="32"/>
          <w:lang w:val="en-US" w:eastAsia="zh-CN"/>
        </w:rPr>
      </w:pPr>
    </w:p>
    <w:p w14:paraId="0F87F9BD">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住房保障支出</w:t>
      </w:r>
      <w:r>
        <w:rPr>
          <w:rFonts w:hint="eastAsia" w:ascii="仿宋_GB2312" w:hAnsi="仿宋_GB2312" w:eastAsia="仿宋_GB2312" w:cs="仿宋_GB2312"/>
          <w:sz w:val="32"/>
          <w:szCs w:val="32"/>
        </w:rPr>
        <w:t>（类）</w:t>
      </w:r>
      <w:r>
        <w:rPr>
          <w:rFonts w:hint="eastAsia" w:ascii="仿宋_GB2312" w:hAnsi="仿宋_GB2312" w:eastAsia="仿宋_GB2312" w:cs="仿宋_GB2312"/>
          <w:sz w:val="32"/>
          <w:szCs w:val="32"/>
          <w:lang w:val="en-US" w:eastAsia="zh-CN"/>
        </w:rPr>
        <w:t>住房改革支出</w:t>
      </w:r>
      <w:r>
        <w:rPr>
          <w:rFonts w:hint="eastAsia" w:ascii="仿宋_GB2312" w:hAnsi="仿宋_GB2312" w:eastAsia="仿宋_GB2312" w:cs="仿宋_GB2312"/>
          <w:sz w:val="32"/>
          <w:szCs w:val="32"/>
        </w:rPr>
        <w:t>（款</w:t>
      </w:r>
      <w:bookmarkStart w:id="0" w:name="_GoBack"/>
      <w:bookmarkEnd w:id="0"/>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住房公积金</w:t>
      </w:r>
      <w:r>
        <w:rPr>
          <w:rFonts w:hint="eastAsia" w:ascii="仿宋_GB2312" w:hAnsi="仿宋_GB2312" w:eastAsia="仿宋_GB2312" w:cs="仿宋_GB2312"/>
          <w:sz w:val="32"/>
          <w:szCs w:val="32"/>
        </w:rPr>
        <w:t>（项）。</w:t>
      </w:r>
    </w:p>
    <w:p w14:paraId="613BD586">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年初预算为</w:t>
      </w:r>
      <w:r>
        <w:rPr>
          <w:rFonts w:hint="eastAsia" w:ascii="仿宋_GB2312" w:hAnsi="仿宋_GB2312" w:eastAsia="仿宋_GB2312" w:cs="仿宋_GB2312"/>
          <w:sz w:val="32"/>
          <w:szCs w:val="32"/>
          <w:lang w:val="en-US" w:eastAsia="zh-CN"/>
        </w:rPr>
        <w:t>12.48</w:t>
      </w:r>
      <w:r>
        <w:rPr>
          <w:rFonts w:hint="eastAsia" w:ascii="仿宋_GB2312" w:hAnsi="仿宋_GB2312" w:eastAsia="仿宋_GB2312" w:cs="仿宋_GB2312"/>
          <w:sz w:val="32"/>
          <w:szCs w:val="32"/>
        </w:rPr>
        <w:t>万元，支出决算为</w:t>
      </w:r>
      <w:r>
        <w:rPr>
          <w:rFonts w:hint="eastAsia" w:ascii="仿宋_GB2312" w:hAnsi="仿宋_GB2312" w:eastAsia="仿宋_GB2312" w:cs="仿宋_GB2312"/>
          <w:color w:val="auto"/>
          <w:sz w:val="32"/>
          <w:szCs w:val="32"/>
          <w:lang w:val="en-US" w:eastAsia="zh-CN"/>
        </w:rPr>
        <w:t>12.48万</w:t>
      </w:r>
      <w:r>
        <w:rPr>
          <w:rFonts w:hint="eastAsia" w:ascii="仿宋_GB2312" w:hAnsi="仿宋_GB2312" w:eastAsia="仿宋_GB2312" w:cs="仿宋_GB2312"/>
          <w:sz w:val="32"/>
          <w:szCs w:val="32"/>
        </w:rPr>
        <w:t>元，完成年初预算的</w:t>
      </w:r>
      <w:r>
        <w:rPr>
          <w:rFonts w:hint="eastAsia" w:ascii="仿宋_GB2312" w:hAnsi="仿宋_GB2312" w:eastAsia="仿宋_GB2312" w:cs="仿宋_GB2312"/>
          <w:sz w:val="32"/>
          <w:szCs w:val="32"/>
          <w:lang w:val="en-US" w:eastAsia="zh-CN"/>
        </w:rPr>
        <w:t>100</w:t>
      </w:r>
      <w:r>
        <w:rPr>
          <w:rFonts w:hint="eastAsia" w:ascii="仿宋_GB2312" w:hAnsi="仿宋_GB2312" w:eastAsia="仿宋_GB2312" w:cs="仿宋_GB2312"/>
          <w:sz w:val="32"/>
          <w:szCs w:val="32"/>
        </w:rPr>
        <w:t>%，</w:t>
      </w:r>
      <w:r>
        <w:rPr>
          <w:rFonts w:hint="eastAsia" w:ascii="仿宋_GB2312" w:hAnsi="仿宋_GB2312" w:eastAsia="仿宋_GB2312" w:cs="仿宋_GB2312"/>
          <w:color w:val="auto"/>
          <w:sz w:val="32"/>
          <w:szCs w:val="32"/>
          <w:lang w:val="en-US" w:eastAsia="zh-CN"/>
        </w:rPr>
        <w:t>决算数等于预算数的主要原因是：无人员异动。</w:t>
      </w:r>
    </w:p>
    <w:p w14:paraId="373E8BA2">
      <w:pPr>
        <w:pStyle w:val="12"/>
        <w:keepNext w:val="0"/>
        <w:keepLines w:val="0"/>
        <w:pageBreakBefore w:val="0"/>
        <w:widowControl w:val="0"/>
        <w:numPr>
          <w:ilvl w:val="0"/>
          <w:numId w:val="0"/>
        </w:numPr>
        <w:kinsoku/>
        <w:wordWrap/>
        <w:overflowPunct/>
        <w:topLinePunct w:val="0"/>
        <w:bidi w:val="0"/>
        <w:snapToGrid/>
        <w:spacing w:line="600" w:lineRule="exact"/>
        <w:ind w:leftChars="200" w:firstLine="640" w:firstLineChars="200"/>
        <w:textAlignment w:val="auto"/>
        <w:rPr>
          <w:rFonts w:hint="eastAsia" w:ascii="黑体" w:hAnsi="黑体" w:eastAsia="黑体" w:cs="黑体"/>
          <w:b w:val="0"/>
          <w:bCs/>
          <w:sz w:val="32"/>
          <w:szCs w:val="32"/>
        </w:rPr>
      </w:pPr>
      <w:r>
        <w:rPr>
          <w:rFonts w:hint="eastAsia" w:hAnsi="黑体" w:cs="黑体"/>
          <w:b w:val="0"/>
          <w:bCs/>
          <w:sz w:val="32"/>
          <w:szCs w:val="32"/>
          <w:lang w:val="en-US" w:eastAsia="zh-CN"/>
        </w:rPr>
        <w:t>六、</w:t>
      </w:r>
      <w:r>
        <w:rPr>
          <w:rFonts w:hint="eastAsia" w:ascii="黑体" w:hAnsi="黑体" w:eastAsia="黑体" w:cs="黑体"/>
          <w:b w:val="0"/>
          <w:bCs/>
          <w:sz w:val="32"/>
          <w:szCs w:val="32"/>
        </w:rPr>
        <w:t>一般公共预算财政拨款基本支出决算情况说明</w:t>
      </w:r>
    </w:p>
    <w:p w14:paraId="6E72EF60">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年度财政拨款基本支出</w:t>
      </w:r>
      <w:r>
        <w:rPr>
          <w:rFonts w:hint="eastAsia" w:ascii="仿宋_GB2312" w:hAnsi="仿宋_GB2312" w:eastAsia="仿宋_GB2312" w:cs="仿宋_GB2312"/>
          <w:sz w:val="32"/>
          <w:szCs w:val="32"/>
          <w:lang w:val="en-US" w:eastAsia="zh-CN"/>
        </w:rPr>
        <w:t>198.61</w:t>
      </w:r>
      <w:r>
        <w:rPr>
          <w:rFonts w:hint="eastAsia" w:ascii="仿宋_GB2312" w:hAnsi="仿宋_GB2312" w:eastAsia="仿宋_GB2312" w:cs="仿宋_GB2312"/>
          <w:sz w:val="32"/>
          <w:szCs w:val="32"/>
        </w:rPr>
        <w:t>万元，其中：</w:t>
      </w:r>
    </w:p>
    <w:p w14:paraId="0D4AA09A">
      <w:pPr>
        <w:pStyle w:val="12"/>
        <w:keepNext w:val="0"/>
        <w:keepLines w:val="0"/>
        <w:pageBreakBefore w:val="0"/>
        <w:widowControl w:val="0"/>
        <w:kinsoku/>
        <w:wordWrap/>
        <w:overflowPunct/>
        <w:topLinePunct w:val="0"/>
        <w:bidi w:val="0"/>
        <w:snapToGrid/>
        <w:spacing w:line="600" w:lineRule="exact"/>
        <w:ind w:firstLine="640" w:firstLineChars="200"/>
        <w:jc w:val="both"/>
        <w:textAlignment w:val="auto"/>
        <w:rPr>
          <w:rFonts w:hint="eastAsia" w:ascii="仿宋_GB2312" w:hAnsi="仿宋_GB2312" w:eastAsia="仿宋_GB2312" w:cs="仿宋_GB2312"/>
          <w:color w:val="FF0000"/>
          <w:sz w:val="32"/>
          <w:szCs w:val="32"/>
          <w:lang w:eastAsia="zh-CN"/>
        </w:rPr>
      </w:pPr>
      <w:r>
        <w:rPr>
          <w:rFonts w:hint="eastAsia" w:ascii="仿宋_GB2312" w:hAnsi="仿宋_GB2312" w:eastAsia="仿宋_GB2312" w:cs="仿宋_GB2312"/>
          <w:b/>
          <w:bCs/>
          <w:sz w:val="32"/>
          <w:szCs w:val="32"/>
        </w:rPr>
        <w:t>人员经费</w:t>
      </w:r>
      <w:r>
        <w:rPr>
          <w:rFonts w:hint="eastAsia" w:ascii="仿宋_GB2312" w:hAnsi="仿宋_GB2312" w:eastAsia="仿宋_GB2312" w:cs="仿宋_GB2312"/>
          <w:b/>
          <w:bCs/>
          <w:sz w:val="32"/>
          <w:szCs w:val="32"/>
          <w:lang w:val="en-US" w:eastAsia="zh-CN"/>
        </w:rPr>
        <w:t>185.84</w:t>
      </w:r>
      <w:r>
        <w:rPr>
          <w:rFonts w:hint="eastAsia" w:ascii="仿宋_GB2312" w:hAnsi="仿宋_GB2312" w:eastAsia="仿宋_GB2312" w:cs="仿宋_GB2312"/>
          <w:sz w:val="32"/>
          <w:szCs w:val="32"/>
        </w:rPr>
        <w:t>万元，占基本支出的</w:t>
      </w:r>
      <w:r>
        <w:rPr>
          <w:rFonts w:hint="eastAsia" w:ascii="仿宋_GB2312" w:hAnsi="仿宋_GB2312" w:eastAsia="仿宋_GB2312" w:cs="仿宋_GB2312"/>
          <w:sz w:val="32"/>
          <w:szCs w:val="32"/>
          <w:lang w:val="en-US" w:eastAsia="zh-CN"/>
        </w:rPr>
        <w:t>93</w:t>
      </w:r>
      <w:r>
        <w:rPr>
          <w:rFonts w:hint="eastAsia" w:ascii="仿宋_GB2312" w:hAnsi="仿宋_GB2312" w:eastAsia="仿宋_GB2312" w:cs="仿宋_GB2312"/>
          <w:sz w:val="32"/>
          <w:szCs w:val="32"/>
        </w:rPr>
        <w:t>%,主要包括基本工资、津贴补贴、奖金、伙食补助费</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绩效工资、机关事业单位基本养老保险缴费、职工基本医疗保险缴费、其他社会保障缴费、医疗费、其他工资福利支出、退休费、抚恤金、奖励金、其他对个人和家庭的补助</w:t>
      </w:r>
      <w:r>
        <w:rPr>
          <w:rFonts w:hint="eastAsia" w:ascii="仿宋_GB2312" w:hAnsi="仿宋_GB2312" w:eastAsia="仿宋_GB2312" w:cs="仿宋_GB2312"/>
          <w:sz w:val="32"/>
          <w:szCs w:val="32"/>
          <w:lang w:eastAsia="zh-CN"/>
        </w:rPr>
        <w:t>。</w:t>
      </w:r>
    </w:p>
    <w:p w14:paraId="2B8DF893">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bCs/>
          <w:sz w:val="32"/>
          <w:szCs w:val="32"/>
        </w:rPr>
        <w:t>公用经费</w:t>
      </w:r>
      <w:r>
        <w:rPr>
          <w:rFonts w:hint="eastAsia" w:ascii="仿宋_GB2312" w:hAnsi="仿宋_GB2312" w:eastAsia="仿宋_GB2312" w:cs="仿宋_GB2312"/>
          <w:b/>
          <w:bCs/>
          <w:sz w:val="32"/>
          <w:szCs w:val="32"/>
          <w:lang w:val="en-US" w:eastAsia="zh-CN"/>
        </w:rPr>
        <w:t>12.77</w:t>
      </w:r>
      <w:r>
        <w:rPr>
          <w:rFonts w:hint="eastAsia" w:ascii="仿宋_GB2312" w:hAnsi="仿宋_GB2312" w:eastAsia="仿宋_GB2312" w:cs="仿宋_GB2312"/>
          <w:sz w:val="32"/>
          <w:szCs w:val="32"/>
        </w:rPr>
        <w:t>万元，占基本支出的</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%，主要包括办公费、印刷费、咨询费、手续费</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邮电费、差旅费、维修（护）费、培训费、公务接待费、劳务费、委托业务费、工会经费、其他交通费用、其他商品和服务支出、办公设备购置</w:t>
      </w:r>
      <w:r>
        <w:rPr>
          <w:rFonts w:hint="eastAsia" w:ascii="仿宋_GB2312" w:hAnsi="仿宋_GB2312" w:eastAsia="仿宋_GB2312" w:cs="仿宋_GB2312"/>
          <w:sz w:val="32"/>
          <w:szCs w:val="32"/>
        </w:rPr>
        <w:t>。</w:t>
      </w:r>
    </w:p>
    <w:p w14:paraId="03539D5D">
      <w:pPr>
        <w:pStyle w:val="12"/>
        <w:keepNext w:val="0"/>
        <w:keepLines w:val="0"/>
        <w:pageBreakBefore w:val="0"/>
        <w:widowControl w:val="0"/>
        <w:numPr>
          <w:ilvl w:val="0"/>
          <w:numId w:val="0"/>
        </w:numPr>
        <w:kinsoku/>
        <w:wordWrap/>
        <w:overflowPunct/>
        <w:topLinePunct w:val="0"/>
        <w:bidi w:val="0"/>
        <w:snapToGrid/>
        <w:spacing w:line="600" w:lineRule="exact"/>
        <w:ind w:leftChars="200"/>
        <w:textAlignment w:val="auto"/>
        <w:rPr>
          <w:rFonts w:hint="eastAsia" w:ascii="黑体" w:hAnsi="黑体" w:eastAsia="黑体" w:cs="黑体"/>
          <w:b w:val="0"/>
          <w:bCs/>
          <w:sz w:val="32"/>
          <w:szCs w:val="32"/>
        </w:rPr>
      </w:pPr>
    </w:p>
    <w:p w14:paraId="238B2762">
      <w:pPr>
        <w:pStyle w:val="12"/>
        <w:keepNext w:val="0"/>
        <w:keepLines w:val="0"/>
        <w:pageBreakBefore w:val="0"/>
        <w:widowControl w:val="0"/>
        <w:numPr>
          <w:ilvl w:val="0"/>
          <w:numId w:val="0"/>
        </w:numPr>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hAnsi="黑体" w:cs="黑体"/>
          <w:b w:val="0"/>
          <w:bCs/>
          <w:sz w:val="32"/>
          <w:szCs w:val="32"/>
          <w:lang w:val="en-US" w:eastAsia="zh-CN"/>
        </w:rPr>
        <w:t>七、</w:t>
      </w:r>
      <w:r>
        <w:rPr>
          <w:rFonts w:hint="eastAsia" w:ascii="黑体" w:hAnsi="黑体" w:eastAsia="黑体" w:cs="黑体"/>
          <w:b w:val="0"/>
          <w:bCs/>
          <w:sz w:val="32"/>
          <w:szCs w:val="32"/>
        </w:rPr>
        <w:t>政府性基金预算收入支出决算情况</w:t>
      </w:r>
    </w:p>
    <w:p w14:paraId="7B96C244">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color w:val="000000"/>
          <w:kern w:val="0"/>
          <w:sz w:val="32"/>
          <w:szCs w:val="32"/>
          <w:highlight w:val="none"/>
          <w:lang w:val="en-US" w:eastAsia="zh-CN" w:bidi="ar-SA"/>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年度政府性基金预算财政拨款收入</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万元；年初结转和结余</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万元；支出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万元，其中基本支出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万元，项目支出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万元；年末结转和结余</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w:t>
      </w:r>
      <w:r>
        <w:rPr>
          <w:rFonts w:hint="eastAsia" w:ascii="仿宋_GB2312" w:hAnsi="仿宋_GB2312" w:eastAsia="仿宋_GB2312" w:cs="仿宋_GB2312"/>
          <w:sz w:val="32"/>
          <w:szCs w:val="32"/>
          <w:lang w:eastAsia="zh-CN"/>
        </w:rPr>
        <w:t>。</w:t>
      </w:r>
    </w:p>
    <w:p w14:paraId="28BDC771">
      <w:pPr>
        <w:keepNext w:val="0"/>
        <w:keepLines w:val="0"/>
        <w:pageBreakBefore w:val="0"/>
        <w:widowControl w:val="0"/>
        <w:numPr>
          <w:ilvl w:val="0"/>
          <w:numId w:val="0"/>
        </w:numPr>
        <w:kinsoku/>
        <w:wordWrap/>
        <w:overflowPunct/>
        <w:topLinePunct w:val="0"/>
        <w:autoSpaceDE w:val="0"/>
        <w:autoSpaceDN w:val="0"/>
        <w:bidi w:val="0"/>
        <w:adjustRightInd w:val="0"/>
        <w:snapToGrid/>
        <w:spacing w:line="600" w:lineRule="exact"/>
        <w:ind w:firstLine="640" w:firstLineChars="200"/>
        <w:textAlignment w:val="auto"/>
        <w:rPr>
          <w:rFonts w:hint="eastAsia" w:ascii="黑体" w:hAnsi="黑体" w:eastAsia="黑体" w:cs="黑体"/>
          <w:b w:val="0"/>
          <w:bCs/>
          <w:color w:val="000000"/>
          <w:kern w:val="0"/>
          <w:sz w:val="32"/>
          <w:szCs w:val="32"/>
          <w:lang w:val="en-US" w:eastAsia="zh-CN" w:bidi="ar-SA"/>
        </w:rPr>
      </w:pPr>
      <w:r>
        <w:rPr>
          <w:rFonts w:hint="eastAsia" w:ascii="黑体" w:hAnsi="黑体" w:eastAsia="黑体" w:cs="黑体"/>
          <w:b w:val="0"/>
          <w:bCs/>
          <w:color w:val="000000"/>
          <w:kern w:val="0"/>
          <w:sz w:val="32"/>
          <w:szCs w:val="32"/>
          <w:lang w:val="en-US" w:eastAsia="zh-CN" w:bidi="ar-SA"/>
        </w:rPr>
        <w:t>八、国有资本经营预算财政拨款支出决算情况</w:t>
      </w:r>
    </w:p>
    <w:p w14:paraId="170300F6">
      <w:pPr>
        <w:widowControl w:val="0"/>
        <w:autoSpaceDE w:val="0"/>
        <w:autoSpaceDN w:val="0"/>
        <w:adjustRightInd w:val="0"/>
        <w:ind w:firstLine="640" w:firstLineChars="200"/>
        <w:rPr>
          <w:rFonts w:hint="default"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2024年度国有资本经营预算财政拨款收入0万元；年初结转和结余0万；支出0万元；其中：基本支出0万元，项目支出0万元，年末结转和结余0万元。</w:t>
      </w:r>
    </w:p>
    <w:p w14:paraId="5876C252">
      <w:pPr>
        <w:pStyle w:val="12"/>
        <w:keepNext w:val="0"/>
        <w:keepLines w:val="0"/>
        <w:pageBreakBefore w:val="0"/>
        <w:widowControl w:val="0"/>
        <w:numPr>
          <w:ilvl w:val="0"/>
          <w:numId w:val="0"/>
        </w:numPr>
        <w:kinsoku/>
        <w:wordWrap/>
        <w:overflowPunct/>
        <w:topLinePunct w:val="0"/>
        <w:bidi w:val="0"/>
        <w:snapToGrid/>
        <w:spacing w:line="600" w:lineRule="exact"/>
        <w:ind w:leftChars="200" w:firstLine="640" w:firstLineChars="200"/>
        <w:textAlignment w:val="auto"/>
        <w:rPr>
          <w:rFonts w:hint="eastAsia" w:ascii="黑体" w:hAnsi="黑体" w:eastAsia="黑体" w:cs="黑体"/>
          <w:b w:val="0"/>
          <w:bCs/>
          <w:sz w:val="32"/>
          <w:szCs w:val="32"/>
        </w:rPr>
      </w:pPr>
      <w:r>
        <w:rPr>
          <w:rFonts w:hint="eastAsia" w:hAnsi="黑体" w:cs="黑体"/>
          <w:b w:val="0"/>
          <w:bCs/>
          <w:sz w:val="32"/>
          <w:szCs w:val="32"/>
          <w:lang w:val="en-US" w:eastAsia="zh-CN"/>
        </w:rPr>
        <w:t>九、</w:t>
      </w:r>
      <w:r>
        <w:rPr>
          <w:rFonts w:hint="eastAsia" w:ascii="黑体" w:hAnsi="黑体" w:eastAsia="黑体" w:cs="黑体"/>
          <w:b w:val="0"/>
          <w:bCs/>
          <w:sz w:val="32"/>
          <w:szCs w:val="32"/>
        </w:rPr>
        <w:t>财政拨款三公经费支出决算情况说明</w:t>
      </w:r>
    </w:p>
    <w:p w14:paraId="2525C291">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bCs w:val="0"/>
          <w:sz w:val="32"/>
          <w:szCs w:val="32"/>
        </w:rPr>
      </w:pPr>
      <w:r>
        <w:rPr>
          <w:rFonts w:hint="eastAsia" w:ascii="楷体" w:hAnsi="楷体" w:eastAsia="楷体" w:cs="楷体"/>
          <w:b/>
          <w:bCs w:val="0"/>
          <w:sz w:val="32"/>
          <w:szCs w:val="32"/>
        </w:rPr>
        <w:t>（一）“三公”经费财政拨款支出决算总体情况说明</w:t>
      </w:r>
    </w:p>
    <w:p w14:paraId="6B107B77">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2024年度</w:t>
      </w:r>
      <w:r>
        <w:rPr>
          <w:rFonts w:hint="eastAsia" w:ascii="仿宋_GB2312" w:hAnsi="仿宋_GB2312" w:eastAsia="仿宋_GB2312" w:cs="仿宋_GB2312"/>
          <w:sz w:val="32"/>
          <w:szCs w:val="32"/>
        </w:rPr>
        <w:t>“三公”经费财政拨款支出预算为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万元，支出决算为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w:t>
      </w:r>
      <w:r>
        <w:rPr>
          <w:rFonts w:hint="eastAsia" w:ascii="仿宋_GB2312" w:hAnsi="仿宋_GB2312" w:eastAsia="仿宋_GB2312" w:cs="仿宋_GB2312"/>
          <w:sz w:val="32"/>
          <w:szCs w:val="32"/>
          <w:lang w:val="en-US" w:eastAsia="zh-CN"/>
        </w:rPr>
        <w:t>决算数等于预算数的主要原因是我单位严格按预算执行决算；与上年一致，无增减变动，主要原因是按有关政策厉行节约，严控“三公经费”支出。</w:t>
      </w:r>
    </w:p>
    <w:p w14:paraId="20015920">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bCs w:val="0"/>
          <w:sz w:val="32"/>
          <w:szCs w:val="32"/>
        </w:rPr>
      </w:pPr>
      <w:r>
        <w:rPr>
          <w:rFonts w:hint="eastAsia" w:ascii="楷体" w:hAnsi="楷体" w:eastAsia="楷体" w:cs="楷体"/>
          <w:b/>
          <w:bCs w:val="0"/>
          <w:sz w:val="32"/>
          <w:szCs w:val="32"/>
        </w:rPr>
        <w:t>（二）“三公”经费财政拨款支出决算具体情况说明</w:t>
      </w:r>
    </w:p>
    <w:p w14:paraId="6FC45821">
      <w:pPr>
        <w:pStyle w:val="12"/>
        <w:keepNext w:val="0"/>
        <w:keepLines w:val="0"/>
        <w:pageBreakBefore w:val="0"/>
        <w:widowControl w:val="0"/>
        <w:numPr>
          <w:ilvl w:val="0"/>
          <w:numId w:val="0"/>
        </w:numPr>
        <w:kinsoku/>
        <w:wordWrap/>
        <w:overflowPunct/>
        <w:topLinePunct w:val="0"/>
        <w:bidi w:val="0"/>
        <w:snapToGrid/>
        <w:spacing w:line="600" w:lineRule="exact"/>
        <w:ind w:firstLine="640" w:firstLineChars="200"/>
        <w:textAlignment w:val="auto"/>
        <w:rPr>
          <w:rFonts w:hint="default" w:ascii="仿宋_GB2312" w:hAnsi="仿宋_GB2312" w:eastAsia="仿宋_GB2312" w:cs="仿宋_GB2312"/>
          <w:b/>
          <w:bCs/>
          <w:i/>
          <w:color w:val="auto"/>
          <w:sz w:val="32"/>
          <w:szCs w:val="32"/>
          <w:lang w:val="en-US" w:eastAsia="zh-CN"/>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因公出国（境）费支出决算为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w:t>
      </w:r>
      <w:r>
        <w:rPr>
          <w:rFonts w:hint="eastAsia" w:ascii="仿宋_GB2312" w:hAnsi="仿宋_GB2312" w:eastAsia="仿宋_GB2312" w:cs="仿宋_GB2312"/>
          <w:sz w:val="32"/>
          <w:szCs w:val="32"/>
          <w:lang w:val="en-US" w:eastAsia="zh-CN"/>
        </w:rPr>
        <w:t>支出决算为0万元，决算数等于预算数的主要原因是我单位严格按预算执行决算；与上年一致，无增减变动，主要原因是未安排因公出国（境）活动。2024年度安排因公出国（境）团组0个，累计0人次。</w:t>
      </w:r>
    </w:p>
    <w:p w14:paraId="6D0C9F4E">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2、公务用车购置费及运行维护费支出决算为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万元，</w:t>
      </w:r>
      <w:r>
        <w:rPr>
          <w:rFonts w:hint="eastAsia" w:ascii="仿宋_GB2312" w:hAnsi="仿宋_GB2312" w:eastAsia="仿宋_GB2312" w:cs="仿宋_GB2312"/>
          <w:sz w:val="32"/>
          <w:szCs w:val="32"/>
          <w:lang w:val="en-US" w:eastAsia="zh-CN"/>
        </w:rPr>
        <w:t>支出决算为0万元，决算数等于预算数：与上年一致，无增减变动。其中：</w:t>
      </w:r>
    </w:p>
    <w:p w14:paraId="1BB97360">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公务用车购置费支出预算为0万元，支出决算数为0万元，决算数等于预算数，主要原因是我单位严格按照预算执行决算；与上年一致，无增减变动，主要原因是两年均未购置公务用车。本单位更新公务用车0辆。</w:t>
      </w:r>
    </w:p>
    <w:p w14:paraId="09A68F28">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公务用车运行维护费支出预算为0万元，支出决算为0万元，决算数等于预算数，主要原因是我单位严格按预算执行决算；与上年一致，无增减变动，主要原因是两年均无公务用车需要运行维护。截止到2024年12月31日，我单位开展财政拨款的公务用车保有量为0辆。</w:t>
      </w:r>
    </w:p>
    <w:p w14:paraId="5226A65B">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公务接待费支出预算为0万元，支出决算为0万元，决算数等于预算数，主要原因是严格执行中央八项规定；与上年一致，无增减变动，主要原因是按照有关政策厉行节约，严控公务接待支出。2024年度共接待来访团组0个，来宾0人次。</w:t>
      </w:r>
    </w:p>
    <w:p w14:paraId="3D06ACE2">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b/>
          <w:color w:val="auto"/>
          <w:sz w:val="32"/>
          <w:szCs w:val="32"/>
        </w:rPr>
      </w:pPr>
      <w:r>
        <w:rPr>
          <w:rFonts w:hint="eastAsia" w:ascii="Times New Roman" w:hAnsi="Times New Roman" w:eastAsia="仿宋_GB2312"/>
          <w:b/>
          <w:color w:val="auto"/>
          <w:sz w:val="32"/>
          <w:szCs w:val="32"/>
          <w:lang w:eastAsia="zh-CN"/>
        </w:rPr>
        <w:t>十</w:t>
      </w:r>
      <w:r>
        <w:rPr>
          <w:rFonts w:hint="eastAsia" w:ascii="Times New Roman" w:hAnsi="Times New Roman" w:eastAsia="仿宋_GB2312"/>
          <w:b/>
          <w:color w:val="auto"/>
          <w:sz w:val="32"/>
          <w:szCs w:val="32"/>
        </w:rPr>
        <w:t>、关于机关运行经费支出说明</w:t>
      </w:r>
    </w:p>
    <w:p w14:paraId="278595E4">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b/>
          <w:color w:val="auto"/>
          <w:sz w:val="32"/>
          <w:szCs w:val="32"/>
        </w:rPr>
      </w:pPr>
      <w:r>
        <w:rPr>
          <w:rFonts w:hint="eastAsia" w:ascii="仿宋_GB2312" w:hAnsi="仿宋_GB2312" w:eastAsia="仿宋_GB2312" w:cs="仿宋_GB2312"/>
          <w:sz w:val="32"/>
          <w:szCs w:val="32"/>
          <w:lang w:val="en-US" w:eastAsia="zh-CN"/>
        </w:rPr>
        <w:t>本级和所属单位均为事业单位，按照机关运行经费的口径，本年度机关运行经费为0。</w:t>
      </w:r>
    </w:p>
    <w:p w14:paraId="39684EF2">
      <w:pPr>
        <w:pStyle w:val="12"/>
        <w:keepNext w:val="0"/>
        <w:keepLines w:val="0"/>
        <w:pageBreakBefore w:val="0"/>
        <w:widowControl w:val="0"/>
        <w:numPr>
          <w:ilvl w:val="0"/>
          <w:numId w:val="3"/>
        </w:numPr>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一般性支出情况说明</w:t>
      </w:r>
    </w:p>
    <w:p w14:paraId="771E2AB3">
      <w:pPr>
        <w:pStyle w:val="12"/>
        <w:ind w:firstLine="640" w:firstLineChars="200"/>
        <w:rPr>
          <w:rFonts w:hint="default" w:ascii="黑体" w:hAnsi="黑体" w:eastAsia="黑体" w:cs="黑体"/>
          <w:b w:val="0"/>
          <w:bCs/>
          <w:sz w:val="32"/>
          <w:szCs w:val="32"/>
          <w:lang w:val="en-US" w:eastAsia="zh-CN"/>
        </w:rPr>
      </w:pPr>
      <w:r>
        <w:rPr>
          <w:rFonts w:hint="eastAsia" w:ascii="仿宋" w:hAnsi="仿宋" w:eastAsia="仿宋" w:cs="仿宋"/>
          <w:b w:val="0"/>
          <w:bCs/>
          <w:sz w:val="32"/>
          <w:szCs w:val="32"/>
          <w:lang w:val="en-US" w:eastAsia="zh-CN"/>
        </w:rPr>
        <w:t>本单位无会议费的预算和支出决算数；本单位无培训费的预算和支出决算数；本单位无举办节庆、晚会、论坛、赛事等活动的预算和支出决算数。</w:t>
      </w:r>
    </w:p>
    <w:p w14:paraId="252D0BEE">
      <w:pPr>
        <w:pStyle w:val="12"/>
        <w:keepNext w:val="0"/>
        <w:keepLines w:val="0"/>
        <w:pageBreakBefore w:val="0"/>
        <w:widowControl w:val="0"/>
        <w:numPr>
          <w:ilvl w:val="0"/>
          <w:numId w:val="3"/>
        </w:numPr>
        <w:kinsoku/>
        <w:wordWrap/>
        <w:overflowPunct/>
        <w:topLinePunct w:val="0"/>
        <w:bidi w:val="0"/>
        <w:snapToGrid/>
        <w:spacing w:line="600" w:lineRule="exact"/>
        <w:ind w:left="0" w:leftChars="0"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关于政府采购支出说明</w:t>
      </w:r>
    </w:p>
    <w:p w14:paraId="1C243809">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宋体" w:hAnsi="宋体" w:eastAsia="宋体"/>
          <w:i/>
          <w:color w:val="auto"/>
          <w:sz w:val="32"/>
          <w:szCs w:val="32"/>
          <w:lang w:val="en-US" w:eastAsia="zh-CN"/>
        </w:rPr>
      </w:pPr>
      <w:r>
        <w:rPr>
          <w:rFonts w:hint="eastAsia" w:ascii="Times New Roman" w:hAnsi="Times New Roman" w:eastAsia="仿宋_GB2312"/>
          <w:color w:val="auto"/>
          <w:sz w:val="32"/>
          <w:szCs w:val="32"/>
          <w:lang w:val="en-US" w:eastAsia="zh-CN"/>
        </w:rPr>
        <w:t>截至</w:t>
      </w:r>
      <w:r>
        <w:rPr>
          <w:rFonts w:hint="eastAsia" w:ascii="Times New Roman" w:hAnsi="Times New Roman" w:eastAsia="仿宋_GB2312"/>
          <w:color w:val="auto"/>
          <w:sz w:val="32"/>
          <w:szCs w:val="32"/>
        </w:rPr>
        <w:t>202</w:t>
      </w:r>
      <w:r>
        <w:rPr>
          <w:rFonts w:hint="eastAsia" w:ascii="Times New Roman" w:hAnsi="Times New Roman" w:eastAsia="仿宋_GB2312"/>
          <w:color w:val="auto"/>
          <w:sz w:val="32"/>
          <w:szCs w:val="32"/>
          <w:lang w:val="en-US" w:eastAsia="zh-CN"/>
        </w:rPr>
        <w:t>4</w:t>
      </w:r>
      <w:r>
        <w:rPr>
          <w:rFonts w:hint="eastAsia" w:ascii="Times New Roman" w:hAnsi="Times New Roman" w:eastAsia="仿宋_GB2312"/>
          <w:color w:val="auto"/>
          <w:sz w:val="32"/>
          <w:szCs w:val="32"/>
        </w:rPr>
        <w:t>年</w:t>
      </w:r>
      <w:r>
        <w:rPr>
          <w:rFonts w:hint="eastAsia" w:ascii="Times New Roman" w:hAnsi="Times New Roman" w:eastAsia="仿宋_GB2312"/>
          <w:color w:val="auto"/>
          <w:sz w:val="32"/>
          <w:szCs w:val="32"/>
          <w:lang w:val="en-US" w:eastAsia="zh-CN"/>
        </w:rPr>
        <w:t>12月31日，本单位共有车辆0</w:t>
      </w:r>
      <w:r>
        <w:rPr>
          <w:rFonts w:hint="eastAsia" w:ascii="Times New Roman" w:hAnsi="Times New Roman" w:eastAsia="仿宋_GB2312"/>
          <w:color w:val="auto"/>
          <w:sz w:val="32"/>
          <w:szCs w:val="32"/>
        </w:rPr>
        <w:t>度政府采购支出总额</w:t>
      </w:r>
      <w:r>
        <w:rPr>
          <w:rFonts w:hint="eastAsia" w:ascii="Times New Roman" w:hAnsi="Times New Roman" w:eastAsia="仿宋_GB2312"/>
          <w:color w:val="auto"/>
          <w:sz w:val="32"/>
          <w:szCs w:val="32"/>
          <w:lang w:val="en-US" w:eastAsia="zh-CN"/>
        </w:rPr>
        <w:t>173.46</w:t>
      </w:r>
      <w:r>
        <w:rPr>
          <w:rFonts w:hint="eastAsia" w:ascii="Times New Roman" w:hAnsi="Times New Roman" w:eastAsia="仿宋_GB2312"/>
          <w:color w:val="auto"/>
          <w:sz w:val="32"/>
          <w:szCs w:val="32"/>
        </w:rPr>
        <w:t>万元，其中：政府采购货物支出</w:t>
      </w:r>
      <w:r>
        <w:rPr>
          <w:rFonts w:hint="eastAsia" w:ascii="Times New Roman" w:hAnsi="Times New Roman" w:eastAsia="仿宋_GB2312"/>
          <w:color w:val="auto"/>
          <w:sz w:val="32"/>
          <w:szCs w:val="32"/>
          <w:lang w:val="en-US" w:eastAsia="zh-CN"/>
        </w:rPr>
        <w:t>0</w:t>
      </w:r>
      <w:r>
        <w:rPr>
          <w:rFonts w:hint="eastAsia" w:ascii="Times New Roman" w:hAnsi="Times New Roman" w:eastAsia="仿宋_GB2312"/>
          <w:color w:val="auto"/>
          <w:sz w:val="32"/>
          <w:szCs w:val="32"/>
        </w:rPr>
        <w:t xml:space="preserve"> 万元、政府采购工程支出</w:t>
      </w:r>
      <w:r>
        <w:rPr>
          <w:rFonts w:hint="eastAsia" w:ascii="Times New Roman" w:hAnsi="Times New Roman" w:eastAsia="仿宋_GB2312"/>
          <w:color w:val="auto"/>
          <w:sz w:val="32"/>
          <w:szCs w:val="32"/>
          <w:lang w:val="en-US" w:eastAsia="zh-CN"/>
        </w:rPr>
        <w:t>0</w:t>
      </w:r>
      <w:r>
        <w:rPr>
          <w:rFonts w:hint="eastAsia" w:ascii="Times New Roman" w:hAnsi="Times New Roman" w:eastAsia="仿宋_GB2312"/>
          <w:color w:val="auto"/>
          <w:sz w:val="32"/>
          <w:szCs w:val="32"/>
        </w:rPr>
        <w:t>万元、政府采购服务支出</w:t>
      </w:r>
      <w:r>
        <w:rPr>
          <w:rFonts w:hint="eastAsia" w:ascii="Times New Roman" w:hAnsi="Times New Roman" w:eastAsia="仿宋_GB2312"/>
          <w:color w:val="auto"/>
          <w:sz w:val="32"/>
          <w:szCs w:val="32"/>
          <w:lang w:val="en-US" w:eastAsia="zh-CN"/>
        </w:rPr>
        <w:t>0</w:t>
      </w:r>
      <w:r>
        <w:rPr>
          <w:rFonts w:hint="eastAsia" w:ascii="Times New Roman" w:hAnsi="Times New Roman" w:eastAsia="仿宋_GB2312"/>
          <w:color w:val="auto"/>
          <w:sz w:val="32"/>
          <w:szCs w:val="32"/>
        </w:rPr>
        <w:t>万元。授予中小企业合同金额</w:t>
      </w:r>
      <w:r>
        <w:rPr>
          <w:rFonts w:hint="eastAsia" w:ascii="Times New Roman" w:hAnsi="Times New Roman" w:eastAsia="仿宋_GB2312"/>
          <w:color w:val="auto"/>
          <w:sz w:val="32"/>
          <w:szCs w:val="32"/>
          <w:lang w:val="en-US" w:eastAsia="zh-CN"/>
        </w:rPr>
        <w:t>173.46</w:t>
      </w:r>
      <w:r>
        <w:rPr>
          <w:rFonts w:hint="eastAsia" w:ascii="Times New Roman" w:hAnsi="Times New Roman" w:eastAsia="仿宋_GB2312"/>
          <w:color w:val="auto"/>
          <w:sz w:val="32"/>
          <w:szCs w:val="32"/>
        </w:rPr>
        <w:t>万元</w:t>
      </w:r>
      <w:r>
        <w:rPr>
          <w:rFonts w:hint="eastAsia" w:ascii="Times New Roman" w:hAnsi="Times New Roman" w:eastAsia="仿宋_GB2312"/>
          <w:color w:val="auto"/>
          <w:sz w:val="32"/>
          <w:szCs w:val="32"/>
          <w:lang w:eastAsia="zh-CN"/>
        </w:rPr>
        <w:t>（由于预算数为</w:t>
      </w:r>
      <w:r>
        <w:rPr>
          <w:rFonts w:hint="eastAsia" w:ascii="Times New Roman" w:hAnsi="Times New Roman" w:eastAsia="仿宋_GB2312"/>
          <w:color w:val="auto"/>
          <w:sz w:val="32"/>
          <w:szCs w:val="32"/>
          <w:lang w:val="en-US" w:eastAsia="zh-CN"/>
        </w:rPr>
        <w:t>0，故无法计算</w:t>
      </w:r>
      <w:r>
        <w:rPr>
          <w:rFonts w:hint="eastAsia" w:ascii="Times New Roman" w:hAnsi="Times New Roman" w:eastAsia="仿宋_GB2312"/>
          <w:color w:val="auto"/>
          <w:sz w:val="32"/>
          <w:szCs w:val="32"/>
        </w:rPr>
        <w:t>占政府采购支出总额的</w:t>
      </w:r>
      <w:r>
        <w:rPr>
          <w:rFonts w:hint="eastAsia" w:ascii="Times New Roman" w:hAnsi="Times New Roman" w:eastAsia="仿宋_GB2312"/>
          <w:color w:val="auto"/>
          <w:sz w:val="32"/>
          <w:szCs w:val="32"/>
          <w:lang w:eastAsia="zh-CN"/>
        </w:rPr>
        <w:t>比重）</w:t>
      </w:r>
      <w:r>
        <w:rPr>
          <w:rFonts w:hint="eastAsia" w:ascii="Times New Roman" w:hAnsi="Times New Roman" w:eastAsia="仿宋_GB2312"/>
          <w:color w:val="auto"/>
          <w:sz w:val="32"/>
          <w:szCs w:val="32"/>
        </w:rPr>
        <w:t>，其中：授予小微企业合同金额</w:t>
      </w:r>
      <w:r>
        <w:rPr>
          <w:rFonts w:hint="eastAsia" w:ascii="Times New Roman" w:hAnsi="Times New Roman" w:eastAsia="仿宋_GB2312"/>
          <w:color w:val="auto"/>
          <w:sz w:val="32"/>
          <w:szCs w:val="32"/>
          <w:lang w:val="en-US" w:eastAsia="zh-CN"/>
        </w:rPr>
        <w:t>0</w:t>
      </w:r>
      <w:r>
        <w:rPr>
          <w:rFonts w:hint="eastAsia" w:ascii="Times New Roman" w:hAnsi="Times New Roman" w:eastAsia="仿宋_GB2312"/>
          <w:color w:val="auto"/>
          <w:sz w:val="32"/>
          <w:szCs w:val="32"/>
        </w:rPr>
        <w:t>万元</w:t>
      </w:r>
      <w:r>
        <w:rPr>
          <w:rFonts w:hint="eastAsia" w:ascii="Times New Roman" w:hAnsi="Times New Roman" w:eastAsia="仿宋_GB2312"/>
          <w:color w:val="auto"/>
          <w:sz w:val="32"/>
          <w:szCs w:val="32"/>
          <w:lang w:eastAsia="zh-CN"/>
        </w:rPr>
        <w:t>（由于预算数为</w:t>
      </w:r>
      <w:r>
        <w:rPr>
          <w:rFonts w:hint="eastAsia" w:ascii="Times New Roman" w:hAnsi="Times New Roman" w:eastAsia="仿宋_GB2312"/>
          <w:color w:val="auto"/>
          <w:sz w:val="32"/>
          <w:szCs w:val="32"/>
          <w:lang w:val="en-US" w:eastAsia="zh-CN"/>
        </w:rPr>
        <w:t>0，故无法计算</w:t>
      </w:r>
      <w:r>
        <w:rPr>
          <w:rFonts w:hint="eastAsia" w:ascii="Times New Roman" w:hAnsi="Times New Roman" w:eastAsia="仿宋_GB2312"/>
          <w:color w:val="auto"/>
          <w:sz w:val="32"/>
          <w:szCs w:val="32"/>
        </w:rPr>
        <w:t>占</w:t>
      </w:r>
      <w:r>
        <w:rPr>
          <w:rFonts w:hint="eastAsia" w:ascii="Times New Roman" w:hAnsi="Times New Roman" w:eastAsia="仿宋_GB2312"/>
          <w:color w:val="auto"/>
          <w:sz w:val="32"/>
          <w:szCs w:val="32"/>
          <w:lang w:eastAsia="zh-CN"/>
        </w:rPr>
        <w:t>授予中小企业合同金额</w:t>
      </w:r>
      <w:r>
        <w:rPr>
          <w:rFonts w:hint="eastAsia" w:ascii="Times New Roman" w:hAnsi="Times New Roman" w:eastAsia="仿宋_GB2312"/>
          <w:color w:val="auto"/>
          <w:sz w:val="32"/>
          <w:szCs w:val="32"/>
        </w:rPr>
        <w:t>的</w:t>
      </w:r>
      <w:r>
        <w:rPr>
          <w:rFonts w:hint="eastAsia" w:ascii="Times New Roman" w:hAnsi="Times New Roman" w:eastAsia="仿宋_GB2312"/>
          <w:color w:val="auto"/>
          <w:sz w:val="32"/>
          <w:szCs w:val="32"/>
          <w:lang w:eastAsia="zh-CN"/>
        </w:rPr>
        <w:t>比重）</w:t>
      </w:r>
      <w:r>
        <w:rPr>
          <w:rFonts w:hint="eastAsia" w:ascii="Times New Roman" w:hAnsi="Times New Roman" w:eastAsia="仿宋_GB2312"/>
          <w:color w:val="auto"/>
          <w:sz w:val="32"/>
          <w:szCs w:val="32"/>
        </w:rPr>
        <w:t>。货物采购授予中小企业合同金额占货物支出金额的</w:t>
      </w:r>
      <w:r>
        <w:rPr>
          <w:rFonts w:hint="eastAsia" w:ascii="Times New Roman" w:hAnsi="Times New Roman" w:eastAsia="仿宋_GB2312"/>
          <w:color w:val="auto"/>
          <w:sz w:val="32"/>
          <w:szCs w:val="32"/>
          <w:lang w:eastAsia="zh-CN"/>
        </w:rPr>
        <w:t>比重</w:t>
      </w:r>
      <w:r>
        <w:rPr>
          <w:rFonts w:hint="eastAsia" w:ascii="Times New Roman" w:hAnsi="Times New Roman" w:eastAsia="仿宋_GB2312"/>
          <w:color w:val="auto"/>
          <w:sz w:val="32"/>
          <w:szCs w:val="32"/>
        </w:rPr>
        <w:t>，工程采购授予中小企业合同金额占工程支出金额的</w:t>
      </w:r>
      <w:r>
        <w:rPr>
          <w:rFonts w:hint="eastAsia" w:ascii="Times New Roman" w:hAnsi="Times New Roman" w:eastAsia="仿宋_GB2312"/>
          <w:color w:val="auto"/>
          <w:sz w:val="32"/>
          <w:szCs w:val="32"/>
          <w:lang w:eastAsia="zh-CN"/>
        </w:rPr>
        <w:t>比重</w:t>
      </w:r>
      <w:r>
        <w:rPr>
          <w:rFonts w:hint="eastAsia" w:ascii="Times New Roman" w:hAnsi="Times New Roman" w:eastAsia="仿宋_GB2312"/>
          <w:color w:val="auto"/>
          <w:sz w:val="32"/>
          <w:szCs w:val="32"/>
        </w:rPr>
        <w:t>，服务采购授予中小企业合同金额占服务支出金额的</w:t>
      </w:r>
      <w:r>
        <w:rPr>
          <w:rFonts w:hint="eastAsia" w:ascii="Times New Roman" w:hAnsi="Times New Roman" w:eastAsia="仿宋_GB2312"/>
          <w:color w:val="auto"/>
          <w:sz w:val="32"/>
          <w:szCs w:val="32"/>
          <w:lang w:eastAsia="zh-CN"/>
        </w:rPr>
        <w:t>比重，由于各项预算数为</w:t>
      </w:r>
      <w:r>
        <w:rPr>
          <w:rFonts w:hint="eastAsia" w:ascii="Times New Roman" w:hAnsi="Times New Roman" w:eastAsia="仿宋_GB2312"/>
          <w:color w:val="auto"/>
          <w:sz w:val="32"/>
          <w:szCs w:val="32"/>
          <w:lang w:val="en-US" w:eastAsia="zh-CN"/>
        </w:rPr>
        <w:t>0，故无法计算各项占比</w:t>
      </w:r>
      <w:r>
        <w:rPr>
          <w:rFonts w:hint="eastAsia" w:ascii="Times New Roman" w:hAnsi="Times New Roman" w:eastAsia="仿宋_GB2312"/>
          <w:color w:val="auto"/>
          <w:sz w:val="32"/>
          <w:szCs w:val="32"/>
        </w:rPr>
        <w:t>。</w:t>
      </w:r>
    </w:p>
    <w:p w14:paraId="453C9EB7">
      <w:pPr>
        <w:pStyle w:val="12"/>
        <w:keepNext w:val="0"/>
        <w:keepLines w:val="0"/>
        <w:pageBreakBefore w:val="0"/>
        <w:widowControl w:val="0"/>
        <w:numPr>
          <w:ilvl w:val="0"/>
          <w:numId w:val="0"/>
        </w:numPr>
        <w:kinsoku/>
        <w:wordWrap/>
        <w:overflowPunct/>
        <w:topLinePunct w:val="0"/>
        <w:bidi w:val="0"/>
        <w:snapToGrid/>
        <w:spacing w:line="600" w:lineRule="exact"/>
        <w:ind w:leftChars="200"/>
        <w:textAlignment w:val="auto"/>
        <w:rPr>
          <w:rFonts w:hint="eastAsia" w:ascii="黑体" w:hAnsi="黑体" w:eastAsia="黑体" w:cs="黑体"/>
          <w:b w:val="0"/>
          <w:bCs/>
          <w:sz w:val="32"/>
          <w:szCs w:val="32"/>
        </w:rPr>
      </w:pPr>
    </w:p>
    <w:p w14:paraId="246A0DF6">
      <w:pPr>
        <w:pStyle w:val="12"/>
        <w:keepNext w:val="0"/>
        <w:keepLines w:val="0"/>
        <w:pageBreakBefore w:val="0"/>
        <w:widowControl w:val="0"/>
        <w:numPr>
          <w:ilvl w:val="0"/>
          <w:numId w:val="3"/>
        </w:numPr>
        <w:kinsoku/>
        <w:wordWrap/>
        <w:overflowPunct/>
        <w:topLinePunct w:val="0"/>
        <w:autoSpaceDE w:val="0"/>
        <w:autoSpaceDN w:val="0"/>
        <w:bidi w:val="0"/>
        <w:adjustRightInd w:val="0"/>
        <w:snapToGrid/>
        <w:spacing w:line="580" w:lineRule="exact"/>
        <w:ind w:left="0" w:leftChars="0" w:firstLine="640" w:firstLineChars="200"/>
        <w:textAlignment w:val="auto"/>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rPr>
        <w:t>关于国有资产占用情况说明</w:t>
      </w:r>
    </w:p>
    <w:p w14:paraId="1A413D47">
      <w:pPr>
        <w:pStyle w:val="12"/>
        <w:keepNext w:val="0"/>
        <w:keepLines w:val="0"/>
        <w:pageBreakBefore w:val="0"/>
        <w:widowControl w:val="0"/>
        <w:kinsoku/>
        <w:wordWrap/>
        <w:overflowPunct/>
        <w:topLinePunct w:val="0"/>
        <w:autoSpaceDE w:val="0"/>
        <w:autoSpaceDN w:val="0"/>
        <w:bidi w:val="0"/>
        <w:adjustRightInd w:val="0"/>
        <w:snapToGrid/>
        <w:spacing w:line="58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截至202</w:t>
      </w: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年12月31日，</w:t>
      </w:r>
      <w:r>
        <w:rPr>
          <w:rFonts w:hint="eastAsia" w:ascii="仿宋_GB2312" w:hAnsi="仿宋_GB2312" w:eastAsia="仿宋_GB2312" w:cs="仿宋_GB2312"/>
          <w:color w:val="auto"/>
          <w:sz w:val="32"/>
          <w:szCs w:val="32"/>
          <w:lang w:eastAsia="zh-CN"/>
        </w:rPr>
        <w:t>部门（单位）</w:t>
      </w:r>
      <w:r>
        <w:rPr>
          <w:rFonts w:hint="eastAsia" w:ascii="仿宋_GB2312" w:hAnsi="仿宋_GB2312" w:eastAsia="仿宋_GB2312" w:cs="仿宋_GB2312"/>
          <w:color w:val="auto"/>
          <w:sz w:val="32"/>
          <w:szCs w:val="32"/>
        </w:rPr>
        <w:t>共有车辆</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辆，其中</w:t>
      </w:r>
      <w:r>
        <w:rPr>
          <w:rFonts w:hint="eastAsia" w:ascii="仿宋_GB2312" w:hAnsi="仿宋_GB2312" w:eastAsia="仿宋_GB2312" w:cs="仿宋_GB2312"/>
          <w:color w:val="auto"/>
          <w:sz w:val="32"/>
          <w:szCs w:val="32"/>
          <w:lang w:eastAsia="zh-CN"/>
        </w:rPr>
        <w:t>，副部（省）级及以上领导用车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主要</w:t>
      </w:r>
      <w:r>
        <w:rPr>
          <w:rFonts w:hint="eastAsia" w:ascii="仿宋_GB2312" w:hAnsi="仿宋_GB2312" w:eastAsia="仿宋_GB2312" w:cs="仿宋_GB2312"/>
          <w:color w:val="auto"/>
          <w:sz w:val="32"/>
          <w:szCs w:val="32"/>
          <w:lang w:eastAsia="zh-CN"/>
        </w:rPr>
        <w:t>负责人</w:t>
      </w:r>
      <w:r>
        <w:rPr>
          <w:rFonts w:hint="eastAsia" w:ascii="仿宋_GB2312" w:hAnsi="仿宋_GB2312" w:eastAsia="仿宋_GB2312" w:cs="仿宋_GB2312"/>
          <w:color w:val="auto"/>
          <w:sz w:val="32"/>
          <w:szCs w:val="32"/>
        </w:rPr>
        <w:t>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机要通信用车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辆、应急保障用车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辆、执法执勤用车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辆、特种专业技术用车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w:t>
      </w:r>
      <w:r>
        <w:rPr>
          <w:rFonts w:hint="eastAsia" w:ascii="仿宋_GB2312" w:hAnsi="仿宋_GB2312" w:eastAsia="仿宋_GB2312" w:cs="仿宋_GB2312"/>
          <w:color w:val="auto"/>
          <w:sz w:val="32"/>
          <w:szCs w:val="32"/>
          <w:lang w:eastAsia="zh-CN"/>
        </w:rPr>
        <w:t>离退休干部服务用车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辆、其他用车</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辆，单位价值100万元以上设备</w:t>
      </w:r>
      <w:r>
        <w:rPr>
          <w:rFonts w:hint="eastAsia" w:ascii="仿宋_GB2312" w:hAnsi="仿宋_GB2312" w:eastAsia="仿宋_GB2312" w:cs="仿宋_GB2312"/>
          <w:color w:val="auto"/>
          <w:sz w:val="32"/>
          <w:szCs w:val="32"/>
          <w:lang w:eastAsia="zh-CN"/>
        </w:rPr>
        <w:t>（不含车辆）</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台（套）。</w:t>
      </w:r>
    </w:p>
    <w:p w14:paraId="4069362C">
      <w:pPr>
        <w:pStyle w:val="12"/>
        <w:keepNext w:val="0"/>
        <w:keepLines w:val="0"/>
        <w:pageBreakBefore w:val="0"/>
        <w:widowControl w:val="0"/>
        <w:numPr>
          <w:ilvl w:val="0"/>
          <w:numId w:val="0"/>
        </w:numPr>
        <w:kinsoku/>
        <w:wordWrap/>
        <w:overflowPunct/>
        <w:topLinePunct w:val="0"/>
        <w:autoSpaceDE w:val="0"/>
        <w:autoSpaceDN w:val="0"/>
        <w:bidi w:val="0"/>
        <w:adjustRightInd w:val="0"/>
        <w:snapToGrid/>
        <w:spacing w:line="580" w:lineRule="exact"/>
        <w:ind w:leftChars="200"/>
        <w:textAlignment w:val="auto"/>
        <w:rPr>
          <w:rFonts w:hint="eastAsia" w:ascii="黑体" w:hAnsi="黑体" w:eastAsia="黑体" w:cs="黑体"/>
          <w:b w:val="0"/>
          <w:bCs/>
          <w:color w:val="auto"/>
          <w:sz w:val="32"/>
          <w:szCs w:val="32"/>
        </w:rPr>
      </w:pPr>
    </w:p>
    <w:p w14:paraId="0A8224AC">
      <w:pPr>
        <w:pStyle w:val="12"/>
        <w:keepNext w:val="0"/>
        <w:keepLines w:val="0"/>
        <w:pageBreakBefore w:val="0"/>
        <w:widowControl w:val="0"/>
        <w:numPr>
          <w:ilvl w:val="0"/>
          <w:numId w:val="3"/>
        </w:numPr>
        <w:kinsoku/>
        <w:wordWrap/>
        <w:overflowPunct/>
        <w:topLinePunct w:val="0"/>
        <w:autoSpaceDE w:val="0"/>
        <w:autoSpaceDN w:val="0"/>
        <w:bidi w:val="0"/>
        <w:adjustRightInd w:val="0"/>
        <w:snapToGrid/>
        <w:spacing w:line="580" w:lineRule="exact"/>
        <w:ind w:left="0" w:leftChars="0" w:firstLine="640" w:firstLineChars="200"/>
        <w:textAlignment w:val="auto"/>
        <w:rPr>
          <w:rFonts w:hint="eastAsia" w:ascii="黑体" w:hAnsi="黑体" w:eastAsia="黑体" w:cs="黑体"/>
          <w:b w:val="0"/>
          <w:bCs/>
          <w:color w:val="auto"/>
          <w:sz w:val="32"/>
          <w:szCs w:val="32"/>
          <w:highlight w:val="none"/>
        </w:rPr>
      </w:pPr>
      <w:r>
        <w:rPr>
          <w:rFonts w:hint="eastAsia" w:ascii="黑体" w:hAnsi="黑体" w:eastAsia="黑体" w:cs="黑体"/>
          <w:b w:val="0"/>
          <w:bCs/>
          <w:color w:val="auto"/>
          <w:sz w:val="32"/>
          <w:szCs w:val="32"/>
          <w:highlight w:val="none"/>
        </w:rPr>
        <w:t>关于</w:t>
      </w:r>
      <w:r>
        <w:rPr>
          <w:rFonts w:hint="eastAsia" w:ascii="Times New Roman" w:hAnsi="Times New Roman" w:eastAsia="仿宋_GB2312"/>
          <w:color w:val="auto"/>
          <w:sz w:val="32"/>
          <w:szCs w:val="32"/>
          <w:highlight w:val="none"/>
        </w:rPr>
        <w:t>202</w:t>
      </w:r>
      <w:r>
        <w:rPr>
          <w:rFonts w:hint="eastAsia" w:ascii="Times New Roman" w:hAnsi="Times New Roman" w:eastAsia="仿宋_GB2312"/>
          <w:color w:val="auto"/>
          <w:sz w:val="32"/>
          <w:szCs w:val="32"/>
          <w:highlight w:val="none"/>
          <w:lang w:val="en-US" w:eastAsia="zh-CN"/>
        </w:rPr>
        <w:t>4</w:t>
      </w:r>
      <w:r>
        <w:rPr>
          <w:rFonts w:hint="eastAsia" w:ascii="黑体" w:hAnsi="黑体" w:eastAsia="黑体" w:cs="黑体"/>
          <w:b w:val="0"/>
          <w:bCs/>
          <w:color w:val="auto"/>
          <w:sz w:val="32"/>
          <w:szCs w:val="32"/>
          <w:highlight w:val="none"/>
        </w:rPr>
        <w:t>年度</w:t>
      </w:r>
      <w:r>
        <w:rPr>
          <w:rFonts w:hint="eastAsia" w:hAnsi="黑体" w:cs="黑体"/>
          <w:b w:val="0"/>
          <w:bCs/>
          <w:color w:val="auto"/>
          <w:sz w:val="32"/>
          <w:szCs w:val="32"/>
          <w:highlight w:val="none"/>
          <w:lang w:eastAsia="zh-CN"/>
        </w:rPr>
        <w:t>预算</w:t>
      </w:r>
      <w:r>
        <w:rPr>
          <w:rFonts w:hint="eastAsia" w:ascii="黑体" w:hAnsi="黑体" w:eastAsia="黑体" w:cs="黑体"/>
          <w:b w:val="0"/>
          <w:bCs/>
          <w:color w:val="auto"/>
          <w:sz w:val="32"/>
          <w:szCs w:val="32"/>
          <w:highlight w:val="none"/>
        </w:rPr>
        <w:t>绩效</w:t>
      </w:r>
      <w:r>
        <w:rPr>
          <w:rFonts w:hint="eastAsia" w:hAnsi="黑体" w:cs="黑体"/>
          <w:b w:val="0"/>
          <w:bCs/>
          <w:color w:val="auto"/>
          <w:sz w:val="32"/>
          <w:szCs w:val="32"/>
          <w:highlight w:val="none"/>
          <w:lang w:eastAsia="zh-CN"/>
        </w:rPr>
        <w:t>管理</w:t>
      </w:r>
      <w:r>
        <w:rPr>
          <w:rFonts w:hint="eastAsia" w:ascii="黑体" w:hAnsi="黑体" w:eastAsia="黑体" w:cs="黑体"/>
          <w:b w:val="0"/>
          <w:bCs/>
          <w:color w:val="auto"/>
          <w:sz w:val="32"/>
          <w:szCs w:val="32"/>
          <w:highlight w:val="none"/>
        </w:rPr>
        <w:t>情况的说明</w:t>
      </w:r>
    </w:p>
    <w:p w14:paraId="1E7DA9B8">
      <w:pPr>
        <w:keepNext w:val="0"/>
        <w:keepLines w:val="0"/>
        <w:pageBreakBefore w:val="0"/>
        <w:widowControl w:val="0"/>
        <w:kinsoku/>
        <w:wordWrap/>
        <w:overflowPunct/>
        <w:topLinePunct w:val="0"/>
        <w:autoSpaceDE w:val="0"/>
        <w:autoSpaceDN w:val="0"/>
        <w:bidi w:val="0"/>
        <w:adjustRightInd w:val="0"/>
        <w:snapToGrid/>
        <w:spacing w:line="600" w:lineRule="exact"/>
        <w:ind w:firstLine="640" w:firstLineChars="200"/>
        <w:jc w:val="left"/>
        <w:textAlignment w:val="auto"/>
        <w:rPr>
          <w:rFonts w:hint="eastAsia" w:ascii="仿宋_GB2312" w:hAnsi="仿宋_GB2312" w:eastAsia="仿宋_GB2312" w:cs="仿宋_GB2312"/>
          <w:b w:val="0"/>
          <w:bCs w:val="0"/>
          <w:color w:val="000000"/>
          <w:kern w:val="0"/>
          <w:sz w:val="32"/>
          <w:szCs w:val="32"/>
          <w:lang w:val="en-US" w:eastAsia="zh-CN" w:bidi="ar-SA"/>
        </w:rPr>
      </w:pPr>
      <w:r>
        <w:rPr>
          <w:rFonts w:hint="eastAsia" w:ascii="仿宋_GB2312" w:hAnsi="仿宋_GB2312" w:eastAsia="仿宋_GB2312" w:cs="仿宋_GB2312"/>
          <w:b w:val="0"/>
          <w:bCs w:val="0"/>
          <w:color w:val="000000"/>
          <w:kern w:val="0"/>
          <w:sz w:val="32"/>
          <w:szCs w:val="32"/>
          <w:lang w:val="en-US" w:eastAsia="zh-CN" w:bidi="ar-SA"/>
        </w:rPr>
        <w:t>根据预算绩效管理要求，我们组织对2024年度整体支出和项目资金实施了全覆盖性的绩效评价，撰写了绩效自评报告。</w:t>
      </w:r>
    </w:p>
    <w:p w14:paraId="1B0B6332">
      <w:pPr>
        <w:keepNext w:val="0"/>
        <w:keepLines w:val="0"/>
        <w:pageBreakBefore w:val="0"/>
        <w:widowControl w:val="0"/>
        <w:kinsoku/>
        <w:wordWrap/>
        <w:overflowPunct/>
        <w:topLinePunct w:val="0"/>
        <w:autoSpaceDE w:val="0"/>
        <w:autoSpaceDN w:val="0"/>
        <w:bidi w:val="0"/>
        <w:adjustRightInd w:val="0"/>
        <w:snapToGrid/>
        <w:spacing w:line="600" w:lineRule="exact"/>
        <w:ind w:firstLine="640" w:firstLineChars="200"/>
        <w:jc w:val="left"/>
        <w:textAlignment w:val="auto"/>
        <w:rPr>
          <w:rFonts w:hint="eastAsia" w:ascii="仿宋_GB2312" w:hAnsi="仿宋_GB2312" w:eastAsia="仿宋_GB2312" w:cs="仿宋_GB2312"/>
          <w:b w:val="0"/>
          <w:bCs w:val="0"/>
          <w:color w:val="000000"/>
          <w:kern w:val="0"/>
          <w:sz w:val="32"/>
          <w:szCs w:val="32"/>
          <w:lang w:val="en-US" w:eastAsia="zh-CN" w:bidi="ar-SA"/>
        </w:rPr>
      </w:pPr>
      <w:r>
        <w:rPr>
          <w:rFonts w:hint="eastAsia" w:ascii="仿宋_GB2312" w:hAnsi="仿宋_GB2312" w:eastAsia="仿宋_GB2312" w:cs="仿宋_GB2312"/>
          <w:b w:val="0"/>
          <w:bCs w:val="0"/>
          <w:color w:val="000000"/>
          <w:kern w:val="0"/>
          <w:sz w:val="32"/>
          <w:szCs w:val="32"/>
          <w:lang w:val="en-US" w:eastAsia="zh-CN" w:bidi="ar-SA"/>
        </w:rPr>
        <w:t>组织开展整体支出绩效评价，涉及一般公共预算支出372.3万元，政府性基金预算支出0万元，国有资本经营预算支出0万元。从评价情况来看，整体支出绩效评价中，2023年整体支出372.3万元，其中：基本支出198.61万元，项目支出173.68万元，本单位整体支出绩效自评综合评分98分，评价结果等次为良。</w:t>
      </w:r>
    </w:p>
    <w:p w14:paraId="371A129C">
      <w:pPr>
        <w:keepNext w:val="0"/>
        <w:keepLines w:val="0"/>
        <w:pageBreakBefore w:val="0"/>
        <w:widowControl w:val="0"/>
        <w:kinsoku/>
        <w:wordWrap/>
        <w:overflowPunct/>
        <w:topLinePunct w:val="0"/>
        <w:autoSpaceDE w:val="0"/>
        <w:autoSpaceDN w:val="0"/>
        <w:bidi w:val="0"/>
        <w:adjustRightInd w:val="0"/>
        <w:snapToGrid/>
        <w:spacing w:line="600" w:lineRule="exact"/>
        <w:ind w:firstLine="640" w:firstLineChars="200"/>
        <w:jc w:val="left"/>
        <w:textAlignment w:val="auto"/>
        <w:rPr>
          <w:rFonts w:hint="eastAsia" w:ascii="仿宋_GB2312" w:hAnsi="仿宋_GB2312" w:eastAsia="仿宋_GB2312" w:cs="仿宋_GB2312"/>
          <w:b/>
          <w:bCs/>
          <w:sz w:val="32"/>
          <w:szCs w:val="32"/>
          <w:lang w:eastAsia="zh-CN"/>
        </w:rPr>
      </w:pPr>
      <w:r>
        <w:rPr>
          <w:rFonts w:hint="eastAsia" w:ascii="仿宋_GB2312" w:hAnsi="仿宋_GB2312" w:eastAsia="仿宋_GB2312" w:cs="仿宋_GB2312"/>
          <w:b w:val="0"/>
          <w:bCs w:val="0"/>
          <w:color w:val="000000"/>
          <w:kern w:val="0"/>
          <w:sz w:val="32"/>
          <w:szCs w:val="32"/>
          <w:lang w:val="en-US" w:eastAsia="zh-CN" w:bidi="ar-SA"/>
        </w:rPr>
        <w:t>组织对一般公共预算项目支出全面开展绩效自评，项目3个，共涉及资金173.68万元，占一般公共预算项目支出总额的100%。组织对政府性基金预算项目支出开展绩效自评，项目0个，共涉及资金0万元，由于此项资金为0，故无法计算此项占比。组织对国有资本经营预算项目支出开展绩效自评，项目0个，共涉及资金0万元，由于此项资金为0，故无法计算此项占比。从评价情况来看，项目绩效自评得分98分，评价结果等次为良。</w:t>
      </w:r>
    </w:p>
    <w:p w14:paraId="618A5509">
      <w:pPr>
        <w:pStyle w:val="12"/>
        <w:keepNext w:val="0"/>
        <w:keepLines w:val="0"/>
        <w:pageBreakBefore w:val="0"/>
        <w:widowControl w:val="0"/>
        <w:kinsoku/>
        <w:wordWrap/>
        <w:overflowPunct/>
        <w:topLinePunct w:val="0"/>
        <w:autoSpaceDE w:val="0"/>
        <w:autoSpaceDN w:val="0"/>
        <w:bidi w:val="0"/>
        <w:adjustRightInd w:val="0"/>
        <w:snapToGrid/>
        <w:spacing w:line="580" w:lineRule="exact"/>
        <w:ind w:firstLine="640" w:firstLineChars="200"/>
        <w:jc w:val="left"/>
        <w:textAlignment w:val="auto"/>
        <w:rPr>
          <w:rFonts w:hint="eastAsia" w:ascii="楷体" w:hAnsi="楷体" w:eastAsia="楷体" w:cs="楷体"/>
          <w:b/>
          <w:bCs/>
          <w:sz w:val="32"/>
          <w:szCs w:val="32"/>
        </w:rPr>
      </w:pPr>
      <w:r>
        <w:rPr>
          <w:rFonts w:hint="eastAsia" w:ascii="楷体" w:hAnsi="楷体" w:eastAsia="楷体" w:cs="楷体"/>
          <w:b/>
          <w:bCs/>
          <w:sz w:val="32"/>
          <w:szCs w:val="32"/>
          <w:lang w:eastAsia="zh-CN"/>
        </w:rPr>
        <w:t>（二）</w:t>
      </w:r>
      <w:r>
        <w:rPr>
          <w:rFonts w:hint="eastAsia" w:ascii="楷体" w:hAnsi="楷体" w:eastAsia="楷体" w:cs="楷体"/>
          <w:b/>
          <w:bCs/>
          <w:sz w:val="32"/>
          <w:szCs w:val="32"/>
        </w:rPr>
        <w:t>部门</w:t>
      </w:r>
      <w:r>
        <w:rPr>
          <w:rFonts w:hint="eastAsia" w:ascii="楷体" w:hAnsi="楷体" w:eastAsia="楷体" w:cs="楷体"/>
          <w:b/>
          <w:bCs/>
          <w:sz w:val="32"/>
          <w:szCs w:val="32"/>
          <w:lang w:eastAsia="zh-CN"/>
        </w:rPr>
        <w:t>（单位）</w:t>
      </w:r>
      <w:r>
        <w:rPr>
          <w:rFonts w:hint="eastAsia" w:ascii="楷体" w:hAnsi="楷体" w:eastAsia="楷体" w:cs="楷体"/>
          <w:b/>
          <w:bCs/>
          <w:sz w:val="32"/>
          <w:szCs w:val="32"/>
        </w:rPr>
        <w:t>整体支出绩效情况</w:t>
      </w:r>
    </w:p>
    <w:p w14:paraId="15A27B94">
      <w:pPr>
        <w:keepNext w:val="0"/>
        <w:keepLines w:val="0"/>
        <w:pageBreakBefore w:val="0"/>
        <w:widowControl w:val="0"/>
        <w:kinsoku/>
        <w:wordWrap/>
        <w:overflowPunct/>
        <w:topLinePunct w:val="0"/>
        <w:autoSpaceDE w:val="0"/>
        <w:autoSpaceDN w:val="0"/>
        <w:bidi w:val="0"/>
        <w:adjustRightInd w:val="0"/>
        <w:snapToGrid/>
        <w:spacing w:line="600" w:lineRule="exact"/>
        <w:ind w:firstLine="640" w:firstLineChars="200"/>
        <w:jc w:val="left"/>
        <w:textAlignment w:val="auto"/>
        <w:rPr>
          <w:rFonts w:hint="eastAsia" w:ascii="Times New Roman" w:hAnsi="Times New Roman" w:eastAsia="仿宋_GB2312"/>
          <w:color w:val="FF0000"/>
          <w:sz w:val="32"/>
          <w:szCs w:val="32"/>
        </w:rPr>
      </w:pPr>
      <w:r>
        <w:rPr>
          <w:rFonts w:hint="eastAsia" w:ascii="仿宋_GB2312" w:hAnsi="仿宋_GB2312" w:eastAsia="仿宋_GB2312" w:cs="仿宋_GB2312"/>
          <w:b w:val="0"/>
          <w:bCs w:val="0"/>
          <w:color w:val="000000"/>
          <w:kern w:val="0"/>
          <w:sz w:val="32"/>
          <w:szCs w:val="32"/>
          <w:lang w:val="en-US" w:eastAsia="zh-CN" w:bidi="ar-SA"/>
        </w:rPr>
        <w:t>根据年初设定的绩效目标，绩效自评得分为100分。全年预算数为372.3 万元，执行数为372.3万元，完成预算的100%。绩效目标完成情况：一是发现的主要问题及原因：回望过去的一年，我馆在局党组的关怀和同志们的大力支持下，我们虽说取得了一定的成绩，但离上级的要求还有一定的差距。主要表现为：一是理论和业务学习不够深入；二是创新意识有所欠缺。今后，我们将努力克服自身不足，认真学习，严格自律，为我市文化旅游事业持续健康发展作出更大的贡献。下一步改进措施：克服自身不足，认真学习，提高创新意识，严格自律，为我市文化事业持续健康发展作出更大的贡献。</w:t>
      </w:r>
    </w:p>
    <w:p w14:paraId="78B416CB">
      <w:pPr>
        <w:pStyle w:val="12"/>
        <w:keepNext w:val="0"/>
        <w:keepLines w:val="0"/>
        <w:pageBreakBefore w:val="0"/>
        <w:widowControl w:val="0"/>
        <w:kinsoku/>
        <w:wordWrap/>
        <w:overflowPunct/>
        <w:topLinePunct w:val="0"/>
        <w:autoSpaceDE w:val="0"/>
        <w:autoSpaceDN w:val="0"/>
        <w:bidi w:val="0"/>
        <w:adjustRightInd w:val="0"/>
        <w:snapToGrid/>
        <w:spacing w:line="580" w:lineRule="exact"/>
        <w:ind w:firstLine="640" w:firstLineChars="200"/>
        <w:jc w:val="left"/>
        <w:textAlignment w:val="auto"/>
        <w:rPr>
          <w:rFonts w:hint="eastAsia" w:ascii="楷体" w:hAnsi="楷体" w:eastAsia="楷体" w:cs="楷体"/>
          <w:b/>
          <w:bCs/>
          <w:sz w:val="32"/>
          <w:szCs w:val="32"/>
        </w:rPr>
      </w:pPr>
      <w:r>
        <w:rPr>
          <w:rFonts w:hint="eastAsia" w:ascii="楷体" w:hAnsi="楷体" w:eastAsia="楷体" w:cs="楷体"/>
          <w:b/>
          <w:bCs/>
          <w:sz w:val="32"/>
          <w:szCs w:val="32"/>
          <w:lang w:eastAsia="zh-CN"/>
        </w:rPr>
        <w:t>（三）</w:t>
      </w:r>
      <w:r>
        <w:rPr>
          <w:rFonts w:hint="eastAsia" w:ascii="楷体" w:hAnsi="楷体" w:eastAsia="楷体" w:cs="楷体"/>
          <w:b/>
          <w:bCs/>
          <w:sz w:val="32"/>
          <w:szCs w:val="32"/>
        </w:rPr>
        <w:t>存在的问题及原因分析</w:t>
      </w:r>
    </w:p>
    <w:p w14:paraId="3FCEF96A">
      <w:pPr>
        <w:autoSpaceDE w:val="0"/>
        <w:autoSpaceDN w:val="0"/>
        <w:adjustRightInd w:val="0"/>
        <w:ind w:firstLine="640" w:firstLineChars="200"/>
        <w:jc w:val="left"/>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预算绩效管理开展情况、绩效目标和绩效评价报告等，已在市政府部门财政预决算公开平台上向社会公开。详见附件。</w:t>
      </w:r>
    </w:p>
    <w:p w14:paraId="067C3EF6">
      <w:pPr>
        <w:pStyle w:val="7"/>
        <w:rPr>
          <w:rFonts w:hint="eastAsia" w:ascii="仿宋_GB2312" w:hAnsi="仿宋_GB2312" w:eastAsia="仿宋_GB2312" w:cs="仿宋_GB2312"/>
          <w:b w:val="0"/>
          <w:bCs w:val="0"/>
          <w:sz w:val="32"/>
          <w:szCs w:val="32"/>
          <w:lang w:val="en-US" w:eastAsia="zh-CN"/>
        </w:rPr>
      </w:pPr>
    </w:p>
    <w:p w14:paraId="4664A80B">
      <w:pPr>
        <w:pStyle w:val="3"/>
        <w:rPr>
          <w:rFonts w:hint="eastAsia" w:ascii="仿宋_GB2312" w:hAnsi="仿宋_GB2312" w:eastAsia="仿宋_GB2312" w:cs="仿宋_GB2312"/>
          <w:b w:val="0"/>
          <w:bCs w:val="0"/>
          <w:sz w:val="32"/>
          <w:szCs w:val="32"/>
          <w:lang w:val="en-US" w:eastAsia="zh-CN"/>
        </w:rPr>
      </w:pPr>
    </w:p>
    <w:p w14:paraId="2CAE1767">
      <w:pPr>
        <w:rPr>
          <w:rFonts w:hint="eastAsia" w:ascii="仿宋_GB2312" w:hAnsi="仿宋_GB2312" w:eastAsia="仿宋_GB2312" w:cs="仿宋_GB2312"/>
          <w:b w:val="0"/>
          <w:bCs w:val="0"/>
          <w:sz w:val="32"/>
          <w:szCs w:val="32"/>
          <w:lang w:val="en-US" w:eastAsia="zh-CN"/>
        </w:rPr>
      </w:pPr>
    </w:p>
    <w:p w14:paraId="097C8A75">
      <w:pPr>
        <w:pStyle w:val="7"/>
        <w:rPr>
          <w:rFonts w:hint="eastAsia" w:ascii="仿宋_GB2312" w:hAnsi="仿宋_GB2312" w:eastAsia="仿宋_GB2312" w:cs="仿宋_GB2312"/>
          <w:b w:val="0"/>
          <w:bCs w:val="0"/>
          <w:sz w:val="32"/>
          <w:szCs w:val="32"/>
          <w:lang w:val="en-US" w:eastAsia="zh-CN"/>
        </w:rPr>
      </w:pPr>
    </w:p>
    <w:p w14:paraId="73516F83">
      <w:pPr>
        <w:pStyle w:val="3"/>
        <w:rPr>
          <w:rFonts w:hint="eastAsia" w:ascii="仿宋_GB2312" w:hAnsi="仿宋_GB2312" w:eastAsia="仿宋_GB2312" w:cs="仿宋_GB2312"/>
          <w:b w:val="0"/>
          <w:bCs w:val="0"/>
          <w:sz w:val="32"/>
          <w:szCs w:val="32"/>
          <w:lang w:val="en-US" w:eastAsia="zh-CN"/>
        </w:rPr>
      </w:pPr>
    </w:p>
    <w:p w14:paraId="111376B7">
      <w:pPr>
        <w:rPr>
          <w:rFonts w:hint="eastAsia" w:ascii="仿宋_GB2312" w:hAnsi="仿宋_GB2312" w:eastAsia="仿宋_GB2312" w:cs="仿宋_GB2312"/>
          <w:b w:val="0"/>
          <w:bCs w:val="0"/>
          <w:sz w:val="32"/>
          <w:szCs w:val="32"/>
          <w:lang w:val="en-US" w:eastAsia="zh-CN"/>
        </w:rPr>
      </w:pPr>
    </w:p>
    <w:p w14:paraId="0FFD4A49">
      <w:pPr>
        <w:pStyle w:val="7"/>
        <w:rPr>
          <w:rFonts w:hint="eastAsia" w:ascii="仿宋_GB2312" w:hAnsi="仿宋_GB2312" w:eastAsia="仿宋_GB2312" w:cs="仿宋_GB2312"/>
          <w:b w:val="0"/>
          <w:bCs w:val="0"/>
          <w:sz w:val="32"/>
          <w:szCs w:val="32"/>
          <w:lang w:val="en-US" w:eastAsia="zh-CN"/>
        </w:rPr>
      </w:pPr>
    </w:p>
    <w:p w14:paraId="01DFA9B4">
      <w:pPr>
        <w:pStyle w:val="3"/>
        <w:rPr>
          <w:rFonts w:hint="eastAsia" w:ascii="仿宋_GB2312" w:hAnsi="仿宋_GB2312" w:eastAsia="仿宋_GB2312" w:cs="仿宋_GB2312"/>
          <w:b w:val="0"/>
          <w:bCs w:val="0"/>
          <w:sz w:val="32"/>
          <w:szCs w:val="32"/>
          <w:lang w:val="en-US" w:eastAsia="zh-CN"/>
        </w:rPr>
      </w:pPr>
    </w:p>
    <w:p w14:paraId="19E9A589">
      <w:pPr>
        <w:rPr>
          <w:rFonts w:hint="eastAsia" w:ascii="仿宋_GB2312" w:hAnsi="仿宋_GB2312" w:eastAsia="仿宋_GB2312" w:cs="仿宋_GB2312"/>
          <w:b w:val="0"/>
          <w:bCs w:val="0"/>
          <w:sz w:val="32"/>
          <w:szCs w:val="32"/>
          <w:lang w:val="en-US" w:eastAsia="zh-CN"/>
        </w:rPr>
      </w:pPr>
    </w:p>
    <w:p w14:paraId="7BC96D52">
      <w:pPr>
        <w:pStyle w:val="7"/>
        <w:rPr>
          <w:rFonts w:hint="eastAsia" w:ascii="仿宋_GB2312" w:hAnsi="仿宋_GB2312" w:eastAsia="仿宋_GB2312" w:cs="仿宋_GB2312"/>
          <w:b w:val="0"/>
          <w:bCs w:val="0"/>
          <w:sz w:val="32"/>
          <w:szCs w:val="32"/>
          <w:lang w:val="en-US" w:eastAsia="zh-CN"/>
        </w:rPr>
      </w:pPr>
    </w:p>
    <w:p w14:paraId="661BE030">
      <w:pPr>
        <w:pStyle w:val="3"/>
        <w:rPr>
          <w:rFonts w:hint="eastAsia" w:ascii="仿宋_GB2312" w:hAnsi="仿宋_GB2312" w:eastAsia="仿宋_GB2312" w:cs="仿宋_GB2312"/>
          <w:b w:val="0"/>
          <w:bCs w:val="0"/>
          <w:sz w:val="32"/>
          <w:szCs w:val="32"/>
          <w:lang w:val="en-US" w:eastAsia="zh-CN"/>
        </w:rPr>
      </w:pPr>
    </w:p>
    <w:p w14:paraId="613FCE9B">
      <w:pPr>
        <w:rPr>
          <w:rFonts w:hint="eastAsia"/>
        </w:rPr>
      </w:pPr>
    </w:p>
    <w:p w14:paraId="5CD94149">
      <w:pPr>
        <w:pStyle w:val="12"/>
        <w:keepNext w:val="0"/>
        <w:keepLines w:val="0"/>
        <w:pageBreakBefore w:val="0"/>
        <w:widowControl w:val="0"/>
        <w:numPr>
          <w:ilvl w:val="0"/>
          <w:numId w:val="0"/>
        </w:numPr>
        <w:kinsoku/>
        <w:wordWrap/>
        <w:overflowPunct/>
        <w:topLinePunct w:val="0"/>
        <w:autoSpaceDE w:val="0"/>
        <w:autoSpaceDN w:val="0"/>
        <w:bidi w:val="0"/>
        <w:adjustRightInd w:val="0"/>
        <w:snapToGrid/>
        <w:spacing w:line="580" w:lineRule="exact"/>
        <w:ind w:leftChars="200"/>
        <w:textAlignment w:val="auto"/>
        <w:rPr>
          <w:rFonts w:hint="eastAsia" w:ascii="黑体" w:hAnsi="黑体" w:eastAsia="黑体" w:cs="黑体"/>
          <w:b w:val="0"/>
          <w:bCs/>
          <w:color w:val="auto"/>
          <w:sz w:val="32"/>
          <w:szCs w:val="32"/>
          <w:highlight w:val="none"/>
        </w:rPr>
      </w:pPr>
    </w:p>
    <w:p w14:paraId="3D83FDA1">
      <w:pPr>
        <w:pStyle w:val="12"/>
        <w:jc w:val="center"/>
        <w:rPr>
          <w:rFonts w:hint="eastAsia" w:ascii="方正小标宋_GBK" w:hAnsi="方正小标宋_GBK" w:eastAsia="方正小标宋_GBK" w:cs="方正小标宋_GBK"/>
          <w:sz w:val="72"/>
          <w:szCs w:val="72"/>
        </w:rPr>
      </w:pPr>
    </w:p>
    <w:p w14:paraId="6FB6F211">
      <w:pPr>
        <w:pStyle w:val="12"/>
        <w:jc w:val="center"/>
        <w:rPr>
          <w:rFonts w:hint="eastAsia" w:ascii="方正小标宋_GBK" w:hAnsi="方正小标宋_GBK" w:eastAsia="方正小标宋_GBK" w:cs="方正小标宋_GBK"/>
          <w:sz w:val="72"/>
          <w:szCs w:val="72"/>
        </w:rPr>
      </w:pPr>
    </w:p>
    <w:p w14:paraId="3A01B6B0">
      <w:pPr>
        <w:pStyle w:val="12"/>
        <w:jc w:val="center"/>
        <w:rPr>
          <w:rFonts w:hint="eastAsia" w:ascii="方正小标宋_GBK" w:hAnsi="方正小标宋_GBK" w:eastAsia="方正小标宋_GBK" w:cs="方正小标宋_GBK"/>
          <w:sz w:val="72"/>
          <w:szCs w:val="72"/>
        </w:rPr>
      </w:pPr>
    </w:p>
    <w:p w14:paraId="475C1000">
      <w:pPr>
        <w:pStyle w:val="12"/>
        <w:jc w:val="center"/>
        <w:rPr>
          <w:rFonts w:hint="eastAsia" w:ascii="方正小标宋_GBK" w:hAnsi="方正小标宋_GBK" w:eastAsia="方正小标宋_GBK" w:cs="方正小标宋_GBK"/>
          <w:sz w:val="72"/>
          <w:szCs w:val="72"/>
        </w:rPr>
      </w:pPr>
    </w:p>
    <w:p w14:paraId="6A5A782C">
      <w:pPr>
        <w:pStyle w:val="12"/>
        <w:jc w:val="center"/>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第四部分</w:t>
      </w:r>
    </w:p>
    <w:p w14:paraId="2DDD6447">
      <w:pPr>
        <w:jc w:val="center"/>
        <w:rPr>
          <w:rFonts w:hint="eastAsia" w:ascii="方正小标宋_GBK" w:hAnsi="方正小标宋_GBK" w:eastAsia="方正小标宋_GBK" w:cs="方正小标宋_GBK"/>
          <w:color w:val="000000"/>
          <w:kern w:val="0"/>
          <w:sz w:val="70"/>
          <w:szCs w:val="70"/>
        </w:rPr>
      </w:pPr>
    </w:p>
    <w:p w14:paraId="41992F86">
      <w:pPr>
        <w:pStyle w:val="12"/>
        <w:jc w:val="center"/>
        <w:rPr>
          <w:rFonts w:hint="eastAsia" w:ascii="方正小标宋_GBK" w:hAnsi="方正小标宋_GBK" w:eastAsia="方正小标宋_GBK" w:cs="方正小标宋_GBK"/>
          <w:sz w:val="70"/>
          <w:szCs w:val="70"/>
          <w:lang w:eastAsia="zh-CN"/>
        </w:rPr>
      </w:pPr>
      <w:r>
        <w:rPr>
          <w:rFonts w:hint="eastAsia" w:ascii="方正小标宋_GBK" w:hAnsi="方正小标宋_GBK" w:eastAsia="方正小标宋_GBK" w:cs="方正小标宋_GBK"/>
          <w:color w:val="000000"/>
          <w:kern w:val="0"/>
          <w:sz w:val="70"/>
          <w:szCs w:val="70"/>
        </w:rPr>
        <w:t>名词解释</w:t>
      </w:r>
    </w:p>
    <w:p w14:paraId="571298D0">
      <w:pPr>
        <w:pStyle w:val="7"/>
      </w:pPr>
    </w:p>
    <w:p w14:paraId="5331F884">
      <w:pPr>
        <w:pStyle w:val="3"/>
      </w:pPr>
    </w:p>
    <w:p w14:paraId="2CCAD852"/>
    <w:p w14:paraId="440E89DF">
      <w:pPr>
        <w:pStyle w:val="7"/>
      </w:pPr>
    </w:p>
    <w:p w14:paraId="2D513DA3">
      <w:pPr>
        <w:ind w:firstLine="640" w:firstLineChars="200"/>
        <w:jc w:val="left"/>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一、“三公”经费：指用财政拨款安排的因公出国（境）费、公务用车购置及运行费和公务接待费。其中，因公出国（境）费反映出国（境）的住宿费、旅费、伙食补助费、杂费、培训费等支出；公务用车购置及运行费反映单位公务用车购置费及租用费、燃料费、维修费、过路过桥费、保险费、安全奖励费用等支出；公务接待费反映单位按规定开支的各类公务接待（含外宾接待）支出。</w:t>
      </w:r>
    </w:p>
    <w:p w14:paraId="78BA521B">
      <w:pPr>
        <w:ind w:firstLine="640" w:firstLineChars="200"/>
        <w:jc w:val="left"/>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二、机关运行经费</w:t>
      </w:r>
      <w:r>
        <w:rPr>
          <w:rFonts w:hint="eastAsia" w:ascii="仿宋_GB2312" w:hAnsi="仿宋_GB2312" w:eastAsia="仿宋_GB2312" w:cs="仿宋_GB2312"/>
          <w:color w:val="000000"/>
          <w:kern w:val="0"/>
          <w:sz w:val="32"/>
          <w:szCs w:val="32"/>
          <w:lang w:eastAsia="zh-CN"/>
        </w:rPr>
        <w:t>，指为保障行政单位（包括参照公务员法管理的事业单位）运行用于购买货物和服务的各项资金</w:t>
      </w:r>
      <w:r>
        <w:rPr>
          <w:rFonts w:hint="eastAsia" w:ascii="仿宋_GB2312" w:hAnsi="仿宋_GB2312" w:eastAsia="仿宋_GB2312" w:cs="仿宋_GB2312"/>
          <w:color w:val="000000"/>
          <w:kern w:val="0"/>
          <w:sz w:val="32"/>
          <w:szCs w:val="32"/>
        </w:rPr>
        <w:t>，包括办公</w:t>
      </w:r>
      <w:r>
        <w:rPr>
          <w:rFonts w:hint="eastAsia" w:ascii="仿宋_GB2312" w:hAnsi="仿宋_GB2312" w:eastAsia="仿宋_GB2312" w:cs="仿宋_GB2312"/>
          <w:color w:val="000000"/>
          <w:kern w:val="0"/>
          <w:sz w:val="32"/>
          <w:szCs w:val="32"/>
          <w:lang w:eastAsia="zh-CN"/>
        </w:rPr>
        <w:t>费、</w:t>
      </w:r>
      <w:r>
        <w:rPr>
          <w:rFonts w:hint="eastAsia" w:ascii="仿宋_GB2312" w:hAnsi="仿宋_GB2312" w:eastAsia="仿宋_GB2312" w:cs="仿宋_GB2312"/>
          <w:color w:val="000000"/>
          <w:kern w:val="0"/>
          <w:sz w:val="32"/>
          <w:szCs w:val="32"/>
        </w:rPr>
        <w:t>印刷费、邮电费、差旅费、会议费、日常维修费、专用材料及一般设备购置费、办公用房水电费、办公用房取暖费、办公用房物业管理费、公务用车运行维护费以及其他费用。</w:t>
      </w:r>
    </w:p>
    <w:p w14:paraId="090169FC">
      <w:pPr>
        <w:ind w:firstLine="640" w:firstLineChars="200"/>
        <w:jc w:val="left"/>
        <w:rPr>
          <w:rFonts w:hint="eastAsia" w:ascii="仿宋_GB2312" w:hAnsi="仿宋_GB2312" w:eastAsia="仿宋_GB2312" w:cs="仿宋_GB2312"/>
          <w:color w:val="000000"/>
          <w:kern w:val="0"/>
          <w:sz w:val="32"/>
          <w:szCs w:val="32"/>
          <w:lang w:val="en-US" w:eastAsia="zh-CN"/>
        </w:rPr>
      </w:pPr>
      <w:r>
        <w:rPr>
          <w:rFonts w:hint="eastAsia" w:ascii="仿宋_GB2312" w:hAnsi="仿宋_GB2312" w:eastAsia="仿宋_GB2312" w:cs="仿宋_GB2312"/>
          <w:color w:val="000000"/>
          <w:kern w:val="0"/>
          <w:sz w:val="32"/>
          <w:szCs w:val="32"/>
        </w:rPr>
        <w:t>三、</w:t>
      </w:r>
      <w:r>
        <w:rPr>
          <w:rFonts w:hint="eastAsia" w:ascii="仿宋_GB2312" w:hAnsi="仿宋_GB2312" w:eastAsia="仿宋_GB2312" w:cs="仿宋_GB2312"/>
          <w:color w:val="000000"/>
          <w:kern w:val="0"/>
          <w:sz w:val="32"/>
          <w:szCs w:val="32"/>
          <w:lang w:val="en-US" w:eastAsia="zh-CN"/>
        </w:rPr>
        <w:t>财政拨款收入：指市级财政当年拨付的资金。</w:t>
      </w:r>
    </w:p>
    <w:p w14:paraId="2AC3D386">
      <w:pPr>
        <w:pStyle w:val="7"/>
        <w:ind w:firstLine="640" w:firstLineChars="200"/>
        <w:rPr>
          <w:rFonts w:hint="eastAsia" w:ascii="仿宋_GB2312" w:hAnsi="仿宋_GB2312" w:eastAsia="仿宋_GB2312" w:cs="仿宋_GB2312"/>
          <w:color w:val="000000"/>
          <w:kern w:val="0"/>
          <w:sz w:val="32"/>
          <w:szCs w:val="32"/>
          <w:lang w:val="en-US" w:eastAsia="zh-CN"/>
        </w:rPr>
      </w:pPr>
      <w:r>
        <w:rPr>
          <w:rFonts w:hint="eastAsia" w:ascii="仿宋_GB2312" w:hAnsi="仿宋_GB2312" w:eastAsia="仿宋_GB2312" w:cs="仿宋_GB2312"/>
          <w:color w:val="000000"/>
          <w:kern w:val="0"/>
          <w:sz w:val="32"/>
          <w:szCs w:val="32"/>
          <w:lang w:val="en-US" w:eastAsia="zh-CN"/>
        </w:rPr>
        <w:t>四、上级补助收入：指单位从主管部门和上级单位取得的非财政性补助收入。</w:t>
      </w:r>
    </w:p>
    <w:p w14:paraId="7986F3EE">
      <w:pPr>
        <w:pStyle w:val="3"/>
        <w:ind w:left="0" w:leftChars="0" w:firstLine="0" w:firstLineChars="0"/>
        <w:rPr>
          <w:rFonts w:hint="eastAsia" w:ascii="仿宋" w:hAnsi="仿宋" w:eastAsia="仿宋" w:cs="仿宋"/>
          <w:sz w:val="32"/>
          <w:szCs w:val="32"/>
          <w:lang w:val="en-US" w:eastAsia="zh-CN"/>
        </w:rPr>
      </w:pPr>
      <w:r>
        <w:rPr>
          <w:rFonts w:hint="eastAsia"/>
          <w:lang w:val="en-US" w:eastAsia="zh-CN"/>
        </w:rPr>
        <w:t xml:space="preserve">    </w:t>
      </w:r>
      <w:r>
        <w:rPr>
          <w:rFonts w:hint="eastAsia" w:ascii="仿宋" w:hAnsi="仿宋" w:eastAsia="仿宋" w:cs="仿宋"/>
          <w:sz w:val="32"/>
          <w:szCs w:val="32"/>
          <w:lang w:val="en-US" w:eastAsia="zh-CN"/>
        </w:rPr>
        <w:t xml:space="preserve"> 五、其他收入：指础上述“财政拨款收入”、“上级补助收入”、“事业收入”、“经营收入”、“附属单位上缴收入”等以外的收入。</w:t>
      </w:r>
    </w:p>
    <w:p w14:paraId="04FDCF55">
      <w:pPr>
        <w:ind w:firstLine="64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六、上年结转和结余：指以前年度尚未完成、结转到本年按有关规定继续使用的资金。</w:t>
      </w:r>
    </w:p>
    <w:p w14:paraId="04FD93CC">
      <w:pPr>
        <w:pStyle w:val="7"/>
        <w:ind w:firstLine="64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七、基本支出：指保障机构正常运转、完成日常工作任务而发生的人员支出和公用支出。</w:t>
      </w:r>
    </w:p>
    <w:p w14:paraId="479B70CA">
      <w:pPr>
        <w:pStyle w:val="3"/>
        <w:ind w:left="0" w:leftChars="0"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八、项目支出：指在基本支出之外为完成特定行政任务和事业发展目标所发生的支出。</w:t>
      </w:r>
    </w:p>
    <w:p w14:paraId="2B4A07DE">
      <w:pPr>
        <w:ind w:firstLine="640" w:firstLineChars="200"/>
        <w:jc w:val="left"/>
        <w:rPr>
          <w:rFonts w:hint="eastAsia" w:ascii="仿宋_GB2312" w:hAnsi="仿宋_GB2312" w:eastAsia="仿宋_GB2312" w:cs="仿宋_GB2312"/>
          <w:color w:val="000000"/>
          <w:kern w:val="0"/>
          <w:sz w:val="32"/>
          <w:szCs w:val="32"/>
        </w:rPr>
      </w:pPr>
    </w:p>
    <w:p w14:paraId="1D47518A">
      <w:pPr>
        <w:pStyle w:val="3"/>
      </w:pPr>
    </w:p>
    <w:p w14:paraId="580CF8E4"/>
    <w:p w14:paraId="0C17744C">
      <w:pPr>
        <w:pStyle w:val="7"/>
      </w:pPr>
    </w:p>
    <w:p w14:paraId="7B8BABF4">
      <w:pPr>
        <w:pStyle w:val="3"/>
      </w:pPr>
    </w:p>
    <w:p w14:paraId="1942C0DC"/>
    <w:p w14:paraId="6E2D1EEF">
      <w:pPr>
        <w:pStyle w:val="7"/>
      </w:pPr>
    </w:p>
    <w:p w14:paraId="5F6ABC3B">
      <w:pPr>
        <w:pStyle w:val="3"/>
      </w:pPr>
    </w:p>
    <w:p w14:paraId="51BE6437"/>
    <w:p w14:paraId="05344CBA">
      <w:pPr>
        <w:pStyle w:val="7"/>
      </w:pPr>
    </w:p>
    <w:p w14:paraId="5C9170AD">
      <w:pPr>
        <w:pStyle w:val="3"/>
      </w:pPr>
    </w:p>
    <w:p w14:paraId="29D3A91E"/>
    <w:p w14:paraId="0D2A994E">
      <w:pPr>
        <w:pStyle w:val="7"/>
      </w:pPr>
    </w:p>
    <w:p w14:paraId="59CBCCA7">
      <w:pPr>
        <w:pStyle w:val="3"/>
      </w:pPr>
    </w:p>
    <w:p w14:paraId="67806EBD"/>
    <w:p w14:paraId="7C18BB03">
      <w:pPr>
        <w:pStyle w:val="7"/>
      </w:pPr>
    </w:p>
    <w:p w14:paraId="29230CAD">
      <w:pPr>
        <w:pStyle w:val="3"/>
      </w:pPr>
    </w:p>
    <w:p w14:paraId="724E0A54"/>
    <w:p w14:paraId="496F732E">
      <w:pPr>
        <w:pStyle w:val="7"/>
      </w:pPr>
    </w:p>
    <w:p w14:paraId="354ECFD8">
      <w:pPr>
        <w:pStyle w:val="3"/>
      </w:pPr>
    </w:p>
    <w:p w14:paraId="51C67B38"/>
    <w:p w14:paraId="4D131F3E"/>
    <w:p w14:paraId="7CFBCE3C">
      <w:pPr>
        <w:pStyle w:val="7"/>
      </w:pPr>
    </w:p>
    <w:p w14:paraId="5C3DE094">
      <w:pPr>
        <w:pStyle w:val="12"/>
        <w:jc w:val="both"/>
        <w:rPr>
          <w:rFonts w:hint="eastAsia" w:ascii="方正小标宋_GBK" w:hAnsi="方正小标宋_GBK" w:eastAsia="方正小标宋_GBK" w:cs="方正小标宋_GBK"/>
          <w:sz w:val="72"/>
          <w:szCs w:val="72"/>
        </w:rPr>
      </w:pPr>
    </w:p>
    <w:p w14:paraId="41C7B47E">
      <w:pPr>
        <w:pStyle w:val="12"/>
        <w:jc w:val="center"/>
        <w:rPr>
          <w:rFonts w:hint="eastAsia" w:ascii="方正小标宋_GBK" w:hAnsi="方正小标宋_GBK" w:eastAsia="方正小标宋_GBK" w:cs="方正小标宋_GBK"/>
          <w:sz w:val="72"/>
          <w:szCs w:val="72"/>
        </w:rPr>
      </w:pPr>
    </w:p>
    <w:p w14:paraId="3406E929">
      <w:pPr>
        <w:pStyle w:val="12"/>
        <w:jc w:val="center"/>
        <w:rPr>
          <w:rFonts w:hint="eastAsia" w:ascii="方正小标宋_GBK" w:hAnsi="方正小标宋_GBK" w:eastAsia="方正小标宋_GBK" w:cs="方正小标宋_GBK"/>
          <w:sz w:val="72"/>
          <w:szCs w:val="72"/>
        </w:rPr>
      </w:pPr>
    </w:p>
    <w:p w14:paraId="0C1858E3">
      <w:pPr>
        <w:pStyle w:val="12"/>
        <w:ind w:firstLine="3600" w:firstLineChars="500"/>
        <w:jc w:val="both"/>
        <w:rPr>
          <w:rFonts w:hint="eastAsia" w:ascii="方正小标宋_GBK" w:hAnsi="方正小标宋_GBK" w:eastAsia="方正小标宋_GBK" w:cs="方正小标宋_GBK"/>
          <w:sz w:val="70"/>
          <w:szCs w:val="70"/>
        </w:rPr>
      </w:pPr>
      <w:r>
        <w:rPr>
          <w:rFonts w:hint="eastAsia" w:ascii="方正小标宋_GBK" w:hAnsi="方正小标宋_GBK" w:eastAsia="方正小标宋_GBK" w:cs="方正小标宋_GBK"/>
          <w:sz w:val="72"/>
          <w:szCs w:val="72"/>
        </w:rPr>
        <w:t>第</w:t>
      </w:r>
      <w:r>
        <w:rPr>
          <w:rFonts w:hint="eastAsia" w:ascii="方正小标宋_GBK" w:hAnsi="方正小标宋_GBK" w:eastAsia="方正小标宋_GBK" w:cs="方正小标宋_GBK"/>
          <w:sz w:val="72"/>
          <w:szCs w:val="72"/>
          <w:lang w:eastAsia="zh-CN"/>
        </w:rPr>
        <w:t>五</w:t>
      </w:r>
      <w:r>
        <w:rPr>
          <w:rFonts w:hint="eastAsia" w:ascii="方正小标宋_GBK" w:hAnsi="方正小标宋_GBK" w:eastAsia="方正小标宋_GBK" w:cs="方正小标宋_GBK"/>
          <w:sz w:val="72"/>
          <w:szCs w:val="72"/>
        </w:rPr>
        <w:t>部分</w:t>
      </w:r>
    </w:p>
    <w:p w14:paraId="592BF6CA">
      <w:pPr>
        <w:pStyle w:val="12"/>
        <w:jc w:val="both"/>
        <w:rPr>
          <w:rFonts w:hint="eastAsia" w:ascii="方正小标宋_GBK" w:hAnsi="方正小标宋_GBK" w:eastAsia="方正小标宋_GBK" w:cs="方正小标宋_GBK"/>
          <w:sz w:val="70"/>
          <w:szCs w:val="70"/>
          <w:lang w:eastAsia="zh-CN"/>
        </w:rPr>
      </w:pPr>
    </w:p>
    <w:p w14:paraId="490142D3">
      <w:pPr>
        <w:pStyle w:val="12"/>
        <w:jc w:val="center"/>
        <w:rPr>
          <w:rFonts w:hint="eastAsia" w:ascii="方正小标宋_GBK" w:hAnsi="方正小标宋_GBK" w:eastAsia="方正小标宋_GBK" w:cs="方正小标宋_GBK"/>
          <w:sz w:val="70"/>
          <w:szCs w:val="70"/>
          <w:lang w:eastAsia="zh-CN"/>
        </w:rPr>
      </w:pPr>
      <w:r>
        <w:rPr>
          <w:rFonts w:hint="eastAsia" w:ascii="方正小标宋_GBK" w:hAnsi="方正小标宋_GBK" w:eastAsia="方正小标宋_GBK" w:cs="方正小标宋_GBK"/>
          <w:sz w:val="70"/>
          <w:szCs w:val="70"/>
          <w:lang w:eastAsia="zh-CN"/>
        </w:rPr>
        <w:t>附</w:t>
      </w:r>
      <w:r>
        <w:rPr>
          <w:rFonts w:hint="eastAsia" w:ascii="方正小标宋_GBK" w:hAnsi="方正小标宋_GBK" w:eastAsia="方正小标宋_GBK" w:cs="方正小标宋_GBK"/>
          <w:sz w:val="70"/>
          <w:szCs w:val="70"/>
          <w:lang w:val="en-US" w:eastAsia="zh-CN"/>
        </w:rPr>
        <w:t xml:space="preserve"> </w:t>
      </w:r>
      <w:r>
        <w:rPr>
          <w:rFonts w:hint="eastAsia" w:ascii="方正小标宋_GBK" w:hAnsi="方正小标宋_GBK" w:eastAsia="方正小标宋_GBK" w:cs="方正小标宋_GBK"/>
          <w:sz w:val="70"/>
          <w:szCs w:val="70"/>
          <w:lang w:eastAsia="zh-CN"/>
        </w:rPr>
        <w:t>件</w:t>
      </w:r>
    </w:p>
    <w:p w14:paraId="3243C04E">
      <w:pPr>
        <w:ind w:firstLine="640" w:firstLineChars="200"/>
        <w:jc w:val="left"/>
        <w:rPr>
          <w:rFonts w:hint="eastAsia" w:ascii="宋体" w:hAnsi="宋体" w:eastAsia="宋体" w:cs="黑体"/>
          <w:b/>
          <w:color w:val="000000"/>
          <w:kern w:val="0"/>
          <w:sz w:val="32"/>
          <w:szCs w:val="32"/>
          <w:lang w:val="en-US" w:eastAsia="zh-CN"/>
        </w:rPr>
      </w:pPr>
    </w:p>
    <w:p w14:paraId="4EAC9354">
      <w:pPr>
        <w:ind w:firstLine="640" w:firstLineChars="200"/>
        <w:jc w:val="left"/>
        <w:rPr>
          <w:rFonts w:hint="eastAsia" w:ascii="宋体" w:hAnsi="宋体" w:eastAsia="宋体" w:cs="黑体"/>
          <w:b/>
          <w:color w:val="000000"/>
          <w:kern w:val="0"/>
          <w:sz w:val="32"/>
          <w:szCs w:val="32"/>
          <w:lang w:val="en-US" w:eastAsia="zh-CN"/>
        </w:rPr>
      </w:pPr>
      <w:r>
        <w:rPr>
          <w:rFonts w:hint="eastAsia" w:ascii="宋体" w:hAnsi="宋体" w:eastAsia="宋体" w:cs="黑体"/>
          <w:b/>
          <w:color w:val="000000"/>
          <w:kern w:val="0"/>
          <w:sz w:val="32"/>
          <w:szCs w:val="32"/>
          <w:lang w:val="en-US" w:eastAsia="zh-CN"/>
        </w:rPr>
        <w:t>1、</w:t>
      </w:r>
      <w:r>
        <w:rPr>
          <w:rFonts w:hint="eastAsia" w:ascii="宋体" w:hAnsi="宋体" w:eastAsia="宋体" w:cs="黑体"/>
          <w:b/>
          <w:color w:val="000000"/>
          <w:kern w:val="0"/>
          <w:sz w:val="32"/>
          <w:szCs w:val="32"/>
          <w:highlight w:val="none"/>
          <w:lang w:val="en-US" w:eastAsia="zh-CN"/>
        </w:rPr>
        <w:t>2024</w:t>
      </w:r>
      <w:r>
        <w:rPr>
          <w:rFonts w:hint="eastAsia" w:ascii="宋体" w:hAnsi="宋体" w:eastAsia="宋体" w:cs="黑体"/>
          <w:b/>
          <w:color w:val="000000"/>
          <w:kern w:val="0"/>
          <w:sz w:val="32"/>
          <w:szCs w:val="32"/>
          <w:lang w:val="en-US" w:eastAsia="zh-CN"/>
        </w:rPr>
        <w:t>年部门决算公开表格</w:t>
      </w:r>
    </w:p>
    <w:p w14:paraId="27E2EE8B">
      <w:pPr>
        <w:ind w:firstLine="640" w:firstLineChars="200"/>
        <w:jc w:val="left"/>
        <w:rPr>
          <w:rFonts w:hint="eastAsia" w:ascii="宋体" w:hAnsi="宋体" w:eastAsia="宋体" w:cs="黑体"/>
          <w:b/>
          <w:color w:val="000000"/>
          <w:kern w:val="0"/>
          <w:sz w:val="32"/>
          <w:szCs w:val="32"/>
        </w:rPr>
      </w:pPr>
      <w:r>
        <w:rPr>
          <w:rFonts w:hint="eastAsia" w:ascii="宋体" w:hAnsi="宋体" w:eastAsia="宋体" w:cs="黑体"/>
          <w:b/>
          <w:color w:val="000000"/>
          <w:kern w:val="0"/>
          <w:sz w:val="32"/>
          <w:szCs w:val="32"/>
          <w:lang w:val="en-US" w:eastAsia="zh-CN"/>
        </w:rPr>
        <w:t>2、</w:t>
      </w:r>
      <w:r>
        <w:rPr>
          <w:rFonts w:hint="eastAsia" w:ascii="宋体" w:hAnsi="宋体" w:eastAsia="宋体" w:cs="黑体"/>
          <w:b/>
          <w:color w:val="000000"/>
          <w:kern w:val="0"/>
          <w:sz w:val="32"/>
          <w:szCs w:val="32"/>
          <w:highlight w:val="none"/>
        </w:rPr>
        <w:t>202</w:t>
      </w:r>
      <w:r>
        <w:rPr>
          <w:rFonts w:hint="eastAsia" w:ascii="宋体" w:hAnsi="宋体" w:eastAsia="宋体" w:cs="黑体"/>
          <w:b/>
          <w:color w:val="000000"/>
          <w:kern w:val="0"/>
          <w:sz w:val="32"/>
          <w:szCs w:val="32"/>
          <w:highlight w:val="none"/>
          <w:lang w:val="en-US" w:eastAsia="zh-CN"/>
        </w:rPr>
        <w:t>4</w:t>
      </w:r>
      <w:r>
        <w:rPr>
          <w:rFonts w:hint="eastAsia" w:ascii="宋体" w:hAnsi="宋体" w:eastAsia="宋体" w:cs="黑体"/>
          <w:b/>
          <w:color w:val="000000"/>
          <w:kern w:val="0"/>
          <w:sz w:val="32"/>
          <w:szCs w:val="32"/>
        </w:rPr>
        <w:t>年度部门整体支出绩效评价报告</w:t>
      </w:r>
    </w:p>
    <w:p w14:paraId="2F7CE8A7">
      <w:pPr>
        <w:ind w:firstLine="640" w:firstLineChars="200"/>
        <w:jc w:val="left"/>
        <w:rPr>
          <w:rFonts w:hint="eastAsia" w:ascii="宋体" w:hAnsi="宋体" w:eastAsia="宋体" w:cs="黑体"/>
          <w:b/>
          <w:color w:val="000000"/>
          <w:kern w:val="0"/>
          <w:sz w:val="32"/>
          <w:szCs w:val="32"/>
          <w:lang w:val="en-US" w:eastAsia="zh-CN"/>
        </w:rPr>
      </w:pPr>
      <w:r>
        <w:rPr>
          <w:rFonts w:hint="eastAsia" w:ascii="宋体" w:hAnsi="宋体" w:eastAsia="宋体" w:cs="黑体"/>
          <w:b/>
          <w:color w:val="000000"/>
          <w:kern w:val="0"/>
          <w:sz w:val="32"/>
          <w:szCs w:val="32"/>
          <w:lang w:val="en-US" w:eastAsia="zh-CN"/>
        </w:rPr>
        <w:t>3、2024年部门整体支出绩效自评表</w:t>
      </w:r>
    </w:p>
    <w:p w14:paraId="7E53269C">
      <w:pPr>
        <w:ind w:firstLine="640" w:firstLineChars="200"/>
        <w:jc w:val="left"/>
        <w:rPr>
          <w:rFonts w:hint="default" w:ascii="宋体" w:hAnsi="宋体" w:eastAsia="宋体" w:cs="黑体"/>
          <w:b/>
          <w:color w:val="000000"/>
          <w:kern w:val="0"/>
          <w:sz w:val="32"/>
          <w:szCs w:val="32"/>
          <w:lang w:val="en-US" w:eastAsia="zh-CN"/>
        </w:rPr>
      </w:pPr>
      <w:r>
        <w:rPr>
          <w:rFonts w:hint="eastAsia" w:ascii="宋体" w:hAnsi="宋体" w:eastAsia="宋体" w:cs="黑体"/>
          <w:b/>
          <w:color w:val="000000"/>
          <w:kern w:val="0"/>
          <w:sz w:val="32"/>
          <w:szCs w:val="32"/>
          <w:lang w:val="en-US" w:eastAsia="zh-CN"/>
        </w:rPr>
        <w:t>4、2024年项目支出绩效自评表</w:t>
      </w:r>
    </w:p>
    <w:p w14:paraId="045AD96C"/>
    <w:sectPr>
      <w:pgSz w:w="11906" w:h="16838"/>
      <w:pgMar w:top="720" w:right="720" w:bottom="720" w:left="720"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_GBK">
    <w:altName w:val="微软雅黑"/>
    <w:panose1 w:val="02000000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4F2F8">
    <w:pPr>
      <w:spacing w:line="14" w:lineRule="auto"/>
      <w:rPr>
        <w:rFonts w:ascii="Arial"/>
        <w:sz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000BA">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E074536"/>
    <w:multiLevelType w:val="singleLevel"/>
    <w:tmpl w:val="DE074536"/>
    <w:lvl w:ilvl="0" w:tentative="0">
      <w:start w:val="11"/>
      <w:numFmt w:val="chineseCounting"/>
      <w:suff w:val="nothing"/>
      <w:lvlText w:val="%1、"/>
      <w:lvlJc w:val="left"/>
      <w:rPr>
        <w:rFonts w:hint="eastAsia"/>
      </w:rPr>
    </w:lvl>
  </w:abstractNum>
  <w:abstractNum w:abstractNumId="1">
    <w:nsid w:val="16EE1708"/>
    <w:multiLevelType w:val="singleLevel"/>
    <w:tmpl w:val="16EE1708"/>
    <w:lvl w:ilvl="0" w:tentative="0">
      <w:start w:val="2"/>
      <w:numFmt w:val="chineseCounting"/>
      <w:suff w:val="nothing"/>
      <w:lvlText w:val="%1、"/>
      <w:lvlJc w:val="left"/>
      <w:rPr>
        <w:rFonts w:hint="eastAsia"/>
      </w:rPr>
    </w:lvl>
  </w:abstractNum>
  <w:abstractNum w:abstractNumId="2">
    <w:nsid w:val="62B8BB7B"/>
    <w:multiLevelType w:val="singleLevel"/>
    <w:tmpl w:val="62B8BB7B"/>
    <w:lvl w:ilvl="0" w:tentative="0">
      <w:start w:val="2"/>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06F9"/>
    <w:rsid w:val="0002229B"/>
    <w:rsid w:val="000273BD"/>
    <w:rsid w:val="00040CBC"/>
    <w:rsid w:val="000415B7"/>
    <w:rsid w:val="00041E3F"/>
    <w:rsid w:val="00055DAA"/>
    <w:rsid w:val="00061F7B"/>
    <w:rsid w:val="000658A3"/>
    <w:rsid w:val="00074155"/>
    <w:rsid w:val="000A3F69"/>
    <w:rsid w:val="00103957"/>
    <w:rsid w:val="00152C6D"/>
    <w:rsid w:val="00162D39"/>
    <w:rsid w:val="001678BD"/>
    <w:rsid w:val="00182373"/>
    <w:rsid w:val="001A67DB"/>
    <w:rsid w:val="001C3C29"/>
    <w:rsid w:val="001D51E5"/>
    <w:rsid w:val="001E080D"/>
    <w:rsid w:val="001E53D0"/>
    <w:rsid w:val="001F0C3B"/>
    <w:rsid w:val="00202C82"/>
    <w:rsid w:val="00214427"/>
    <w:rsid w:val="00226CB7"/>
    <w:rsid w:val="00264552"/>
    <w:rsid w:val="00264EF9"/>
    <w:rsid w:val="00265724"/>
    <w:rsid w:val="0027426B"/>
    <w:rsid w:val="002E0A30"/>
    <w:rsid w:val="003130C4"/>
    <w:rsid w:val="00316C4B"/>
    <w:rsid w:val="0032192B"/>
    <w:rsid w:val="003479BD"/>
    <w:rsid w:val="0037197D"/>
    <w:rsid w:val="003768D5"/>
    <w:rsid w:val="003926B9"/>
    <w:rsid w:val="003C47E6"/>
    <w:rsid w:val="003C4FC2"/>
    <w:rsid w:val="00416E61"/>
    <w:rsid w:val="0042790C"/>
    <w:rsid w:val="004506F9"/>
    <w:rsid w:val="004717A2"/>
    <w:rsid w:val="00473DF3"/>
    <w:rsid w:val="00487911"/>
    <w:rsid w:val="00491741"/>
    <w:rsid w:val="004B0CEE"/>
    <w:rsid w:val="00500E5F"/>
    <w:rsid w:val="005122EF"/>
    <w:rsid w:val="0051441A"/>
    <w:rsid w:val="00517C33"/>
    <w:rsid w:val="00517D5F"/>
    <w:rsid w:val="00523644"/>
    <w:rsid w:val="0054069E"/>
    <w:rsid w:val="00544866"/>
    <w:rsid w:val="005767CC"/>
    <w:rsid w:val="00590D9F"/>
    <w:rsid w:val="00595D26"/>
    <w:rsid w:val="005A74E6"/>
    <w:rsid w:val="005B404E"/>
    <w:rsid w:val="005D4D55"/>
    <w:rsid w:val="005E2CFB"/>
    <w:rsid w:val="005F2103"/>
    <w:rsid w:val="005F3D1C"/>
    <w:rsid w:val="0062378F"/>
    <w:rsid w:val="00641842"/>
    <w:rsid w:val="00651EEC"/>
    <w:rsid w:val="00686673"/>
    <w:rsid w:val="00691E8C"/>
    <w:rsid w:val="006A22C4"/>
    <w:rsid w:val="006A351B"/>
    <w:rsid w:val="006B0422"/>
    <w:rsid w:val="006C1B53"/>
    <w:rsid w:val="006D7730"/>
    <w:rsid w:val="006E5284"/>
    <w:rsid w:val="006F3EB5"/>
    <w:rsid w:val="00702E34"/>
    <w:rsid w:val="00704395"/>
    <w:rsid w:val="00710FE7"/>
    <w:rsid w:val="00717621"/>
    <w:rsid w:val="00720FF1"/>
    <w:rsid w:val="00727A53"/>
    <w:rsid w:val="00787B42"/>
    <w:rsid w:val="007C4539"/>
    <w:rsid w:val="007F3657"/>
    <w:rsid w:val="00812ED5"/>
    <w:rsid w:val="008277D9"/>
    <w:rsid w:val="0084478C"/>
    <w:rsid w:val="0086638C"/>
    <w:rsid w:val="008A3E8D"/>
    <w:rsid w:val="009237C4"/>
    <w:rsid w:val="00944C48"/>
    <w:rsid w:val="00950252"/>
    <w:rsid w:val="00967F5D"/>
    <w:rsid w:val="009A0F95"/>
    <w:rsid w:val="009B3ADF"/>
    <w:rsid w:val="009B4D8E"/>
    <w:rsid w:val="009C3B52"/>
    <w:rsid w:val="009E6817"/>
    <w:rsid w:val="009E6E9A"/>
    <w:rsid w:val="00A01D2B"/>
    <w:rsid w:val="00A42218"/>
    <w:rsid w:val="00A70249"/>
    <w:rsid w:val="00A70B02"/>
    <w:rsid w:val="00A71D9F"/>
    <w:rsid w:val="00A92E9F"/>
    <w:rsid w:val="00AB18FF"/>
    <w:rsid w:val="00B33BEA"/>
    <w:rsid w:val="00B57C9F"/>
    <w:rsid w:val="00B63572"/>
    <w:rsid w:val="00B845B3"/>
    <w:rsid w:val="00B85D8B"/>
    <w:rsid w:val="00BB4A40"/>
    <w:rsid w:val="00BD6C3E"/>
    <w:rsid w:val="00BE3674"/>
    <w:rsid w:val="00C10681"/>
    <w:rsid w:val="00C3049A"/>
    <w:rsid w:val="00C31B1E"/>
    <w:rsid w:val="00C77645"/>
    <w:rsid w:val="00CE04C3"/>
    <w:rsid w:val="00CE76A0"/>
    <w:rsid w:val="00D148C6"/>
    <w:rsid w:val="00D17A8A"/>
    <w:rsid w:val="00D415BA"/>
    <w:rsid w:val="00D63780"/>
    <w:rsid w:val="00D644EE"/>
    <w:rsid w:val="00DD06FF"/>
    <w:rsid w:val="00DD5FE9"/>
    <w:rsid w:val="00E00C7A"/>
    <w:rsid w:val="00E37D6C"/>
    <w:rsid w:val="00E55B68"/>
    <w:rsid w:val="00E561AE"/>
    <w:rsid w:val="00E67BE6"/>
    <w:rsid w:val="00E8683C"/>
    <w:rsid w:val="00EA2B72"/>
    <w:rsid w:val="00F74360"/>
    <w:rsid w:val="00FB462F"/>
    <w:rsid w:val="00FE16FA"/>
    <w:rsid w:val="00FE328A"/>
    <w:rsid w:val="00FE6269"/>
    <w:rsid w:val="00FF5CD6"/>
    <w:rsid w:val="059958AD"/>
    <w:rsid w:val="06C857E7"/>
    <w:rsid w:val="08C24A73"/>
    <w:rsid w:val="0F425AC3"/>
    <w:rsid w:val="11944E2C"/>
    <w:rsid w:val="12583BA5"/>
    <w:rsid w:val="13BA5B9C"/>
    <w:rsid w:val="1B026F38"/>
    <w:rsid w:val="1B0F0A2E"/>
    <w:rsid w:val="1D97DEFF"/>
    <w:rsid w:val="1DFF72E5"/>
    <w:rsid w:val="1EFC6F07"/>
    <w:rsid w:val="1F0527A6"/>
    <w:rsid w:val="22AC03C2"/>
    <w:rsid w:val="283B15FE"/>
    <w:rsid w:val="28B32350"/>
    <w:rsid w:val="2FDF85B8"/>
    <w:rsid w:val="2FFFEE04"/>
    <w:rsid w:val="31C95635"/>
    <w:rsid w:val="34754E62"/>
    <w:rsid w:val="34DF85B0"/>
    <w:rsid w:val="367F27AB"/>
    <w:rsid w:val="38636227"/>
    <w:rsid w:val="3B8F36BC"/>
    <w:rsid w:val="42211599"/>
    <w:rsid w:val="43EB5BA5"/>
    <w:rsid w:val="491FF225"/>
    <w:rsid w:val="4AF95AAF"/>
    <w:rsid w:val="4E190238"/>
    <w:rsid w:val="4EC310A1"/>
    <w:rsid w:val="4F0C7E3F"/>
    <w:rsid w:val="4FFD214C"/>
    <w:rsid w:val="5352765A"/>
    <w:rsid w:val="544F6FCB"/>
    <w:rsid w:val="5777D4F5"/>
    <w:rsid w:val="579D0D79"/>
    <w:rsid w:val="57F22B6F"/>
    <w:rsid w:val="59DD8326"/>
    <w:rsid w:val="5CCB088D"/>
    <w:rsid w:val="5DEF592A"/>
    <w:rsid w:val="5FC6BB1E"/>
    <w:rsid w:val="5FF720F1"/>
    <w:rsid w:val="60C72A87"/>
    <w:rsid w:val="622964C1"/>
    <w:rsid w:val="67FF5C0B"/>
    <w:rsid w:val="6BAA4A2F"/>
    <w:rsid w:val="6DDEC5C0"/>
    <w:rsid w:val="6EFC0924"/>
    <w:rsid w:val="6FB74722"/>
    <w:rsid w:val="6FEF8B7E"/>
    <w:rsid w:val="717FE77F"/>
    <w:rsid w:val="71A6591B"/>
    <w:rsid w:val="737D59BA"/>
    <w:rsid w:val="737F32B1"/>
    <w:rsid w:val="73BD3FCA"/>
    <w:rsid w:val="747E6252"/>
    <w:rsid w:val="776BDA01"/>
    <w:rsid w:val="77C37683"/>
    <w:rsid w:val="79FF515B"/>
    <w:rsid w:val="7A1E0789"/>
    <w:rsid w:val="7B723232"/>
    <w:rsid w:val="7BD04F09"/>
    <w:rsid w:val="7C0B511D"/>
    <w:rsid w:val="7DFBFF20"/>
    <w:rsid w:val="7E9E1962"/>
    <w:rsid w:val="7E9F11B4"/>
    <w:rsid w:val="7F37EC1E"/>
    <w:rsid w:val="7F7C0DDA"/>
    <w:rsid w:val="7F7DCD9D"/>
    <w:rsid w:val="7F970A6F"/>
    <w:rsid w:val="7FC1FFF3"/>
    <w:rsid w:val="7FC69637"/>
    <w:rsid w:val="7FDF8620"/>
    <w:rsid w:val="7FFB242F"/>
    <w:rsid w:val="7FFDB408"/>
    <w:rsid w:val="7FFE4EEB"/>
    <w:rsid w:val="95FB2B98"/>
    <w:rsid w:val="9A639BC2"/>
    <w:rsid w:val="9FF7D786"/>
    <w:rsid w:val="ABBFB23D"/>
    <w:rsid w:val="B6BE5A03"/>
    <w:rsid w:val="B8C93228"/>
    <w:rsid w:val="C3B4DA5A"/>
    <w:rsid w:val="C4FF458C"/>
    <w:rsid w:val="C7BBD038"/>
    <w:rsid w:val="CBFF70E0"/>
    <w:rsid w:val="CFF50B82"/>
    <w:rsid w:val="CFFFAD89"/>
    <w:rsid w:val="DFFE359E"/>
    <w:rsid w:val="DFFE4FFD"/>
    <w:rsid w:val="DFFF5403"/>
    <w:rsid w:val="EBC3E00A"/>
    <w:rsid w:val="EDFBE100"/>
    <w:rsid w:val="EEABED75"/>
    <w:rsid w:val="EF7E8003"/>
    <w:rsid w:val="F56FDF51"/>
    <w:rsid w:val="F5F3EE78"/>
    <w:rsid w:val="F6B69F17"/>
    <w:rsid w:val="F6E5BB3A"/>
    <w:rsid w:val="F77F1D61"/>
    <w:rsid w:val="F7FED3A9"/>
    <w:rsid w:val="F8C9DB26"/>
    <w:rsid w:val="F97E8EAE"/>
    <w:rsid w:val="FB36E1A6"/>
    <w:rsid w:val="FB3BE134"/>
    <w:rsid w:val="FCFF4275"/>
    <w:rsid w:val="FD7FEEEA"/>
    <w:rsid w:val="FDFFB577"/>
    <w:rsid w:val="FEEA50FE"/>
    <w:rsid w:val="FF7D47A9"/>
    <w:rsid w:val="FFCF21CB"/>
    <w:rsid w:val="FFF94102"/>
    <w:rsid w:val="FFFF1C8B"/>
    <w:rsid w:val="FFFF74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Indent"/>
    <w:basedOn w:val="1"/>
    <w:next w:val="3"/>
    <w:unhideWhenUsed/>
    <w:qFormat/>
    <w:uiPriority w:val="99"/>
    <w:pPr>
      <w:widowControl/>
      <w:spacing w:after="120"/>
      <w:ind w:left="420" w:leftChars="200"/>
      <w:jc w:val="left"/>
    </w:pPr>
    <w:rPr>
      <w:rFonts w:ascii="宋体" w:hAnsi="宋体" w:eastAsia="宋体" w:cs="宋体"/>
      <w:kern w:val="0"/>
      <w:sz w:val="24"/>
    </w:rPr>
  </w:style>
  <w:style w:type="paragraph" w:styleId="3">
    <w:name w:val="Body Text First Indent 2"/>
    <w:basedOn w:val="2"/>
    <w:next w:val="1"/>
    <w:unhideWhenUsed/>
    <w:qFormat/>
    <w:uiPriority w:val="99"/>
    <w:pPr>
      <w:ind w:firstLine="420" w:firstLineChars="200"/>
    </w:pPr>
  </w:style>
  <w:style w:type="paragraph" w:styleId="4">
    <w:name w:val="Balloon Text"/>
    <w:basedOn w:val="1"/>
    <w:link w:val="14"/>
    <w:semiHidden/>
    <w:unhideWhenUsed/>
    <w:qFormat/>
    <w:uiPriority w:val="99"/>
    <w:rPr>
      <w:sz w:val="18"/>
      <w:szCs w:val="18"/>
    </w:rPr>
  </w:style>
  <w:style w:type="paragraph" w:styleId="5">
    <w:name w:val="footer"/>
    <w:basedOn w:val="1"/>
    <w:link w:val="11"/>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footnote text"/>
    <w:basedOn w:val="1"/>
    <w:next w:val="3"/>
    <w:semiHidden/>
    <w:qFormat/>
    <w:uiPriority w:val="0"/>
    <w:pPr>
      <w:snapToGrid w:val="0"/>
      <w:jc w:val="left"/>
    </w:pPr>
    <w:rPr>
      <w:sz w:val="18"/>
      <w:szCs w:val="18"/>
    </w:rPr>
  </w:style>
  <w:style w:type="character" w:customStyle="1" w:styleId="10">
    <w:name w:val="页眉 Char"/>
    <w:basedOn w:val="9"/>
    <w:link w:val="6"/>
    <w:qFormat/>
    <w:uiPriority w:val="99"/>
    <w:rPr>
      <w:sz w:val="18"/>
      <w:szCs w:val="18"/>
    </w:rPr>
  </w:style>
  <w:style w:type="character" w:customStyle="1" w:styleId="11">
    <w:name w:val="页脚 Char"/>
    <w:basedOn w:val="9"/>
    <w:link w:val="5"/>
    <w:qFormat/>
    <w:uiPriority w:val="99"/>
    <w:rPr>
      <w:sz w:val="18"/>
      <w:szCs w:val="18"/>
    </w:rPr>
  </w:style>
  <w:style w:type="paragraph" w:customStyle="1" w:styleId="12">
    <w:name w:val="Default"/>
    <w:qFormat/>
    <w:uiPriority w:val="0"/>
    <w:pPr>
      <w:widowControl w:val="0"/>
      <w:autoSpaceDE w:val="0"/>
      <w:autoSpaceDN w:val="0"/>
      <w:adjustRightInd w:val="0"/>
    </w:pPr>
    <w:rPr>
      <w:rFonts w:ascii="黑体" w:eastAsia="黑体" w:cs="黑体" w:hAnsiTheme="minorHAnsi"/>
      <w:color w:val="000000"/>
      <w:kern w:val="0"/>
      <w:sz w:val="24"/>
      <w:szCs w:val="24"/>
      <w:lang w:val="en-US" w:eastAsia="zh-CN" w:bidi="ar-SA"/>
    </w:rPr>
  </w:style>
  <w:style w:type="paragraph" w:styleId="13">
    <w:name w:val="List Paragraph"/>
    <w:basedOn w:val="1"/>
    <w:qFormat/>
    <w:uiPriority w:val="34"/>
    <w:pPr>
      <w:ind w:firstLine="420" w:firstLineChars="200"/>
    </w:pPr>
  </w:style>
  <w:style w:type="character" w:customStyle="1" w:styleId="14">
    <w:name w:val="批注框文本 Char"/>
    <w:basedOn w:val="9"/>
    <w:link w:val="4"/>
    <w:semiHidden/>
    <w:qFormat/>
    <w:uiPriority w:val="99"/>
    <w:rPr>
      <w:sz w:val="18"/>
      <w:szCs w:val="18"/>
    </w:rPr>
  </w:style>
  <w:style w:type="character" w:customStyle="1" w:styleId="15">
    <w:name w:val="font01"/>
    <w:basedOn w:val="9"/>
    <w:qFormat/>
    <w:uiPriority w:val="0"/>
    <w:rPr>
      <w:rFonts w:hint="eastAsia" w:ascii="宋体" w:hAnsi="宋体" w:eastAsia="宋体" w:cs="宋体"/>
      <w:color w:val="000000"/>
      <w:sz w:val="22"/>
      <w:szCs w:val="22"/>
      <w:u w:val="none"/>
    </w:rPr>
  </w:style>
  <w:style w:type="character" w:customStyle="1" w:styleId="16">
    <w:name w:val="font21"/>
    <w:basedOn w:val="9"/>
    <w:qFormat/>
    <w:uiPriority w:val="0"/>
    <w:rPr>
      <w:rFonts w:hint="eastAsia" w:ascii="宋体" w:hAnsi="宋体" w:eastAsia="宋体" w:cs="宋体"/>
      <w:color w:val="000000"/>
      <w:sz w:val="24"/>
      <w:szCs w:val="24"/>
      <w:u w:val="none"/>
    </w:rPr>
  </w:style>
  <w:style w:type="character" w:customStyle="1" w:styleId="17">
    <w:name w:val="font11"/>
    <w:basedOn w:val="9"/>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25</Pages>
  <Words>4296</Words>
  <Characters>4639</Characters>
  <Lines>63</Lines>
  <Paragraphs>18</Paragraphs>
  <TotalTime>45</TotalTime>
  <ScaleCrop>false</ScaleCrop>
  <LinksUpToDate>false</LinksUpToDate>
  <CharactersWithSpaces>4658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2020-07-10T18:32:00Z</dcterms:created>
  <dc:creator>李航 null</dc:creator>
  <cp:lastModifiedBy>牧紫</cp:lastModifiedBy>
  <cp:lastPrinted>2024-08-11T02:20:00Z</cp:lastPrinted>
  <dcterms:modified xsi:type="dcterms:W3CDTF">2025-09-29T08:26:12Z</dcterms:modified>
  <cp:revision>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A568CB1078714ED48303ADD3CB2A8028_13</vt:lpwstr>
  </property>
  <property fmtid="{D5CDD505-2E9C-101B-9397-08002B2CF9AE}" pid="4" name="KSOTemplateDocerSaveRecord">
    <vt:lpwstr>eyJoZGlkIjoiMTQ3NjI3NDc3MTZlMDQ3Mjk4MzkzZDUzMDU5ZDk4NjciLCJ1c2VySWQiOiI3OTg2OTg0NzMifQ==</vt:lpwstr>
  </property>
</Properties>
</file>