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rPr>
          <w:sz w:val="56"/>
          <w:szCs w:val="56"/>
        </w:rPr>
      </w:pPr>
    </w:p>
    <w:p>
      <w:pPr>
        <w:pStyle w:val="12"/>
        <w:jc w:val="center"/>
        <w:rPr>
          <w:sz w:val="56"/>
          <w:szCs w:val="56"/>
        </w:rPr>
      </w:pPr>
    </w:p>
    <w:p>
      <w:pPr>
        <w:pStyle w:val="12"/>
        <w:jc w:val="center"/>
        <w:rPr>
          <w:sz w:val="84"/>
          <w:szCs w:val="84"/>
        </w:rPr>
      </w:pPr>
    </w:p>
    <w:p>
      <w:pPr>
        <w:pStyle w:val="12"/>
        <w:jc w:val="center"/>
        <w:rPr>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岳阳市文化馆</w:t>
      </w:r>
      <w:r>
        <w:rPr>
          <w:rFonts w:hint="eastAsia" w:ascii="方正小标宋_GBK" w:hAnsi="方正小标宋_GBK" w:eastAsia="方正小标宋_GBK" w:cs="方正小标宋_GBK"/>
          <w:sz w:val="84"/>
          <w:szCs w:val="84"/>
        </w:rPr>
        <w:t>部门决算</w:t>
      </w:r>
    </w:p>
    <w:p>
      <w:pPr>
        <w:pStyle w:val="12"/>
        <w:jc w:val="center"/>
        <w:rPr>
          <w:rFonts w:hint="eastAsia" w:ascii="方正小标宋_GBK" w:hAnsi="方正小标宋_GBK" w:eastAsia="方正小标宋_GBK" w:cs="方正小标宋_GBK"/>
          <w:sz w:val="56"/>
          <w:szCs w:val="56"/>
        </w:rPr>
      </w:pPr>
    </w:p>
    <w:p>
      <w:pPr>
        <w:pStyle w:val="12"/>
        <w:jc w:val="center"/>
        <w:rPr>
          <w:sz w:val="56"/>
          <w:szCs w:val="56"/>
        </w:rPr>
      </w:pPr>
    </w:p>
    <w:p>
      <w:pPr>
        <w:pStyle w:val="12"/>
        <w:jc w:val="center"/>
        <w:rPr>
          <w:sz w:val="56"/>
          <w:szCs w:val="56"/>
        </w:rPr>
      </w:pPr>
    </w:p>
    <w:p>
      <w:pPr>
        <w:pStyle w:val="12"/>
        <w:jc w:val="center"/>
        <w:rPr>
          <w:sz w:val="56"/>
          <w:szCs w:val="56"/>
        </w:rPr>
      </w:pPr>
    </w:p>
    <w:p>
      <w:pPr>
        <w:pStyle w:val="12"/>
        <w:jc w:val="center"/>
        <w:rPr>
          <w:sz w:val="32"/>
          <w:szCs w:val="32"/>
        </w:rPr>
      </w:pPr>
    </w:p>
    <w:p>
      <w:pPr>
        <w:pStyle w:val="12"/>
        <w:jc w:val="center"/>
        <w:rPr>
          <w:sz w:val="32"/>
          <w:szCs w:val="32"/>
        </w:rPr>
      </w:pPr>
    </w:p>
    <w:p>
      <w:pPr>
        <w:pStyle w:val="12"/>
        <w:jc w:val="center"/>
        <w:rPr>
          <w:sz w:val="32"/>
          <w:szCs w:val="32"/>
        </w:rPr>
      </w:pPr>
    </w:p>
    <w:p>
      <w:pPr>
        <w:pStyle w:val="12"/>
        <w:jc w:val="center"/>
        <w:rPr>
          <w:sz w:val="32"/>
          <w:szCs w:val="32"/>
        </w:rPr>
      </w:pPr>
    </w:p>
    <w:p>
      <w:pPr>
        <w:pStyle w:val="12"/>
        <w:jc w:val="center"/>
        <w:rPr>
          <w:sz w:val="32"/>
          <w:szCs w:val="32"/>
        </w:rPr>
      </w:pPr>
    </w:p>
    <w:p>
      <w:pPr>
        <w:pStyle w:val="12"/>
        <w:spacing w:line="540" w:lineRule="exact"/>
        <w:jc w:val="center"/>
        <w:rPr>
          <w:sz w:val="56"/>
          <w:szCs w:val="56"/>
        </w:rPr>
      </w:pPr>
    </w:p>
    <w:p>
      <w:pPr>
        <w:pStyle w:val="12"/>
        <w:spacing w:line="500" w:lineRule="exact"/>
        <w:jc w:val="both"/>
        <w:rPr>
          <w:b/>
          <w:sz w:val="36"/>
          <w:szCs w:val="28"/>
        </w:rPr>
      </w:pPr>
    </w:p>
    <w:p>
      <w:pPr>
        <w:pStyle w:val="12"/>
        <w:spacing w:line="500" w:lineRule="exact"/>
        <w:jc w:val="center"/>
        <w:rPr>
          <w:b/>
          <w:sz w:val="36"/>
          <w:szCs w:val="28"/>
        </w:rPr>
      </w:pPr>
      <w:r>
        <w:rPr>
          <w:rFonts w:hint="eastAsia"/>
          <w:b/>
          <w:sz w:val="36"/>
          <w:szCs w:val="28"/>
        </w:rPr>
        <w:t>目录</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val="en-US" w:eastAsia="zh-CN"/>
        </w:rPr>
        <w:t>岳阳市文化馆</w:t>
      </w:r>
      <w:r>
        <w:rPr>
          <w:rFonts w:hint="eastAsia" w:ascii="黑体" w:hAnsi="黑体" w:eastAsia="黑体" w:cs="黑体"/>
          <w:b w:val="0"/>
          <w:bCs/>
          <w:sz w:val="28"/>
          <w:szCs w:val="28"/>
        </w:rPr>
        <w:t>概况</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pPr>
        <w:pStyle w:val="12"/>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2"/>
        <w:jc w:val="center"/>
        <w:rPr>
          <w:rFonts w:hint="eastAsia" w:ascii="方正小标宋_GBK" w:hAnsi="方正小标宋_GBK" w:eastAsia="方正小标宋_GBK" w:cs="方正小标宋_GBK"/>
          <w:sz w:val="84"/>
          <w:szCs w:val="84"/>
        </w:rPr>
      </w:pPr>
    </w:p>
    <w:p>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val="en-US" w:eastAsia="zh-CN"/>
        </w:rPr>
        <w:t>岳阳市文化馆</w:t>
      </w:r>
      <w:r>
        <w:rPr>
          <w:rFonts w:hint="eastAsia" w:ascii="方正小标宋_GBK" w:hAnsi="方正小标宋_GBK" w:eastAsia="方正小标宋_GBK" w:cs="方正小标宋_GBK"/>
          <w:sz w:val="84"/>
          <w:szCs w:val="84"/>
        </w:rPr>
        <w:t>概况</w:t>
      </w:r>
    </w:p>
    <w:p>
      <w:pPr>
        <w:pStyle w:val="2"/>
        <w:rPr>
          <w:rFonts w:hint="eastAsia" w:ascii="方正小标宋_GBK" w:hAnsi="方正小标宋_GBK" w:eastAsia="方正小标宋_GBK" w:cs="方正小标宋_GBK"/>
          <w:sz w:val="84"/>
          <w:szCs w:val="84"/>
        </w:rPr>
      </w:pPr>
    </w:p>
    <w:p>
      <w:pPr>
        <w:pStyle w:val="3"/>
        <w:rPr>
          <w:rFonts w:hint="eastAsia" w:ascii="方正小标宋_GBK" w:hAnsi="方正小标宋_GBK" w:eastAsia="方正小标宋_GBK" w:cs="方正小标宋_GBK"/>
          <w:sz w:val="84"/>
          <w:szCs w:val="84"/>
        </w:rPr>
      </w:pPr>
    </w:p>
    <w:p>
      <w:pPr>
        <w:rPr>
          <w:rFonts w:hint="eastAsia" w:ascii="方正小标宋_GBK" w:hAnsi="方正小标宋_GBK" w:eastAsia="方正小标宋_GBK" w:cs="方正小标宋_GBK"/>
          <w:sz w:val="84"/>
          <w:szCs w:val="84"/>
        </w:rPr>
      </w:pPr>
    </w:p>
    <w:p>
      <w:pPr>
        <w:pStyle w:val="2"/>
        <w:rPr>
          <w:rFonts w:hint="eastAsia" w:ascii="方正小标宋_GBK" w:hAnsi="方正小标宋_GBK" w:eastAsia="方正小标宋_GBK" w:cs="方正小标宋_GBK"/>
          <w:sz w:val="84"/>
          <w:szCs w:val="84"/>
        </w:rPr>
      </w:pPr>
    </w:p>
    <w:p>
      <w:pPr>
        <w:pStyle w:val="3"/>
        <w:rPr>
          <w:rFonts w:hint="eastAsia" w:ascii="方正小标宋_GBK" w:hAnsi="方正小标宋_GBK" w:eastAsia="方正小标宋_GBK" w:cs="方正小标宋_GBK"/>
          <w:sz w:val="84"/>
          <w:szCs w:val="84"/>
        </w:rPr>
      </w:pPr>
    </w:p>
    <w:p>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widowControl/>
        <w:spacing w:line="60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为全市“两会”和市委、市政府提供会务接待、组织高雅艺术惠民演出，各类展览，演出经纪，剧场管理等公共文化服务。组织开展群众文化活动、群众文艺创作、群众文艺辅导培训，群众文艺理论研究，文化艺术交流，民族民间文化艺术的收集、整理与保护，编辑出版综合性文艺刊物等全民艺术普及工作。</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spacing w:line="600" w:lineRule="exact"/>
        <w:ind w:firstLine="960" w:firstLineChars="3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（一）内设机构设置。根据编委核定、我单位内设部室6个，全部纳入2025年部门预算编制范围。内设部室分别是：数字服务部、大型活动部、艺术培训部、剧场会务部、动力技术部、办公室。</w:t>
      </w:r>
    </w:p>
    <w:p>
      <w:pPr>
        <w:widowControl/>
        <w:spacing w:line="600" w:lineRule="exact"/>
        <w:ind w:firstLine="960" w:firstLineChars="300"/>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Times New Roman"/>
          <w:bCs/>
          <w:kern w:val="0"/>
          <w:sz w:val="32"/>
          <w:szCs w:val="32"/>
        </w:rPr>
        <w:t>本单位无独立核算的下属单位，202</w:t>
      </w:r>
      <w:r>
        <w:rPr>
          <w:rFonts w:hint="eastAsia" w:ascii="Times New Roman" w:hAnsi="Times New Roman" w:eastAsia="仿宋_GB2312" w:cs="Times New Roman"/>
          <w:bCs/>
          <w:kern w:val="0"/>
          <w:sz w:val="32"/>
          <w:szCs w:val="32"/>
          <w:lang w:val="en-US" w:eastAsia="zh-CN"/>
        </w:rPr>
        <w:t>4</w:t>
      </w:r>
      <w:r>
        <w:rPr>
          <w:rFonts w:hint="eastAsia" w:ascii="Times New Roman" w:hAnsi="Times New Roman" w:eastAsia="仿宋_GB2312" w:cs="Times New Roman"/>
          <w:bCs/>
          <w:kern w:val="0"/>
          <w:sz w:val="32"/>
          <w:szCs w:val="32"/>
        </w:rPr>
        <w:t>年度部门决算汇总公开单位仅包括</w:t>
      </w:r>
      <w:r>
        <w:rPr>
          <w:rFonts w:hint="eastAsia" w:ascii="Times New Roman" w:hAnsi="Times New Roman" w:eastAsia="仿宋_GB2312" w:cs="Times New Roman"/>
          <w:bCs/>
          <w:kern w:val="0"/>
          <w:sz w:val="32"/>
          <w:szCs w:val="32"/>
          <w:lang w:val="en-US" w:eastAsia="zh-CN"/>
        </w:rPr>
        <w:t>岳阳市文化馆本级</w:t>
      </w:r>
      <w:r>
        <w:rPr>
          <w:rFonts w:hint="eastAsia" w:ascii="Times New Roman" w:hAnsi="Times New Roman" w:eastAsia="仿宋_GB2312" w:cs="Times New Roman"/>
          <w:bCs/>
          <w:kern w:val="0"/>
          <w:sz w:val="32"/>
          <w:szCs w:val="32"/>
        </w:rPr>
        <w:t>。</w:t>
      </w: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both"/>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年度收、支总计2825.74万元。与上年相比，增加1627.17万元，增长135.76%，主要是因为因为2024年岳阳市群众艺术馆和岳阳文化艺术会展中心合并成立岳阳市文化馆，且2024年增加演艺设备及智慧文旅设备更新项目</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年度收入合计2825.74万元，其中：财政拨款收入2243.38万元，占79.39%；上级补助收入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万元；其他收入582.36万元，占20.61%。</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年度支出合计2356.6</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万元，其中：基本支出655.</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9万元，占27.83%；项目支出1700.74万元，占7</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.17%；上缴上级支出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2"/>
        <w:keepNext w:val="0"/>
        <w:keepLines w:val="0"/>
        <w:pageBreakBefore w:val="0"/>
        <w:widowControl w:val="0"/>
        <w:kinsoku/>
        <w:wordWrap/>
        <w:overflowPunct/>
        <w:topLinePunct w:val="0"/>
        <w:bidi w:val="0"/>
        <w:snapToGrid/>
        <w:spacing w:line="600" w:lineRule="exact"/>
        <w:textAlignment w:val="auto"/>
        <w:rPr>
          <w:rFonts w:hint="eastAsia" w:ascii="楷体" w:hAnsi="楷体" w:eastAsia="楷体" w:cs="楷体"/>
          <w:i/>
          <w:iCs/>
          <w:color w:val="000000"/>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年度财政拨款收、支总计2243.38万元，与上年相比，增加1509.32万元,增长</w:t>
      </w:r>
      <w:r>
        <w:rPr>
          <w:rFonts w:hint="eastAsia" w:ascii="仿宋_GB2312" w:hAnsi="仿宋_GB2312" w:eastAsia="仿宋_GB2312" w:cs="仿宋_GB2312"/>
          <w:sz w:val="32"/>
          <w:szCs w:val="32"/>
          <w:lang w:val="en-US" w:eastAsia="zh-CN"/>
        </w:rPr>
        <w:t>205.61</w:t>
      </w:r>
      <w:r>
        <w:rPr>
          <w:rFonts w:hint="eastAsia" w:ascii="仿宋_GB2312" w:hAnsi="仿宋_GB2312" w:eastAsia="仿宋_GB2312" w:cs="仿宋_GB2312"/>
          <w:sz w:val="32"/>
          <w:szCs w:val="32"/>
        </w:rPr>
        <w:t>%，主要是因为因为2024年增加演艺设备及智慧文旅设备更新项目资金1079.33万元</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w:t>
      </w:r>
      <w:r>
        <w:rPr>
          <w:rFonts w:hint="eastAsia" w:ascii="Times New Roman" w:hAnsi="Times New Roman" w:eastAsia="仿宋_GB2312" w:cs="Times New Roman"/>
          <w:sz w:val="32"/>
          <w:szCs w:val="32"/>
          <w:lang w:val="en-US" w:eastAsia="zh-CN"/>
        </w:rPr>
        <w:t>1164.05</w:t>
      </w:r>
      <w:r>
        <w:rPr>
          <w:rFonts w:hint="eastAsia" w:ascii="仿宋_GB2312" w:hAnsi="仿宋_GB2312" w:eastAsia="仿宋_GB2312" w:cs="仿宋_GB2312"/>
          <w:sz w:val="32"/>
          <w:szCs w:val="32"/>
        </w:rPr>
        <w:t>万元，占本年支出合计的</w:t>
      </w:r>
      <w:r>
        <w:rPr>
          <w:rFonts w:hint="eastAsia" w:ascii="Times New Roman" w:hAnsi="Times New Roman" w:eastAsia="仿宋_GB2312" w:cs="Times New Roman"/>
          <w:sz w:val="32"/>
          <w:szCs w:val="32"/>
          <w:lang w:val="en-US" w:eastAsia="zh-CN"/>
        </w:rPr>
        <w:t>49.39</w:t>
      </w:r>
      <w:r>
        <w:rPr>
          <w:rFonts w:hint="eastAsia" w:ascii="仿宋_GB2312" w:hAnsi="仿宋_GB2312" w:eastAsia="仿宋_GB2312" w:cs="仿宋_GB2312"/>
          <w:sz w:val="32"/>
          <w:szCs w:val="32"/>
        </w:rPr>
        <w:t>%，与上年相比，财政拨款支出增加</w:t>
      </w:r>
      <w:r>
        <w:rPr>
          <w:rFonts w:hint="eastAsia" w:ascii="Times New Roman" w:hAnsi="Times New Roman" w:eastAsia="仿宋_GB2312" w:cs="Times New Roman"/>
          <w:sz w:val="32"/>
          <w:szCs w:val="32"/>
          <w:lang w:val="en-US" w:eastAsia="zh-CN"/>
        </w:rPr>
        <w:t>429.99</w:t>
      </w:r>
      <w:r>
        <w:rPr>
          <w:rFonts w:hint="eastAsia" w:ascii="仿宋_GB2312" w:hAnsi="仿宋_GB2312" w:eastAsia="仿宋_GB2312" w:cs="仿宋_GB2312"/>
          <w:sz w:val="32"/>
          <w:szCs w:val="32"/>
        </w:rPr>
        <w:t>万元，增长</w:t>
      </w:r>
      <w:r>
        <w:rPr>
          <w:rFonts w:hint="eastAsia" w:ascii="Times New Roman" w:hAnsi="Times New Roman" w:eastAsia="仿宋_GB2312" w:cs="Times New Roman"/>
          <w:sz w:val="32"/>
          <w:szCs w:val="32"/>
          <w:lang w:val="en-US" w:eastAsia="zh-CN"/>
        </w:rPr>
        <w:t>58.58</w:t>
      </w:r>
      <w:r>
        <w:rPr>
          <w:rFonts w:hint="eastAsia" w:ascii="仿宋_GB2312" w:hAnsi="仿宋_GB2312" w:eastAsia="仿宋_GB2312" w:cs="仿宋_GB2312"/>
          <w:sz w:val="32"/>
          <w:szCs w:val="32"/>
        </w:rPr>
        <w:t>%，主要是因为因为岳阳市群众艺术馆和岳阳文化艺术会展中心合并成立岳阳市文化馆</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1164.05</w:t>
      </w:r>
      <w:r>
        <w:rPr>
          <w:rFonts w:hint="eastAsia" w:ascii="仿宋_GB2312" w:hAnsi="仿宋_GB2312" w:eastAsia="仿宋_GB2312" w:cs="仿宋_GB2312"/>
          <w:sz w:val="32"/>
          <w:szCs w:val="32"/>
        </w:rPr>
        <w:t>万元，主要用于以下方面：</w:t>
      </w:r>
      <w:r>
        <w:rPr>
          <w:rFonts w:hint="eastAsia" w:ascii="仿宋_GB2312" w:hAnsi="仿宋_GB2312" w:eastAsia="仿宋_GB2312" w:cs="仿宋_GB2312"/>
          <w:sz w:val="32"/>
          <w:szCs w:val="32"/>
          <w:lang w:eastAsia="zh-CN"/>
        </w:rPr>
        <w:t>文化旅游体育与传媒支出</w:t>
      </w:r>
      <w:r>
        <w:rPr>
          <w:rFonts w:hint="eastAsia" w:ascii="仿宋_GB2312" w:hAnsi="仿宋_GB2312" w:eastAsia="仿宋_GB2312" w:cs="仿宋_GB2312"/>
          <w:sz w:val="32"/>
          <w:szCs w:val="32"/>
        </w:rPr>
        <w:t>（类）支出</w:t>
      </w:r>
      <w:r>
        <w:rPr>
          <w:rFonts w:hint="eastAsia" w:ascii="仿宋_GB2312" w:hAnsi="仿宋_GB2312" w:eastAsia="仿宋_GB2312" w:cs="仿宋_GB2312"/>
          <w:sz w:val="32"/>
          <w:szCs w:val="32"/>
          <w:lang w:val="en-US" w:eastAsia="zh-CN"/>
        </w:rPr>
        <w:t>957.68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42.69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社会保障和就业支出</w:t>
      </w:r>
      <w:r>
        <w:rPr>
          <w:rFonts w:hint="eastAsia" w:ascii="仿宋_GB2312" w:hAnsi="仿宋_GB2312" w:eastAsia="仿宋_GB2312" w:cs="仿宋_GB2312"/>
          <w:sz w:val="32"/>
          <w:szCs w:val="32"/>
        </w:rPr>
        <w:t>（类）支出</w:t>
      </w:r>
      <w:r>
        <w:rPr>
          <w:rFonts w:hint="eastAsia" w:ascii="仿宋_GB2312" w:hAnsi="仿宋_GB2312" w:eastAsia="仿宋_GB2312" w:cs="仿宋_GB2312"/>
          <w:sz w:val="32"/>
          <w:szCs w:val="32"/>
          <w:lang w:val="en-US" w:eastAsia="zh-CN"/>
        </w:rPr>
        <w:t>152.53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卫生健康支出</w:t>
      </w:r>
      <w:r>
        <w:rPr>
          <w:rFonts w:hint="eastAsia" w:ascii="仿宋_GB2312" w:hAnsi="仿宋_GB2312" w:eastAsia="仿宋_GB2312" w:cs="仿宋_GB2312"/>
          <w:sz w:val="32"/>
          <w:szCs w:val="32"/>
          <w:lang w:val="en-US" w:eastAsia="zh-CN"/>
        </w:rPr>
        <w:t>26.14万元，占1.17%；住房保障支出（类）27.7万元，占1.23%；</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年度财政拨款支出年初预算数为</w:t>
      </w:r>
      <w:r>
        <w:rPr>
          <w:rFonts w:hint="eastAsia" w:ascii="仿宋_GB2312" w:hAnsi="仿宋_GB2312" w:eastAsia="仿宋_GB2312" w:cs="仿宋_GB2312"/>
          <w:sz w:val="32"/>
          <w:szCs w:val="32"/>
          <w:highlight w:val="none"/>
          <w:lang w:val="en-US" w:eastAsia="zh-CN"/>
        </w:rPr>
        <w:t>946.13</w:t>
      </w:r>
      <w:r>
        <w:rPr>
          <w:rFonts w:hint="eastAsia" w:ascii="仿宋_GB2312" w:hAnsi="仿宋_GB2312" w:eastAsia="仿宋_GB2312" w:cs="仿宋_GB2312"/>
          <w:sz w:val="32"/>
          <w:szCs w:val="32"/>
          <w:highlight w:val="none"/>
        </w:rPr>
        <w:t>万元，支出决算数为</w:t>
      </w:r>
      <w:r>
        <w:rPr>
          <w:rFonts w:hint="eastAsia" w:ascii="仿宋_GB2312" w:hAnsi="仿宋_GB2312" w:eastAsia="仿宋_GB2312" w:cs="仿宋_GB2312"/>
          <w:sz w:val="32"/>
          <w:szCs w:val="32"/>
          <w:highlight w:val="none"/>
          <w:lang w:val="en-US" w:eastAsia="zh-CN"/>
        </w:rPr>
        <w:t>1164.05</w:t>
      </w:r>
      <w:r>
        <w:rPr>
          <w:rFonts w:hint="eastAsia" w:ascii="仿宋_GB2312" w:hAnsi="仿宋_GB2312" w:eastAsia="仿宋_GB2312" w:cs="仿宋_GB2312"/>
          <w:sz w:val="32"/>
          <w:szCs w:val="32"/>
          <w:highlight w:val="none"/>
        </w:rPr>
        <w:t>万元，完成年初预算的</w:t>
      </w:r>
      <w:r>
        <w:rPr>
          <w:rFonts w:hint="eastAsia" w:ascii="仿宋_GB2312" w:hAnsi="仿宋_GB2312" w:eastAsia="仿宋_GB2312" w:cs="仿宋_GB2312"/>
          <w:sz w:val="32"/>
          <w:szCs w:val="32"/>
          <w:highlight w:val="none"/>
          <w:lang w:val="en-US" w:eastAsia="zh-CN"/>
        </w:rPr>
        <w:t>123.03</w:t>
      </w:r>
      <w:r>
        <w:rPr>
          <w:rFonts w:hint="eastAsia" w:ascii="仿宋_GB2312" w:hAnsi="仿宋_GB2312" w:eastAsia="仿宋_GB2312" w:cs="仿宋_GB2312"/>
          <w:sz w:val="32"/>
          <w:szCs w:val="32"/>
          <w:highlight w:val="none"/>
        </w:rPr>
        <w:t>%，其中：</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eastAsia="zh-CN"/>
        </w:rPr>
        <w:t>文化旅游体育与传媒支出</w:t>
      </w:r>
      <w:r>
        <w:rPr>
          <w:rFonts w:hint="eastAsia" w:ascii="仿宋_GB2312" w:hAnsi="仿宋_GB2312" w:eastAsia="仿宋_GB2312" w:cs="仿宋_GB2312"/>
          <w:sz w:val="32"/>
          <w:szCs w:val="32"/>
          <w:highlight w:val="none"/>
        </w:rPr>
        <w:t>（类）</w:t>
      </w:r>
      <w:r>
        <w:rPr>
          <w:rFonts w:hint="eastAsia" w:ascii="仿宋_GB2312" w:hAnsi="仿宋_GB2312" w:eastAsia="仿宋_GB2312" w:cs="仿宋_GB2312"/>
          <w:sz w:val="32"/>
          <w:szCs w:val="32"/>
          <w:highlight w:val="none"/>
          <w:lang w:eastAsia="zh-CN"/>
        </w:rPr>
        <w:t>文化和旅游</w:t>
      </w:r>
      <w:r>
        <w:rPr>
          <w:rFonts w:hint="eastAsia" w:ascii="仿宋_GB2312" w:hAnsi="仿宋_GB2312" w:eastAsia="仿宋_GB2312" w:cs="仿宋_GB2312"/>
          <w:sz w:val="32"/>
          <w:szCs w:val="32"/>
          <w:highlight w:val="none"/>
        </w:rPr>
        <w:t>（款）</w:t>
      </w:r>
      <w:r>
        <w:rPr>
          <w:rFonts w:hint="eastAsia" w:ascii="仿宋_GB2312" w:hAnsi="仿宋_GB2312" w:eastAsia="仿宋_GB2312" w:cs="仿宋_GB2312"/>
          <w:sz w:val="32"/>
          <w:szCs w:val="32"/>
          <w:highlight w:val="none"/>
          <w:lang w:eastAsia="zh-CN"/>
        </w:rPr>
        <w:t>一般行政管理事务</w:t>
      </w:r>
      <w:r>
        <w:rPr>
          <w:rFonts w:hint="eastAsia" w:ascii="仿宋_GB2312" w:hAnsi="仿宋_GB2312" w:eastAsia="仿宋_GB2312" w:cs="仿宋_GB2312"/>
          <w:sz w:val="32"/>
          <w:szCs w:val="32"/>
          <w:highlight w:val="none"/>
        </w:rPr>
        <w:t>（项）。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0.83</w:t>
      </w:r>
      <w:r>
        <w:rPr>
          <w:rFonts w:hint="eastAsia" w:ascii="仿宋_GB2312" w:hAnsi="仿宋_GB2312" w:eastAsia="仿宋_GB2312" w:cs="仿宋_GB2312"/>
          <w:sz w:val="32"/>
          <w:szCs w:val="32"/>
          <w:highlight w:val="none"/>
        </w:rPr>
        <w:t>万元，决算数</w:t>
      </w:r>
      <w:r>
        <w:rPr>
          <w:rFonts w:hint="eastAsia" w:ascii="仿宋_GB2312" w:hAnsi="仿宋_GB2312" w:eastAsia="仿宋_GB2312" w:cs="仿宋_GB2312"/>
          <w:sz w:val="32"/>
          <w:szCs w:val="32"/>
          <w:highlight w:val="none"/>
          <w:lang w:val="en-US" w:eastAsia="zh-CN"/>
        </w:rPr>
        <w:t>大</w:t>
      </w:r>
      <w:r>
        <w:rPr>
          <w:rFonts w:hint="eastAsia" w:ascii="仿宋_GB2312" w:hAnsi="仿宋_GB2312" w:eastAsia="仿宋_GB2312" w:cs="仿宋_GB2312"/>
          <w:sz w:val="32"/>
          <w:szCs w:val="32"/>
          <w:highlight w:val="none"/>
          <w:lang w:eastAsia="zh-CN"/>
        </w:rPr>
        <w:t>于</w:t>
      </w:r>
      <w:r>
        <w:rPr>
          <w:rFonts w:hint="eastAsia" w:ascii="仿宋_GB2312" w:hAnsi="仿宋_GB2312" w:eastAsia="仿宋_GB2312" w:cs="仿宋_GB2312"/>
          <w:sz w:val="32"/>
          <w:szCs w:val="32"/>
          <w:highlight w:val="none"/>
        </w:rPr>
        <w:t>年初预算数的主要原因是：</w:t>
      </w:r>
      <w:r>
        <w:rPr>
          <w:rFonts w:hint="eastAsia" w:ascii="仿宋_GB2312" w:hAnsi="仿宋_GB2312" w:eastAsia="仿宋_GB2312" w:cs="仿宋_GB2312"/>
          <w:sz w:val="32"/>
          <w:szCs w:val="32"/>
          <w:highlight w:val="none"/>
          <w:lang w:val="en-US" w:eastAsia="zh-CN"/>
        </w:rPr>
        <w:t>年中项目增加</w:t>
      </w:r>
      <w:r>
        <w:rPr>
          <w:rFonts w:hint="eastAsia" w:ascii="仿宋_GB2312" w:hAnsi="仿宋_GB2312" w:eastAsia="仿宋_GB2312" w:cs="仿宋_GB2312"/>
          <w:sz w:val="32"/>
          <w:szCs w:val="32"/>
          <w:highlight w:val="none"/>
          <w:lang w:eastAsia="zh-CN"/>
        </w:rPr>
        <w:t>。</w:t>
      </w:r>
    </w:p>
    <w:p>
      <w:pPr>
        <w:pStyle w:val="12"/>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文化旅游体育与传媒支出</w:t>
      </w:r>
      <w:r>
        <w:rPr>
          <w:rFonts w:hint="eastAsia" w:ascii="仿宋_GB2312" w:hAnsi="仿宋_GB2312" w:eastAsia="仿宋_GB2312" w:cs="仿宋_GB2312"/>
          <w:sz w:val="32"/>
          <w:szCs w:val="32"/>
          <w:highlight w:val="none"/>
        </w:rPr>
        <w:t>（类）</w:t>
      </w:r>
      <w:r>
        <w:rPr>
          <w:rFonts w:hint="eastAsia" w:ascii="仿宋_GB2312" w:hAnsi="仿宋_GB2312" w:eastAsia="仿宋_GB2312" w:cs="仿宋_GB2312"/>
          <w:sz w:val="32"/>
          <w:szCs w:val="32"/>
          <w:highlight w:val="none"/>
          <w:lang w:eastAsia="zh-CN"/>
        </w:rPr>
        <w:t>文化和旅游</w:t>
      </w:r>
      <w:r>
        <w:rPr>
          <w:rFonts w:hint="eastAsia" w:ascii="仿宋_GB2312" w:hAnsi="仿宋_GB2312" w:eastAsia="仿宋_GB2312" w:cs="仿宋_GB2312"/>
          <w:sz w:val="32"/>
          <w:szCs w:val="32"/>
          <w:highlight w:val="none"/>
        </w:rPr>
        <w:t>（款）</w:t>
      </w:r>
      <w:r>
        <w:rPr>
          <w:rFonts w:hint="eastAsia" w:ascii="仿宋_GB2312" w:hAnsi="仿宋_GB2312" w:eastAsia="仿宋_GB2312" w:cs="仿宋_GB2312"/>
          <w:sz w:val="32"/>
          <w:szCs w:val="32"/>
          <w:highlight w:val="none"/>
          <w:lang w:eastAsia="zh-CN"/>
        </w:rPr>
        <w:t>艺术表演场所</w:t>
      </w:r>
      <w:r>
        <w:rPr>
          <w:rFonts w:hint="eastAsia" w:ascii="仿宋_GB2312" w:hAnsi="仿宋_GB2312" w:eastAsia="仿宋_GB2312" w:cs="仿宋_GB2312"/>
          <w:sz w:val="32"/>
          <w:szCs w:val="32"/>
          <w:highlight w:val="none"/>
        </w:rPr>
        <w:t>（项）。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122.82</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181.39</w:t>
      </w:r>
      <w:r>
        <w:rPr>
          <w:rFonts w:hint="eastAsia" w:ascii="仿宋_GB2312" w:hAnsi="仿宋_GB2312" w:eastAsia="仿宋_GB2312" w:cs="仿宋_GB2312"/>
          <w:sz w:val="32"/>
          <w:szCs w:val="32"/>
          <w:highlight w:val="none"/>
        </w:rPr>
        <w:t>万元，完成年初预算的</w:t>
      </w:r>
      <w:r>
        <w:rPr>
          <w:rFonts w:hint="eastAsia" w:ascii="仿宋_GB2312" w:hAnsi="仿宋_GB2312" w:eastAsia="仿宋_GB2312" w:cs="仿宋_GB2312"/>
          <w:sz w:val="32"/>
          <w:szCs w:val="32"/>
          <w:highlight w:val="none"/>
          <w:lang w:val="en-US" w:eastAsia="zh-CN"/>
        </w:rPr>
        <w:t>147.69</w:t>
      </w:r>
      <w:r>
        <w:rPr>
          <w:rFonts w:hint="eastAsia" w:ascii="仿宋_GB2312" w:hAnsi="仿宋_GB2312" w:eastAsia="仿宋_GB2312" w:cs="仿宋_GB2312"/>
          <w:sz w:val="32"/>
          <w:szCs w:val="32"/>
          <w:highlight w:val="none"/>
        </w:rPr>
        <w:t>%，决算数</w:t>
      </w:r>
      <w:r>
        <w:rPr>
          <w:rFonts w:hint="eastAsia" w:ascii="仿宋_GB2312" w:hAnsi="仿宋_GB2312" w:eastAsia="仿宋_GB2312" w:cs="仿宋_GB2312"/>
          <w:sz w:val="32"/>
          <w:szCs w:val="32"/>
          <w:highlight w:val="none"/>
          <w:lang w:val="en-US" w:eastAsia="zh-CN"/>
        </w:rPr>
        <w:t>大于</w:t>
      </w:r>
      <w:r>
        <w:rPr>
          <w:rFonts w:hint="eastAsia" w:ascii="仿宋_GB2312" w:hAnsi="仿宋_GB2312" w:eastAsia="仿宋_GB2312" w:cs="仿宋_GB2312"/>
          <w:sz w:val="32"/>
          <w:szCs w:val="32"/>
          <w:highlight w:val="none"/>
        </w:rPr>
        <w:t>年初预算数的主要原因是：</w:t>
      </w:r>
      <w:r>
        <w:rPr>
          <w:rFonts w:hint="eastAsia" w:ascii="仿宋_GB2312" w:hAnsi="仿宋_GB2312" w:eastAsia="仿宋_GB2312" w:cs="仿宋_GB2312"/>
          <w:sz w:val="32"/>
          <w:szCs w:val="32"/>
          <w:highlight w:val="none"/>
          <w:lang w:val="en-US" w:eastAsia="zh-CN"/>
        </w:rPr>
        <w:t>年中项目增加</w:t>
      </w:r>
      <w:r>
        <w:rPr>
          <w:rFonts w:hint="eastAsia" w:ascii="仿宋_GB2312" w:hAnsi="仿宋_GB2312" w:eastAsia="仿宋_GB2312" w:cs="仿宋_GB2312"/>
          <w:sz w:val="32"/>
          <w:szCs w:val="32"/>
          <w:highlight w:val="none"/>
          <w:lang w:eastAsia="zh-CN"/>
        </w:rPr>
        <w:t>。</w:t>
      </w:r>
    </w:p>
    <w:p>
      <w:pPr>
        <w:pStyle w:val="12"/>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文化旅游体育与传媒支出</w:t>
      </w:r>
      <w:r>
        <w:rPr>
          <w:rFonts w:hint="eastAsia" w:ascii="仿宋_GB2312" w:hAnsi="仿宋_GB2312" w:eastAsia="仿宋_GB2312" w:cs="仿宋_GB2312"/>
          <w:sz w:val="32"/>
          <w:szCs w:val="32"/>
          <w:highlight w:val="none"/>
        </w:rPr>
        <w:t>（类）</w:t>
      </w:r>
      <w:r>
        <w:rPr>
          <w:rFonts w:hint="eastAsia" w:ascii="仿宋_GB2312" w:hAnsi="仿宋_GB2312" w:eastAsia="仿宋_GB2312" w:cs="仿宋_GB2312"/>
          <w:sz w:val="32"/>
          <w:szCs w:val="32"/>
          <w:highlight w:val="none"/>
          <w:lang w:eastAsia="zh-CN"/>
        </w:rPr>
        <w:t>文化和旅游</w:t>
      </w:r>
      <w:r>
        <w:rPr>
          <w:rFonts w:hint="eastAsia" w:ascii="仿宋_GB2312" w:hAnsi="仿宋_GB2312" w:eastAsia="仿宋_GB2312" w:cs="仿宋_GB2312"/>
          <w:sz w:val="32"/>
          <w:szCs w:val="32"/>
          <w:highlight w:val="none"/>
        </w:rPr>
        <w:t>（款）</w:t>
      </w:r>
      <w:r>
        <w:rPr>
          <w:rFonts w:hint="eastAsia" w:ascii="仿宋_GB2312" w:hAnsi="仿宋_GB2312" w:eastAsia="仿宋_GB2312" w:cs="仿宋_GB2312"/>
          <w:sz w:val="32"/>
          <w:szCs w:val="32"/>
          <w:highlight w:val="none"/>
          <w:lang w:eastAsia="zh-CN"/>
        </w:rPr>
        <w:t>艺术表演团体</w:t>
      </w:r>
      <w:r>
        <w:rPr>
          <w:rFonts w:hint="eastAsia" w:ascii="仿宋_GB2312" w:hAnsi="仿宋_GB2312" w:eastAsia="仿宋_GB2312" w:cs="仿宋_GB2312"/>
          <w:sz w:val="32"/>
          <w:szCs w:val="32"/>
          <w:highlight w:val="none"/>
        </w:rPr>
        <w:t>（项）。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万元，决算数</w:t>
      </w:r>
      <w:r>
        <w:rPr>
          <w:rFonts w:hint="eastAsia" w:ascii="仿宋_GB2312" w:hAnsi="仿宋_GB2312" w:eastAsia="仿宋_GB2312" w:cs="仿宋_GB2312"/>
          <w:sz w:val="32"/>
          <w:szCs w:val="32"/>
          <w:highlight w:val="none"/>
          <w:lang w:val="en-US" w:eastAsia="zh-CN"/>
        </w:rPr>
        <w:t>大</w:t>
      </w:r>
      <w:r>
        <w:rPr>
          <w:rFonts w:hint="eastAsia" w:ascii="仿宋_GB2312" w:hAnsi="仿宋_GB2312" w:eastAsia="仿宋_GB2312" w:cs="仿宋_GB2312"/>
          <w:sz w:val="32"/>
          <w:szCs w:val="32"/>
          <w:highlight w:val="none"/>
          <w:lang w:eastAsia="zh-CN"/>
        </w:rPr>
        <w:t>于</w:t>
      </w:r>
      <w:r>
        <w:rPr>
          <w:rFonts w:hint="eastAsia" w:ascii="仿宋_GB2312" w:hAnsi="仿宋_GB2312" w:eastAsia="仿宋_GB2312" w:cs="仿宋_GB2312"/>
          <w:sz w:val="32"/>
          <w:szCs w:val="32"/>
          <w:highlight w:val="none"/>
        </w:rPr>
        <w:t>年初预算数的主要原因是：</w:t>
      </w:r>
      <w:bookmarkStart w:id="0" w:name="OLE_LINK1"/>
      <w:r>
        <w:rPr>
          <w:rFonts w:hint="eastAsia" w:ascii="仿宋_GB2312" w:hAnsi="仿宋_GB2312" w:eastAsia="仿宋_GB2312" w:cs="仿宋_GB2312"/>
          <w:sz w:val="32"/>
          <w:szCs w:val="32"/>
          <w:highlight w:val="none"/>
          <w:lang w:val="en-US" w:eastAsia="zh-CN"/>
        </w:rPr>
        <w:t>年中项目增加</w:t>
      </w:r>
      <w:r>
        <w:rPr>
          <w:rFonts w:hint="eastAsia" w:ascii="仿宋_GB2312" w:hAnsi="仿宋_GB2312" w:eastAsia="仿宋_GB2312" w:cs="仿宋_GB2312"/>
          <w:sz w:val="32"/>
          <w:szCs w:val="32"/>
          <w:highlight w:val="none"/>
          <w:lang w:eastAsia="zh-CN"/>
        </w:rPr>
        <w:t>。</w:t>
      </w:r>
      <w:bookmarkEnd w:id="0"/>
    </w:p>
    <w:p>
      <w:pPr>
        <w:pStyle w:val="12"/>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文化旅游体育与传媒支出</w:t>
      </w:r>
      <w:r>
        <w:rPr>
          <w:rFonts w:hint="eastAsia" w:ascii="仿宋_GB2312" w:hAnsi="仿宋_GB2312" w:eastAsia="仿宋_GB2312" w:cs="仿宋_GB2312"/>
          <w:sz w:val="32"/>
          <w:szCs w:val="32"/>
          <w:highlight w:val="none"/>
        </w:rPr>
        <w:t>（类）</w:t>
      </w:r>
      <w:r>
        <w:rPr>
          <w:rFonts w:hint="eastAsia" w:ascii="仿宋_GB2312" w:hAnsi="仿宋_GB2312" w:eastAsia="仿宋_GB2312" w:cs="仿宋_GB2312"/>
          <w:sz w:val="32"/>
          <w:szCs w:val="32"/>
          <w:highlight w:val="none"/>
          <w:lang w:eastAsia="zh-CN"/>
        </w:rPr>
        <w:t>文化和旅游</w:t>
      </w:r>
      <w:r>
        <w:rPr>
          <w:rFonts w:hint="eastAsia" w:ascii="仿宋_GB2312" w:hAnsi="仿宋_GB2312" w:eastAsia="仿宋_GB2312" w:cs="仿宋_GB2312"/>
          <w:sz w:val="32"/>
          <w:szCs w:val="32"/>
          <w:highlight w:val="none"/>
        </w:rPr>
        <w:t>（款）</w:t>
      </w:r>
      <w:r>
        <w:rPr>
          <w:rFonts w:hint="eastAsia" w:ascii="仿宋_GB2312" w:hAnsi="仿宋_GB2312" w:eastAsia="仿宋_GB2312" w:cs="仿宋_GB2312"/>
          <w:sz w:val="32"/>
          <w:szCs w:val="32"/>
          <w:highlight w:val="none"/>
          <w:lang w:eastAsia="zh-CN"/>
        </w:rPr>
        <w:t>群众文化</w:t>
      </w:r>
      <w:r>
        <w:rPr>
          <w:rFonts w:hint="eastAsia" w:ascii="仿宋_GB2312" w:hAnsi="仿宋_GB2312" w:eastAsia="仿宋_GB2312" w:cs="仿宋_GB2312"/>
          <w:sz w:val="32"/>
          <w:szCs w:val="32"/>
          <w:highlight w:val="none"/>
        </w:rPr>
        <w:t>（项）。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195</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195.77</w:t>
      </w:r>
      <w:r>
        <w:rPr>
          <w:rFonts w:hint="eastAsia" w:ascii="仿宋_GB2312" w:hAnsi="仿宋_GB2312" w:eastAsia="仿宋_GB2312" w:cs="仿宋_GB2312"/>
          <w:sz w:val="32"/>
          <w:szCs w:val="32"/>
          <w:highlight w:val="none"/>
        </w:rPr>
        <w:t>万元，完成年初预算的</w:t>
      </w:r>
      <w:r>
        <w:rPr>
          <w:rFonts w:hint="eastAsia" w:ascii="仿宋_GB2312" w:hAnsi="仿宋_GB2312" w:eastAsia="仿宋_GB2312" w:cs="仿宋_GB2312"/>
          <w:sz w:val="32"/>
          <w:szCs w:val="32"/>
          <w:highlight w:val="none"/>
          <w:lang w:val="en-US" w:eastAsia="zh-CN"/>
        </w:rPr>
        <w:t>100.39</w:t>
      </w:r>
      <w:r>
        <w:rPr>
          <w:rFonts w:hint="eastAsia" w:ascii="仿宋_GB2312" w:hAnsi="仿宋_GB2312" w:eastAsia="仿宋_GB2312" w:cs="仿宋_GB2312"/>
          <w:sz w:val="32"/>
          <w:szCs w:val="32"/>
          <w:highlight w:val="none"/>
        </w:rPr>
        <w:t>%，决算数大于年初预算数的主要原因是：</w:t>
      </w:r>
      <w:r>
        <w:rPr>
          <w:rFonts w:hint="eastAsia" w:ascii="仿宋_GB2312" w:hAnsi="仿宋_GB2312" w:eastAsia="仿宋_GB2312" w:cs="仿宋_GB2312"/>
          <w:sz w:val="32"/>
          <w:szCs w:val="32"/>
          <w:highlight w:val="none"/>
          <w:lang w:val="en-US" w:eastAsia="zh-CN"/>
        </w:rPr>
        <w:t>使用上年结余结转资金</w:t>
      </w:r>
      <w:r>
        <w:rPr>
          <w:rFonts w:hint="eastAsia" w:ascii="仿宋_GB2312" w:hAnsi="仿宋_GB2312" w:eastAsia="仿宋_GB2312" w:cs="仿宋_GB2312"/>
          <w:sz w:val="32"/>
          <w:szCs w:val="32"/>
          <w:highlight w:val="none"/>
          <w:lang w:eastAsia="zh-CN"/>
        </w:rPr>
        <w:t>。</w:t>
      </w:r>
    </w:p>
    <w:p>
      <w:pPr>
        <w:pStyle w:val="12"/>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文化旅游体育与传媒支出</w:t>
      </w:r>
      <w:r>
        <w:rPr>
          <w:rFonts w:hint="eastAsia" w:ascii="仿宋_GB2312" w:hAnsi="仿宋_GB2312" w:eastAsia="仿宋_GB2312" w:cs="仿宋_GB2312"/>
          <w:sz w:val="32"/>
          <w:szCs w:val="32"/>
          <w:highlight w:val="none"/>
        </w:rPr>
        <w:t>（类）</w:t>
      </w:r>
      <w:r>
        <w:rPr>
          <w:rFonts w:hint="eastAsia" w:ascii="仿宋_GB2312" w:hAnsi="仿宋_GB2312" w:eastAsia="仿宋_GB2312" w:cs="仿宋_GB2312"/>
          <w:sz w:val="32"/>
          <w:szCs w:val="32"/>
          <w:highlight w:val="none"/>
          <w:lang w:eastAsia="zh-CN"/>
        </w:rPr>
        <w:t>文化和旅游</w:t>
      </w:r>
      <w:r>
        <w:rPr>
          <w:rFonts w:hint="eastAsia" w:ascii="仿宋_GB2312" w:hAnsi="仿宋_GB2312" w:eastAsia="仿宋_GB2312" w:cs="仿宋_GB2312"/>
          <w:sz w:val="32"/>
          <w:szCs w:val="32"/>
          <w:highlight w:val="none"/>
        </w:rPr>
        <w:t>（款）</w:t>
      </w:r>
      <w:r>
        <w:rPr>
          <w:rFonts w:hint="eastAsia" w:ascii="仿宋_GB2312" w:hAnsi="仿宋_GB2312" w:eastAsia="仿宋_GB2312" w:cs="仿宋_GB2312"/>
          <w:sz w:val="32"/>
          <w:szCs w:val="32"/>
          <w:highlight w:val="none"/>
          <w:lang w:eastAsia="zh-CN"/>
        </w:rPr>
        <w:t>其他文化和旅游支出</w:t>
      </w:r>
      <w:r>
        <w:rPr>
          <w:rFonts w:hint="eastAsia" w:ascii="仿宋_GB2312" w:hAnsi="仿宋_GB2312" w:eastAsia="仿宋_GB2312" w:cs="仿宋_GB2312"/>
          <w:sz w:val="32"/>
          <w:szCs w:val="32"/>
          <w:highlight w:val="none"/>
        </w:rPr>
        <w:t>（项）。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447.55</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193.34</w:t>
      </w:r>
      <w:r>
        <w:rPr>
          <w:rFonts w:hint="eastAsia" w:ascii="仿宋_GB2312" w:hAnsi="仿宋_GB2312" w:eastAsia="仿宋_GB2312" w:cs="仿宋_GB2312"/>
          <w:sz w:val="32"/>
          <w:szCs w:val="32"/>
          <w:highlight w:val="none"/>
        </w:rPr>
        <w:t>万元，完成年初预算的</w:t>
      </w:r>
      <w:r>
        <w:rPr>
          <w:rFonts w:hint="eastAsia" w:ascii="仿宋_GB2312" w:hAnsi="仿宋_GB2312" w:eastAsia="仿宋_GB2312" w:cs="仿宋_GB2312"/>
          <w:sz w:val="32"/>
          <w:szCs w:val="32"/>
          <w:highlight w:val="none"/>
          <w:lang w:val="en-US" w:eastAsia="zh-CN"/>
        </w:rPr>
        <w:t>43.2</w:t>
      </w:r>
      <w:r>
        <w:rPr>
          <w:rFonts w:hint="eastAsia" w:ascii="仿宋_GB2312" w:hAnsi="仿宋_GB2312" w:eastAsia="仿宋_GB2312" w:cs="仿宋_GB2312"/>
          <w:sz w:val="32"/>
          <w:szCs w:val="32"/>
          <w:highlight w:val="none"/>
        </w:rPr>
        <w:t>%，决算数</w:t>
      </w:r>
      <w:r>
        <w:rPr>
          <w:rFonts w:hint="eastAsia" w:ascii="仿宋_GB2312" w:hAnsi="仿宋_GB2312" w:eastAsia="仿宋_GB2312" w:cs="仿宋_GB2312"/>
          <w:sz w:val="32"/>
          <w:szCs w:val="32"/>
          <w:highlight w:val="none"/>
          <w:lang w:val="en-US" w:eastAsia="zh-CN"/>
        </w:rPr>
        <w:t>小</w:t>
      </w:r>
      <w:r>
        <w:rPr>
          <w:rFonts w:hint="eastAsia" w:ascii="仿宋_GB2312" w:hAnsi="仿宋_GB2312" w:eastAsia="仿宋_GB2312" w:cs="仿宋_GB2312"/>
          <w:sz w:val="32"/>
          <w:szCs w:val="32"/>
          <w:highlight w:val="none"/>
          <w:lang w:eastAsia="zh-CN"/>
        </w:rPr>
        <w:t>于</w:t>
      </w:r>
      <w:r>
        <w:rPr>
          <w:rFonts w:hint="eastAsia" w:ascii="仿宋_GB2312" w:hAnsi="仿宋_GB2312" w:eastAsia="仿宋_GB2312" w:cs="仿宋_GB2312"/>
          <w:sz w:val="32"/>
          <w:szCs w:val="32"/>
          <w:highlight w:val="none"/>
        </w:rPr>
        <w:t>年初预算数的主要原因是：</w:t>
      </w:r>
      <w:r>
        <w:rPr>
          <w:rFonts w:hint="eastAsia" w:ascii="仿宋_GB2312" w:hAnsi="仿宋_GB2312" w:eastAsia="仿宋_GB2312" w:cs="仿宋_GB2312"/>
          <w:sz w:val="32"/>
          <w:szCs w:val="32"/>
          <w:highlight w:val="none"/>
          <w:lang w:val="en-US" w:eastAsia="zh-CN"/>
        </w:rPr>
        <w:t>项目资金结转到下一年度</w:t>
      </w:r>
      <w:bookmarkStart w:id="1" w:name="_GoBack"/>
      <w:bookmarkEnd w:id="1"/>
      <w:r>
        <w:rPr>
          <w:rFonts w:hint="eastAsia" w:ascii="仿宋_GB2312" w:hAnsi="仿宋_GB2312" w:eastAsia="仿宋_GB2312" w:cs="仿宋_GB2312"/>
          <w:sz w:val="32"/>
          <w:szCs w:val="32"/>
          <w:highlight w:val="none"/>
          <w:lang w:eastAsia="zh-CN"/>
        </w:rPr>
        <w:t>。</w:t>
      </w:r>
    </w:p>
    <w:p>
      <w:pPr>
        <w:pStyle w:val="12"/>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文化旅游体育与传媒支出</w:t>
      </w:r>
      <w:r>
        <w:rPr>
          <w:rFonts w:hint="eastAsia" w:ascii="仿宋_GB2312" w:hAnsi="仿宋_GB2312" w:eastAsia="仿宋_GB2312" w:cs="仿宋_GB2312"/>
          <w:sz w:val="32"/>
          <w:szCs w:val="32"/>
          <w:highlight w:val="none"/>
        </w:rPr>
        <w:t>（类）</w:t>
      </w:r>
      <w:r>
        <w:rPr>
          <w:rFonts w:hint="eastAsia" w:ascii="仿宋_GB2312" w:hAnsi="仿宋_GB2312" w:eastAsia="仿宋_GB2312" w:cs="仿宋_GB2312"/>
          <w:sz w:val="32"/>
          <w:szCs w:val="32"/>
          <w:highlight w:val="none"/>
          <w:lang w:eastAsia="zh-CN"/>
        </w:rPr>
        <w:t>其他文化旅游体育与传媒支出</w:t>
      </w:r>
      <w:r>
        <w:rPr>
          <w:rFonts w:hint="eastAsia" w:ascii="仿宋_GB2312" w:hAnsi="仿宋_GB2312" w:eastAsia="仿宋_GB2312" w:cs="仿宋_GB2312"/>
          <w:sz w:val="32"/>
          <w:szCs w:val="32"/>
          <w:highlight w:val="none"/>
        </w:rPr>
        <w:t>（款）</w:t>
      </w:r>
      <w:r>
        <w:rPr>
          <w:rFonts w:hint="eastAsia" w:ascii="仿宋_GB2312" w:hAnsi="仿宋_GB2312" w:eastAsia="仿宋_GB2312" w:cs="仿宋_GB2312"/>
          <w:sz w:val="32"/>
          <w:szCs w:val="32"/>
          <w:highlight w:val="none"/>
          <w:lang w:eastAsia="zh-CN"/>
        </w:rPr>
        <w:t>其他文化旅游体育与传媒支出</w:t>
      </w:r>
      <w:r>
        <w:rPr>
          <w:rFonts w:hint="eastAsia" w:ascii="仿宋_GB2312" w:hAnsi="仿宋_GB2312" w:eastAsia="仿宋_GB2312" w:cs="仿宋_GB2312"/>
          <w:sz w:val="32"/>
          <w:szCs w:val="32"/>
          <w:highlight w:val="none"/>
        </w:rPr>
        <w:t>（项）。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383.35</w:t>
      </w:r>
      <w:r>
        <w:rPr>
          <w:rFonts w:hint="eastAsia" w:ascii="仿宋_GB2312" w:hAnsi="仿宋_GB2312" w:eastAsia="仿宋_GB2312" w:cs="仿宋_GB2312"/>
          <w:sz w:val="32"/>
          <w:szCs w:val="32"/>
          <w:highlight w:val="none"/>
        </w:rPr>
        <w:t>万元，决算数大于年初预算数的主要原因是：</w:t>
      </w:r>
      <w:r>
        <w:rPr>
          <w:rFonts w:hint="eastAsia" w:ascii="仿宋_GB2312" w:hAnsi="仿宋_GB2312" w:eastAsia="仿宋_GB2312" w:cs="仿宋_GB2312"/>
          <w:sz w:val="32"/>
          <w:szCs w:val="32"/>
          <w:highlight w:val="none"/>
          <w:lang w:eastAsia="zh-CN"/>
        </w:rPr>
        <w:t>年中新增项目。</w:t>
      </w:r>
    </w:p>
    <w:p>
      <w:pPr>
        <w:pStyle w:val="12"/>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社会保障和就业支出</w:t>
      </w:r>
      <w:r>
        <w:rPr>
          <w:rFonts w:hint="eastAsia" w:ascii="仿宋_GB2312" w:hAnsi="仿宋_GB2312" w:eastAsia="仿宋_GB2312" w:cs="仿宋_GB2312"/>
          <w:sz w:val="32"/>
          <w:szCs w:val="32"/>
          <w:highlight w:val="none"/>
        </w:rPr>
        <w:t>（类）</w:t>
      </w:r>
      <w:r>
        <w:rPr>
          <w:rFonts w:hint="eastAsia" w:ascii="仿宋_GB2312" w:hAnsi="仿宋_GB2312" w:eastAsia="仿宋_GB2312" w:cs="仿宋_GB2312"/>
          <w:sz w:val="32"/>
          <w:szCs w:val="32"/>
          <w:highlight w:val="none"/>
          <w:lang w:eastAsia="zh-CN"/>
        </w:rPr>
        <w:t>行政事业单位养老支出</w:t>
      </w:r>
      <w:r>
        <w:rPr>
          <w:rFonts w:hint="eastAsia" w:ascii="仿宋_GB2312" w:hAnsi="仿宋_GB2312" w:eastAsia="仿宋_GB2312" w:cs="仿宋_GB2312"/>
          <w:sz w:val="32"/>
          <w:szCs w:val="32"/>
          <w:highlight w:val="none"/>
        </w:rPr>
        <w:t>（款）</w:t>
      </w:r>
      <w:r>
        <w:rPr>
          <w:rFonts w:hint="eastAsia" w:ascii="仿宋_GB2312" w:hAnsi="仿宋_GB2312" w:eastAsia="仿宋_GB2312" w:cs="仿宋_GB2312"/>
          <w:sz w:val="32"/>
          <w:szCs w:val="32"/>
          <w:highlight w:val="none"/>
          <w:lang w:eastAsia="zh-CN"/>
        </w:rPr>
        <w:t>事业单位离退休</w:t>
      </w:r>
      <w:r>
        <w:rPr>
          <w:rFonts w:hint="eastAsia" w:ascii="仿宋_GB2312" w:hAnsi="仿宋_GB2312" w:eastAsia="仿宋_GB2312" w:cs="仿宋_GB2312"/>
          <w:sz w:val="32"/>
          <w:szCs w:val="32"/>
          <w:highlight w:val="none"/>
        </w:rPr>
        <w:t>（项）。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81.04</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89.5</w:t>
      </w:r>
      <w:r>
        <w:rPr>
          <w:rFonts w:hint="eastAsia" w:ascii="仿宋_GB2312" w:hAnsi="仿宋_GB2312" w:eastAsia="仿宋_GB2312" w:cs="仿宋_GB2312"/>
          <w:sz w:val="32"/>
          <w:szCs w:val="32"/>
          <w:highlight w:val="none"/>
        </w:rPr>
        <w:t>万元，完成年初预算的</w:t>
      </w:r>
      <w:r>
        <w:rPr>
          <w:rFonts w:hint="eastAsia" w:ascii="仿宋_GB2312" w:hAnsi="仿宋_GB2312" w:eastAsia="仿宋_GB2312" w:cs="仿宋_GB2312"/>
          <w:sz w:val="32"/>
          <w:szCs w:val="32"/>
          <w:highlight w:val="none"/>
          <w:lang w:val="en-US" w:eastAsia="zh-CN"/>
        </w:rPr>
        <w:t>110.44</w:t>
      </w:r>
      <w:r>
        <w:rPr>
          <w:rFonts w:hint="eastAsia" w:ascii="仿宋_GB2312" w:hAnsi="仿宋_GB2312" w:eastAsia="仿宋_GB2312" w:cs="仿宋_GB2312"/>
          <w:sz w:val="32"/>
          <w:szCs w:val="32"/>
          <w:highlight w:val="none"/>
        </w:rPr>
        <w:t>%，决算数</w:t>
      </w:r>
      <w:r>
        <w:rPr>
          <w:rFonts w:hint="eastAsia" w:ascii="仿宋_GB2312" w:hAnsi="仿宋_GB2312" w:eastAsia="仿宋_GB2312" w:cs="仿宋_GB2312"/>
          <w:sz w:val="32"/>
          <w:szCs w:val="32"/>
          <w:highlight w:val="none"/>
          <w:lang w:val="en-US" w:eastAsia="zh-CN"/>
        </w:rPr>
        <w:t>大</w:t>
      </w:r>
      <w:r>
        <w:rPr>
          <w:rFonts w:hint="eastAsia" w:ascii="仿宋_GB2312" w:hAnsi="仿宋_GB2312" w:eastAsia="仿宋_GB2312" w:cs="仿宋_GB2312"/>
          <w:sz w:val="32"/>
          <w:szCs w:val="32"/>
          <w:highlight w:val="none"/>
          <w:lang w:eastAsia="zh-CN"/>
        </w:rPr>
        <w:t>于</w:t>
      </w:r>
      <w:r>
        <w:rPr>
          <w:rFonts w:hint="eastAsia" w:ascii="仿宋_GB2312" w:hAnsi="仿宋_GB2312" w:eastAsia="仿宋_GB2312" w:cs="仿宋_GB2312"/>
          <w:sz w:val="32"/>
          <w:szCs w:val="32"/>
          <w:highlight w:val="none"/>
        </w:rPr>
        <w:t>年初预算数的主要原因是：</w:t>
      </w:r>
      <w:r>
        <w:rPr>
          <w:rFonts w:hint="eastAsia" w:ascii="仿宋_GB2312" w:hAnsi="仿宋_GB2312" w:eastAsia="仿宋_GB2312" w:cs="仿宋_GB2312"/>
          <w:sz w:val="32"/>
          <w:szCs w:val="32"/>
          <w:highlight w:val="none"/>
          <w:lang w:val="en-US" w:eastAsia="zh-CN"/>
        </w:rPr>
        <w:t>年中项目增加</w:t>
      </w:r>
      <w:r>
        <w:rPr>
          <w:rFonts w:hint="eastAsia" w:ascii="仿宋_GB2312" w:hAnsi="仿宋_GB2312" w:eastAsia="仿宋_GB2312" w:cs="仿宋_GB2312"/>
          <w:sz w:val="32"/>
          <w:szCs w:val="32"/>
          <w:highlight w:val="none"/>
          <w:lang w:eastAsia="zh-CN"/>
        </w:rPr>
        <w:t>。</w:t>
      </w:r>
    </w:p>
    <w:p>
      <w:pPr>
        <w:pStyle w:val="12"/>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社会保障和就业支出</w:t>
      </w:r>
      <w:r>
        <w:rPr>
          <w:rFonts w:hint="eastAsia" w:ascii="仿宋_GB2312" w:hAnsi="仿宋_GB2312" w:eastAsia="仿宋_GB2312" w:cs="仿宋_GB2312"/>
          <w:sz w:val="32"/>
          <w:szCs w:val="32"/>
          <w:highlight w:val="none"/>
        </w:rPr>
        <w:t>（类）</w:t>
      </w:r>
      <w:r>
        <w:rPr>
          <w:rFonts w:hint="eastAsia" w:ascii="仿宋_GB2312" w:hAnsi="仿宋_GB2312" w:eastAsia="仿宋_GB2312" w:cs="仿宋_GB2312"/>
          <w:sz w:val="32"/>
          <w:szCs w:val="32"/>
          <w:highlight w:val="none"/>
          <w:lang w:eastAsia="zh-CN"/>
        </w:rPr>
        <w:t>行政事业单位养老支出</w:t>
      </w:r>
      <w:r>
        <w:rPr>
          <w:rFonts w:hint="eastAsia" w:ascii="仿宋_GB2312" w:hAnsi="仿宋_GB2312" w:eastAsia="仿宋_GB2312" w:cs="仿宋_GB2312"/>
          <w:sz w:val="32"/>
          <w:szCs w:val="32"/>
          <w:highlight w:val="none"/>
        </w:rPr>
        <w:t>（款）</w:t>
      </w:r>
      <w:r>
        <w:rPr>
          <w:rFonts w:hint="eastAsia" w:ascii="仿宋_GB2312" w:hAnsi="仿宋_GB2312" w:eastAsia="仿宋_GB2312" w:cs="仿宋_GB2312"/>
          <w:sz w:val="32"/>
          <w:szCs w:val="32"/>
          <w:highlight w:val="none"/>
          <w:lang w:eastAsia="zh-CN"/>
        </w:rPr>
        <w:t>机关事业单位基本养老保险缴费支出</w:t>
      </w:r>
      <w:r>
        <w:rPr>
          <w:rFonts w:hint="eastAsia" w:ascii="仿宋_GB2312" w:hAnsi="仿宋_GB2312" w:eastAsia="仿宋_GB2312" w:cs="仿宋_GB2312"/>
          <w:sz w:val="32"/>
          <w:szCs w:val="32"/>
          <w:highlight w:val="none"/>
        </w:rPr>
        <w:t>（项）。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39.74</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33.56</w:t>
      </w:r>
      <w:r>
        <w:rPr>
          <w:rFonts w:hint="eastAsia" w:ascii="仿宋_GB2312" w:hAnsi="仿宋_GB2312" w:eastAsia="仿宋_GB2312" w:cs="仿宋_GB2312"/>
          <w:sz w:val="32"/>
          <w:szCs w:val="32"/>
          <w:highlight w:val="none"/>
        </w:rPr>
        <w:t>万元，完成年初预算的</w:t>
      </w:r>
      <w:r>
        <w:rPr>
          <w:rFonts w:hint="eastAsia" w:ascii="仿宋_GB2312" w:hAnsi="仿宋_GB2312" w:eastAsia="仿宋_GB2312" w:cs="仿宋_GB2312"/>
          <w:sz w:val="32"/>
          <w:szCs w:val="32"/>
          <w:highlight w:val="none"/>
          <w:lang w:val="en-US" w:eastAsia="zh-CN"/>
        </w:rPr>
        <w:t>84.45</w:t>
      </w:r>
      <w:r>
        <w:rPr>
          <w:rFonts w:hint="eastAsia" w:ascii="仿宋_GB2312" w:hAnsi="仿宋_GB2312" w:eastAsia="仿宋_GB2312" w:cs="仿宋_GB2312"/>
          <w:sz w:val="32"/>
          <w:szCs w:val="32"/>
          <w:highlight w:val="none"/>
        </w:rPr>
        <w:t>%，决算数</w:t>
      </w:r>
      <w:r>
        <w:rPr>
          <w:rFonts w:hint="eastAsia" w:ascii="仿宋_GB2312" w:hAnsi="仿宋_GB2312" w:eastAsia="仿宋_GB2312" w:cs="仿宋_GB2312"/>
          <w:sz w:val="32"/>
          <w:szCs w:val="32"/>
          <w:highlight w:val="none"/>
          <w:lang w:val="en-US" w:eastAsia="zh-CN"/>
        </w:rPr>
        <w:t>小</w:t>
      </w:r>
      <w:r>
        <w:rPr>
          <w:rFonts w:hint="eastAsia" w:ascii="仿宋_GB2312" w:hAnsi="仿宋_GB2312" w:eastAsia="仿宋_GB2312" w:cs="仿宋_GB2312"/>
          <w:sz w:val="32"/>
          <w:szCs w:val="32"/>
          <w:highlight w:val="none"/>
          <w:lang w:eastAsia="zh-CN"/>
        </w:rPr>
        <w:t>于</w:t>
      </w:r>
      <w:r>
        <w:rPr>
          <w:rFonts w:hint="eastAsia" w:ascii="仿宋_GB2312" w:hAnsi="仿宋_GB2312" w:eastAsia="仿宋_GB2312" w:cs="仿宋_GB2312"/>
          <w:sz w:val="32"/>
          <w:szCs w:val="32"/>
          <w:highlight w:val="none"/>
        </w:rPr>
        <w:t>年初预算数的主要原因是：</w:t>
      </w:r>
      <w:r>
        <w:rPr>
          <w:rFonts w:hint="eastAsia" w:ascii="仿宋_GB2312" w:hAnsi="仿宋_GB2312" w:eastAsia="仿宋_GB2312" w:cs="仿宋_GB2312"/>
          <w:sz w:val="32"/>
          <w:szCs w:val="32"/>
          <w:highlight w:val="none"/>
          <w:lang w:val="en-US" w:eastAsia="zh-CN"/>
        </w:rPr>
        <w:t>年中有人员退休</w:t>
      </w:r>
      <w:r>
        <w:rPr>
          <w:rFonts w:hint="eastAsia" w:ascii="仿宋_GB2312" w:hAnsi="仿宋_GB2312" w:eastAsia="仿宋_GB2312" w:cs="仿宋_GB2312"/>
          <w:sz w:val="32"/>
          <w:szCs w:val="32"/>
          <w:highlight w:val="none"/>
          <w:lang w:eastAsia="zh-CN"/>
        </w:rPr>
        <w:t>。</w:t>
      </w:r>
    </w:p>
    <w:p>
      <w:pPr>
        <w:pStyle w:val="12"/>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社会保障和就业支出</w:t>
      </w:r>
      <w:r>
        <w:rPr>
          <w:rFonts w:hint="eastAsia" w:ascii="仿宋_GB2312" w:hAnsi="仿宋_GB2312" w:eastAsia="仿宋_GB2312" w:cs="仿宋_GB2312"/>
          <w:sz w:val="32"/>
          <w:szCs w:val="32"/>
          <w:highlight w:val="none"/>
        </w:rPr>
        <w:t>（类）</w:t>
      </w:r>
      <w:r>
        <w:rPr>
          <w:rFonts w:hint="eastAsia" w:ascii="仿宋_GB2312" w:hAnsi="仿宋_GB2312" w:eastAsia="仿宋_GB2312" w:cs="仿宋_GB2312"/>
          <w:sz w:val="32"/>
          <w:szCs w:val="32"/>
          <w:highlight w:val="none"/>
          <w:lang w:eastAsia="zh-CN"/>
        </w:rPr>
        <w:t>抚恤</w:t>
      </w:r>
      <w:r>
        <w:rPr>
          <w:rFonts w:hint="eastAsia" w:ascii="仿宋_GB2312" w:hAnsi="仿宋_GB2312" w:eastAsia="仿宋_GB2312" w:cs="仿宋_GB2312"/>
          <w:sz w:val="32"/>
          <w:szCs w:val="32"/>
          <w:highlight w:val="none"/>
        </w:rPr>
        <w:t>（款）</w:t>
      </w:r>
      <w:r>
        <w:rPr>
          <w:rFonts w:hint="eastAsia" w:ascii="仿宋_GB2312" w:hAnsi="仿宋_GB2312" w:eastAsia="仿宋_GB2312" w:cs="仿宋_GB2312"/>
          <w:sz w:val="32"/>
          <w:szCs w:val="32"/>
          <w:highlight w:val="none"/>
          <w:lang w:eastAsia="zh-CN"/>
        </w:rPr>
        <w:t>其他优抚支出</w:t>
      </w:r>
      <w:r>
        <w:rPr>
          <w:rFonts w:hint="eastAsia" w:ascii="仿宋_GB2312" w:hAnsi="仿宋_GB2312" w:eastAsia="仿宋_GB2312" w:cs="仿宋_GB2312"/>
          <w:sz w:val="32"/>
          <w:szCs w:val="32"/>
          <w:highlight w:val="none"/>
        </w:rPr>
        <w:t>（项）。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25.05</w:t>
      </w:r>
      <w:r>
        <w:rPr>
          <w:rFonts w:hint="eastAsia" w:ascii="仿宋_GB2312" w:hAnsi="仿宋_GB2312" w:eastAsia="仿宋_GB2312" w:cs="仿宋_GB2312"/>
          <w:sz w:val="32"/>
          <w:szCs w:val="32"/>
          <w:highlight w:val="none"/>
        </w:rPr>
        <w:t>万元，决算数</w:t>
      </w:r>
      <w:r>
        <w:rPr>
          <w:rFonts w:hint="eastAsia" w:ascii="仿宋_GB2312" w:hAnsi="仿宋_GB2312" w:eastAsia="仿宋_GB2312" w:cs="仿宋_GB2312"/>
          <w:sz w:val="32"/>
          <w:szCs w:val="32"/>
          <w:highlight w:val="none"/>
          <w:lang w:val="en-US" w:eastAsia="zh-CN"/>
        </w:rPr>
        <w:t>大</w:t>
      </w:r>
      <w:r>
        <w:rPr>
          <w:rFonts w:hint="eastAsia" w:ascii="仿宋_GB2312" w:hAnsi="仿宋_GB2312" w:eastAsia="仿宋_GB2312" w:cs="仿宋_GB2312"/>
          <w:sz w:val="32"/>
          <w:szCs w:val="32"/>
          <w:highlight w:val="none"/>
          <w:lang w:eastAsia="zh-CN"/>
        </w:rPr>
        <w:t>于</w:t>
      </w:r>
      <w:r>
        <w:rPr>
          <w:rFonts w:hint="eastAsia" w:ascii="仿宋_GB2312" w:hAnsi="仿宋_GB2312" w:eastAsia="仿宋_GB2312" w:cs="仿宋_GB2312"/>
          <w:sz w:val="32"/>
          <w:szCs w:val="32"/>
          <w:highlight w:val="none"/>
        </w:rPr>
        <w:t>年初预算数的主要原因是：</w:t>
      </w:r>
      <w:r>
        <w:rPr>
          <w:rFonts w:hint="eastAsia" w:ascii="仿宋_GB2312" w:hAnsi="仿宋_GB2312" w:eastAsia="仿宋_GB2312" w:cs="仿宋_GB2312"/>
          <w:sz w:val="32"/>
          <w:szCs w:val="32"/>
          <w:highlight w:val="none"/>
          <w:lang w:val="en-US" w:eastAsia="zh-CN"/>
        </w:rPr>
        <w:t>年中有离休人员过世</w:t>
      </w:r>
      <w:r>
        <w:rPr>
          <w:rFonts w:hint="eastAsia" w:ascii="仿宋_GB2312" w:hAnsi="仿宋_GB2312" w:eastAsia="仿宋_GB2312" w:cs="仿宋_GB2312"/>
          <w:sz w:val="32"/>
          <w:szCs w:val="32"/>
          <w:highlight w:val="none"/>
          <w:lang w:eastAsia="zh-CN"/>
        </w:rPr>
        <w:t>。</w:t>
      </w:r>
    </w:p>
    <w:p>
      <w:pPr>
        <w:pStyle w:val="12"/>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社会保障和就业支出</w:t>
      </w:r>
      <w:r>
        <w:rPr>
          <w:rFonts w:hint="eastAsia" w:ascii="仿宋_GB2312" w:hAnsi="仿宋_GB2312" w:eastAsia="仿宋_GB2312" w:cs="仿宋_GB2312"/>
          <w:sz w:val="32"/>
          <w:szCs w:val="32"/>
          <w:highlight w:val="none"/>
        </w:rPr>
        <w:t>（类）</w:t>
      </w:r>
      <w:r>
        <w:rPr>
          <w:rFonts w:hint="eastAsia" w:ascii="仿宋_GB2312" w:hAnsi="仿宋_GB2312" w:eastAsia="仿宋_GB2312" w:cs="仿宋_GB2312"/>
          <w:sz w:val="32"/>
          <w:szCs w:val="32"/>
          <w:highlight w:val="none"/>
          <w:lang w:eastAsia="zh-CN"/>
        </w:rPr>
        <w:t>残疾人事业</w:t>
      </w:r>
      <w:r>
        <w:rPr>
          <w:rFonts w:hint="eastAsia" w:ascii="仿宋_GB2312" w:hAnsi="仿宋_GB2312" w:eastAsia="仿宋_GB2312" w:cs="仿宋_GB2312"/>
          <w:sz w:val="32"/>
          <w:szCs w:val="32"/>
          <w:highlight w:val="none"/>
        </w:rPr>
        <w:t>（款）</w:t>
      </w:r>
      <w:r>
        <w:rPr>
          <w:rFonts w:hint="eastAsia" w:ascii="仿宋_GB2312" w:hAnsi="仿宋_GB2312" w:eastAsia="仿宋_GB2312" w:cs="仿宋_GB2312"/>
          <w:sz w:val="32"/>
          <w:szCs w:val="32"/>
          <w:highlight w:val="none"/>
          <w:lang w:eastAsia="zh-CN"/>
        </w:rPr>
        <w:t>其他残疾人事业支出</w:t>
      </w:r>
      <w:r>
        <w:rPr>
          <w:rFonts w:hint="eastAsia" w:ascii="仿宋_GB2312" w:hAnsi="仿宋_GB2312" w:eastAsia="仿宋_GB2312" w:cs="仿宋_GB2312"/>
          <w:sz w:val="32"/>
          <w:szCs w:val="32"/>
          <w:highlight w:val="none"/>
        </w:rPr>
        <w:t>（项）。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3.32</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3.32</w:t>
      </w:r>
      <w:r>
        <w:rPr>
          <w:rFonts w:hint="eastAsia" w:ascii="仿宋_GB2312" w:hAnsi="仿宋_GB2312" w:eastAsia="仿宋_GB2312" w:cs="仿宋_GB2312"/>
          <w:sz w:val="32"/>
          <w:szCs w:val="32"/>
          <w:highlight w:val="none"/>
        </w:rPr>
        <w:t>万元，完成年初预算的</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%，决算数</w:t>
      </w:r>
      <w:r>
        <w:rPr>
          <w:rFonts w:hint="eastAsia" w:ascii="仿宋_GB2312" w:hAnsi="仿宋_GB2312" w:eastAsia="仿宋_GB2312" w:cs="仿宋_GB2312"/>
          <w:sz w:val="32"/>
          <w:szCs w:val="32"/>
          <w:highlight w:val="none"/>
          <w:lang w:eastAsia="zh-CN"/>
        </w:rPr>
        <w:t>等于</w:t>
      </w:r>
      <w:r>
        <w:rPr>
          <w:rFonts w:hint="eastAsia" w:ascii="仿宋_GB2312" w:hAnsi="仿宋_GB2312" w:eastAsia="仿宋_GB2312" w:cs="仿宋_GB2312"/>
          <w:sz w:val="32"/>
          <w:szCs w:val="32"/>
          <w:highlight w:val="none"/>
        </w:rPr>
        <w:t>年初预算数的主要原因是：项目经费水平与上年基本持平</w:t>
      </w:r>
      <w:r>
        <w:rPr>
          <w:rFonts w:hint="eastAsia" w:ascii="仿宋_GB2312" w:hAnsi="仿宋_GB2312" w:eastAsia="仿宋_GB2312" w:cs="仿宋_GB2312"/>
          <w:sz w:val="32"/>
          <w:szCs w:val="32"/>
          <w:highlight w:val="none"/>
          <w:lang w:eastAsia="zh-CN"/>
        </w:rPr>
        <w:t>。</w:t>
      </w:r>
    </w:p>
    <w:p>
      <w:pPr>
        <w:pStyle w:val="12"/>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社会保障和就业支出</w:t>
      </w:r>
      <w:r>
        <w:rPr>
          <w:rFonts w:hint="eastAsia" w:ascii="仿宋_GB2312" w:hAnsi="仿宋_GB2312" w:eastAsia="仿宋_GB2312" w:cs="仿宋_GB2312"/>
          <w:sz w:val="32"/>
          <w:szCs w:val="32"/>
          <w:highlight w:val="none"/>
        </w:rPr>
        <w:t>（类）</w:t>
      </w:r>
      <w:r>
        <w:rPr>
          <w:rFonts w:hint="eastAsia" w:ascii="仿宋_GB2312" w:hAnsi="仿宋_GB2312" w:eastAsia="仿宋_GB2312" w:cs="仿宋_GB2312"/>
          <w:sz w:val="32"/>
          <w:szCs w:val="32"/>
          <w:highlight w:val="none"/>
          <w:lang w:eastAsia="zh-CN"/>
        </w:rPr>
        <w:t>其他社会保障和就业支出</w:t>
      </w:r>
      <w:r>
        <w:rPr>
          <w:rFonts w:hint="eastAsia" w:ascii="仿宋_GB2312" w:hAnsi="仿宋_GB2312" w:eastAsia="仿宋_GB2312" w:cs="仿宋_GB2312"/>
          <w:sz w:val="32"/>
          <w:szCs w:val="32"/>
          <w:highlight w:val="none"/>
        </w:rPr>
        <w:t>（款）</w:t>
      </w:r>
      <w:r>
        <w:rPr>
          <w:rFonts w:hint="eastAsia" w:ascii="仿宋_GB2312" w:hAnsi="仿宋_GB2312" w:eastAsia="仿宋_GB2312" w:cs="仿宋_GB2312"/>
          <w:sz w:val="32"/>
          <w:szCs w:val="32"/>
          <w:highlight w:val="none"/>
          <w:lang w:eastAsia="zh-CN"/>
        </w:rPr>
        <w:t>其他社会保障和就业支出</w:t>
      </w:r>
      <w:r>
        <w:rPr>
          <w:rFonts w:hint="eastAsia" w:ascii="仿宋_GB2312" w:hAnsi="仿宋_GB2312" w:eastAsia="仿宋_GB2312" w:cs="仿宋_GB2312"/>
          <w:sz w:val="32"/>
          <w:szCs w:val="32"/>
          <w:highlight w:val="none"/>
        </w:rPr>
        <w:t>（项）。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0.71</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1.1</w:t>
      </w:r>
      <w:r>
        <w:rPr>
          <w:rFonts w:hint="eastAsia" w:ascii="仿宋_GB2312" w:hAnsi="仿宋_GB2312" w:eastAsia="仿宋_GB2312" w:cs="仿宋_GB2312"/>
          <w:sz w:val="32"/>
          <w:szCs w:val="32"/>
          <w:highlight w:val="none"/>
        </w:rPr>
        <w:t>万元，完成年初预算的</w:t>
      </w:r>
      <w:r>
        <w:rPr>
          <w:rFonts w:hint="eastAsia" w:ascii="仿宋_GB2312" w:hAnsi="仿宋_GB2312" w:eastAsia="仿宋_GB2312" w:cs="仿宋_GB2312"/>
          <w:sz w:val="32"/>
          <w:szCs w:val="32"/>
          <w:highlight w:val="none"/>
          <w:lang w:val="en-US" w:eastAsia="zh-CN"/>
        </w:rPr>
        <w:t>154.93</w:t>
      </w:r>
      <w:r>
        <w:rPr>
          <w:rFonts w:hint="eastAsia" w:ascii="仿宋_GB2312" w:hAnsi="仿宋_GB2312" w:eastAsia="仿宋_GB2312" w:cs="仿宋_GB2312"/>
          <w:sz w:val="32"/>
          <w:szCs w:val="32"/>
          <w:highlight w:val="none"/>
        </w:rPr>
        <w:t>%，决算数</w:t>
      </w:r>
      <w:r>
        <w:rPr>
          <w:rFonts w:hint="eastAsia" w:ascii="仿宋_GB2312" w:hAnsi="仿宋_GB2312" w:eastAsia="仿宋_GB2312" w:cs="仿宋_GB2312"/>
          <w:sz w:val="32"/>
          <w:szCs w:val="32"/>
          <w:highlight w:val="none"/>
          <w:lang w:val="en-US" w:eastAsia="zh-CN"/>
        </w:rPr>
        <w:t>大</w:t>
      </w:r>
      <w:r>
        <w:rPr>
          <w:rFonts w:hint="eastAsia" w:ascii="仿宋_GB2312" w:hAnsi="仿宋_GB2312" w:eastAsia="仿宋_GB2312" w:cs="仿宋_GB2312"/>
          <w:sz w:val="32"/>
          <w:szCs w:val="32"/>
          <w:highlight w:val="none"/>
          <w:lang w:eastAsia="zh-CN"/>
        </w:rPr>
        <w:t>于</w:t>
      </w:r>
      <w:r>
        <w:rPr>
          <w:rFonts w:hint="eastAsia" w:ascii="仿宋_GB2312" w:hAnsi="仿宋_GB2312" w:eastAsia="仿宋_GB2312" w:cs="仿宋_GB2312"/>
          <w:sz w:val="32"/>
          <w:szCs w:val="32"/>
          <w:highlight w:val="none"/>
        </w:rPr>
        <w:t>年初预算数的主要原因是：</w:t>
      </w:r>
      <w:r>
        <w:rPr>
          <w:rFonts w:hint="eastAsia" w:ascii="仿宋_GB2312" w:hAnsi="仿宋_GB2312" w:eastAsia="仿宋_GB2312" w:cs="仿宋_GB2312"/>
          <w:sz w:val="32"/>
          <w:szCs w:val="32"/>
          <w:highlight w:val="none"/>
          <w:lang w:val="en-US" w:eastAsia="zh-CN"/>
        </w:rPr>
        <w:t>年中项目资金增加</w:t>
      </w:r>
      <w:r>
        <w:rPr>
          <w:rFonts w:hint="eastAsia" w:ascii="仿宋_GB2312" w:hAnsi="仿宋_GB2312" w:eastAsia="仿宋_GB2312" w:cs="仿宋_GB2312"/>
          <w:sz w:val="32"/>
          <w:szCs w:val="32"/>
          <w:highlight w:val="none"/>
          <w:lang w:eastAsia="zh-CN"/>
        </w:rPr>
        <w:t>。</w:t>
      </w:r>
    </w:p>
    <w:p>
      <w:pPr>
        <w:pStyle w:val="12"/>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卫生健康支出</w:t>
      </w:r>
      <w:r>
        <w:rPr>
          <w:rFonts w:hint="eastAsia" w:ascii="仿宋_GB2312" w:hAnsi="仿宋_GB2312" w:eastAsia="仿宋_GB2312" w:cs="仿宋_GB2312"/>
          <w:sz w:val="32"/>
          <w:szCs w:val="32"/>
          <w:highlight w:val="none"/>
        </w:rPr>
        <w:t>（类）</w:t>
      </w:r>
      <w:r>
        <w:rPr>
          <w:rFonts w:hint="eastAsia" w:ascii="仿宋_GB2312" w:hAnsi="仿宋_GB2312" w:eastAsia="仿宋_GB2312" w:cs="仿宋_GB2312"/>
          <w:sz w:val="32"/>
          <w:szCs w:val="32"/>
          <w:highlight w:val="none"/>
          <w:lang w:eastAsia="zh-CN"/>
        </w:rPr>
        <w:t>行政事业单位医疗</w:t>
      </w:r>
      <w:r>
        <w:rPr>
          <w:rFonts w:hint="eastAsia" w:ascii="仿宋_GB2312" w:hAnsi="仿宋_GB2312" w:eastAsia="仿宋_GB2312" w:cs="仿宋_GB2312"/>
          <w:sz w:val="32"/>
          <w:szCs w:val="32"/>
          <w:highlight w:val="none"/>
        </w:rPr>
        <w:t>（款）</w:t>
      </w:r>
      <w:r>
        <w:rPr>
          <w:rFonts w:hint="eastAsia" w:ascii="仿宋_GB2312" w:hAnsi="仿宋_GB2312" w:eastAsia="仿宋_GB2312" w:cs="仿宋_GB2312"/>
          <w:sz w:val="32"/>
          <w:szCs w:val="32"/>
          <w:highlight w:val="none"/>
          <w:lang w:eastAsia="zh-CN"/>
        </w:rPr>
        <w:t>事业单位医疗</w:t>
      </w:r>
      <w:r>
        <w:rPr>
          <w:rFonts w:hint="eastAsia" w:ascii="仿宋_GB2312" w:hAnsi="仿宋_GB2312" w:eastAsia="仿宋_GB2312" w:cs="仿宋_GB2312"/>
          <w:sz w:val="32"/>
          <w:szCs w:val="32"/>
          <w:highlight w:val="none"/>
        </w:rPr>
        <w:t>（项）。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27.28</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26.14</w:t>
      </w:r>
      <w:r>
        <w:rPr>
          <w:rFonts w:hint="eastAsia" w:ascii="仿宋_GB2312" w:hAnsi="仿宋_GB2312" w:eastAsia="仿宋_GB2312" w:cs="仿宋_GB2312"/>
          <w:sz w:val="32"/>
          <w:szCs w:val="32"/>
          <w:highlight w:val="none"/>
        </w:rPr>
        <w:t>万元，完成年初预算的</w:t>
      </w:r>
      <w:r>
        <w:rPr>
          <w:rFonts w:hint="eastAsia" w:ascii="仿宋_GB2312" w:hAnsi="仿宋_GB2312" w:eastAsia="仿宋_GB2312" w:cs="仿宋_GB2312"/>
          <w:sz w:val="32"/>
          <w:szCs w:val="32"/>
          <w:highlight w:val="none"/>
          <w:lang w:val="en-US" w:eastAsia="zh-CN"/>
        </w:rPr>
        <w:t>95.82</w:t>
      </w:r>
      <w:r>
        <w:rPr>
          <w:rFonts w:hint="eastAsia" w:ascii="仿宋_GB2312" w:hAnsi="仿宋_GB2312" w:eastAsia="仿宋_GB2312" w:cs="仿宋_GB2312"/>
          <w:sz w:val="32"/>
          <w:szCs w:val="32"/>
          <w:highlight w:val="none"/>
        </w:rPr>
        <w:t>%，决算数</w:t>
      </w:r>
      <w:r>
        <w:rPr>
          <w:rFonts w:hint="eastAsia" w:ascii="仿宋_GB2312" w:hAnsi="仿宋_GB2312" w:eastAsia="仿宋_GB2312" w:cs="仿宋_GB2312"/>
          <w:sz w:val="32"/>
          <w:szCs w:val="32"/>
          <w:highlight w:val="none"/>
          <w:lang w:val="en-US" w:eastAsia="zh-CN"/>
        </w:rPr>
        <w:t>小</w:t>
      </w:r>
      <w:r>
        <w:rPr>
          <w:rFonts w:hint="eastAsia" w:ascii="仿宋_GB2312" w:hAnsi="仿宋_GB2312" w:eastAsia="仿宋_GB2312" w:cs="仿宋_GB2312"/>
          <w:sz w:val="32"/>
          <w:szCs w:val="32"/>
          <w:highlight w:val="none"/>
          <w:lang w:eastAsia="zh-CN"/>
        </w:rPr>
        <w:t>于</w:t>
      </w:r>
      <w:r>
        <w:rPr>
          <w:rFonts w:hint="eastAsia" w:ascii="仿宋_GB2312" w:hAnsi="仿宋_GB2312" w:eastAsia="仿宋_GB2312" w:cs="仿宋_GB2312"/>
          <w:sz w:val="32"/>
          <w:szCs w:val="32"/>
          <w:highlight w:val="none"/>
        </w:rPr>
        <w:t>年初预算数的主要原因是：项目经费水平与上年基本持平</w:t>
      </w:r>
      <w:r>
        <w:rPr>
          <w:rFonts w:hint="eastAsia" w:ascii="仿宋_GB2312" w:hAnsi="仿宋_GB2312" w:eastAsia="仿宋_GB2312" w:cs="仿宋_GB2312"/>
          <w:sz w:val="32"/>
          <w:szCs w:val="32"/>
          <w:highlight w:val="none"/>
          <w:lang w:eastAsia="zh-CN"/>
        </w:rPr>
        <w:t>。</w:t>
      </w:r>
    </w:p>
    <w:p>
      <w:pPr>
        <w:pStyle w:val="12"/>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住房保障支出</w:t>
      </w:r>
      <w:r>
        <w:rPr>
          <w:rFonts w:hint="eastAsia" w:ascii="仿宋_GB2312" w:hAnsi="仿宋_GB2312" w:eastAsia="仿宋_GB2312" w:cs="仿宋_GB2312"/>
          <w:sz w:val="32"/>
          <w:szCs w:val="32"/>
          <w:highlight w:val="none"/>
        </w:rPr>
        <w:t>（类）</w:t>
      </w:r>
      <w:r>
        <w:rPr>
          <w:rFonts w:hint="eastAsia" w:ascii="仿宋_GB2312" w:hAnsi="仿宋_GB2312" w:eastAsia="仿宋_GB2312" w:cs="仿宋_GB2312"/>
          <w:sz w:val="32"/>
          <w:szCs w:val="32"/>
          <w:highlight w:val="none"/>
          <w:lang w:eastAsia="zh-CN"/>
        </w:rPr>
        <w:t>住房改革支出</w:t>
      </w:r>
      <w:r>
        <w:rPr>
          <w:rFonts w:hint="eastAsia" w:ascii="仿宋_GB2312" w:hAnsi="仿宋_GB2312" w:eastAsia="仿宋_GB2312" w:cs="仿宋_GB2312"/>
          <w:sz w:val="32"/>
          <w:szCs w:val="32"/>
          <w:highlight w:val="none"/>
        </w:rPr>
        <w:t>（款）</w:t>
      </w:r>
      <w:r>
        <w:rPr>
          <w:rFonts w:hint="eastAsia" w:ascii="仿宋_GB2312" w:hAnsi="仿宋_GB2312" w:eastAsia="仿宋_GB2312" w:cs="仿宋_GB2312"/>
          <w:sz w:val="32"/>
          <w:szCs w:val="32"/>
          <w:highlight w:val="none"/>
          <w:lang w:eastAsia="zh-CN"/>
        </w:rPr>
        <w:t>住房公积金</w:t>
      </w:r>
      <w:r>
        <w:rPr>
          <w:rFonts w:hint="eastAsia" w:ascii="仿宋_GB2312" w:hAnsi="仿宋_GB2312" w:eastAsia="仿宋_GB2312" w:cs="仿宋_GB2312"/>
          <w:sz w:val="32"/>
          <w:szCs w:val="32"/>
          <w:highlight w:val="none"/>
        </w:rPr>
        <w:t>（项）。</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年初预算为</w:t>
      </w:r>
      <w:r>
        <w:rPr>
          <w:rFonts w:hint="eastAsia" w:ascii="仿宋_GB2312" w:hAnsi="仿宋_GB2312" w:eastAsia="仿宋_GB2312" w:cs="仿宋_GB2312"/>
          <w:sz w:val="32"/>
          <w:szCs w:val="32"/>
          <w:highlight w:val="none"/>
          <w:lang w:val="en-US" w:eastAsia="zh-CN"/>
        </w:rPr>
        <w:t>28.66</w:t>
      </w:r>
      <w:r>
        <w:rPr>
          <w:rFonts w:hint="eastAsia" w:ascii="仿宋_GB2312" w:hAnsi="仿宋_GB2312" w:eastAsia="仿宋_GB2312" w:cs="仿宋_GB2312"/>
          <w:sz w:val="32"/>
          <w:szCs w:val="32"/>
          <w:highlight w:val="none"/>
        </w:rPr>
        <w:t>万元，支出决算为</w:t>
      </w:r>
      <w:r>
        <w:rPr>
          <w:rFonts w:hint="eastAsia" w:ascii="仿宋_GB2312" w:hAnsi="仿宋_GB2312" w:eastAsia="仿宋_GB2312" w:cs="仿宋_GB2312"/>
          <w:sz w:val="32"/>
          <w:szCs w:val="32"/>
          <w:highlight w:val="none"/>
          <w:lang w:val="en-US" w:eastAsia="zh-CN"/>
        </w:rPr>
        <w:t>27.7</w:t>
      </w:r>
      <w:r>
        <w:rPr>
          <w:rFonts w:hint="eastAsia" w:ascii="仿宋_GB2312" w:hAnsi="仿宋_GB2312" w:eastAsia="仿宋_GB2312" w:cs="仿宋_GB2312"/>
          <w:sz w:val="32"/>
          <w:szCs w:val="32"/>
          <w:highlight w:val="none"/>
        </w:rPr>
        <w:t>万元，完成年初预算的</w:t>
      </w:r>
      <w:r>
        <w:rPr>
          <w:rFonts w:hint="eastAsia" w:ascii="仿宋_GB2312" w:hAnsi="仿宋_GB2312" w:eastAsia="仿宋_GB2312" w:cs="仿宋_GB2312"/>
          <w:sz w:val="32"/>
          <w:szCs w:val="32"/>
          <w:highlight w:val="none"/>
          <w:lang w:val="en-US" w:eastAsia="zh-CN"/>
        </w:rPr>
        <w:t>96.65</w:t>
      </w:r>
      <w:r>
        <w:rPr>
          <w:rFonts w:hint="eastAsia" w:ascii="仿宋_GB2312" w:hAnsi="仿宋_GB2312" w:eastAsia="仿宋_GB2312" w:cs="仿宋_GB2312"/>
          <w:sz w:val="32"/>
          <w:szCs w:val="32"/>
          <w:highlight w:val="none"/>
        </w:rPr>
        <w:t>%，决算数</w:t>
      </w:r>
      <w:r>
        <w:rPr>
          <w:rFonts w:hint="eastAsia" w:ascii="仿宋_GB2312" w:hAnsi="仿宋_GB2312" w:eastAsia="仿宋_GB2312" w:cs="仿宋_GB2312"/>
          <w:sz w:val="32"/>
          <w:szCs w:val="32"/>
          <w:highlight w:val="none"/>
          <w:lang w:eastAsia="zh-CN"/>
        </w:rPr>
        <w:t>等于</w:t>
      </w:r>
      <w:r>
        <w:rPr>
          <w:rFonts w:hint="eastAsia" w:ascii="仿宋_GB2312" w:hAnsi="仿宋_GB2312" w:eastAsia="仿宋_GB2312" w:cs="仿宋_GB2312"/>
          <w:sz w:val="32"/>
          <w:szCs w:val="32"/>
          <w:highlight w:val="none"/>
        </w:rPr>
        <w:t>年初预算数的主要原因是：项目经费水平与上年基本持平</w:t>
      </w:r>
      <w:r>
        <w:rPr>
          <w:rFonts w:hint="eastAsia" w:ascii="仿宋_GB2312" w:hAnsi="仿宋_GB2312" w:eastAsia="仿宋_GB2312" w:cs="仿宋_GB2312"/>
          <w:sz w:val="32"/>
          <w:szCs w:val="32"/>
          <w:highlight w:val="none"/>
          <w:lang w:eastAsia="zh-CN"/>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六、一般公共预算财政拨款基本支出决算情况说明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年度</w:t>
      </w:r>
      <w:r>
        <w:rPr>
          <w:rFonts w:hint="eastAsia" w:ascii="仿宋_GB2312" w:hAnsi="仿宋_GB2312" w:eastAsia="仿宋_GB2312" w:cs="仿宋_GB2312"/>
          <w:sz w:val="32"/>
          <w:szCs w:val="32"/>
          <w:highlight w:val="none"/>
          <w:lang w:eastAsia="zh-CN"/>
        </w:rPr>
        <w:t>一般公共预算</w:t>
      </w:r>
      <w:r>
        <w:rPr>
          <w:rFonts w:hint="eastAsia" w:ascii="仿宋_GB2312" w:hAnsi="仿宋_GB2312" w:eastAsia="仿宋_GB2312" w:cs="仿宋_GB2312"/>
          <w:sz w:val="32"/>
          <w:szCs w:val="32"/>
          <w:highlight w:val="none"/>
        </w:rPr>
        <w:t>财政拨款基本支出</w:t>
      </w:r>
      <w:r>
        <w:rPr>
          <w:rFonts w:hint="eastAsia" w:ascii="仿宋_GB2312" w:hAnsi="仿宋_GB2312" w:eastAsia="仿宋_GB2312" w:cs="仿宋_GB2312"/>
          <w:sz w:val="32"/>
          <w:szCs w:val="32"/>
          <w:highlight w:val="none"/>
          <w:lang w:val="en-US" w:eastAsia="zh-CN"/>
        </w:rPr>
        <w:t>542.65</w:t>
      </w:r>
      <w:r>
        <w:rPr>
          <w:rFonts w:hint="eastAsia" w:ascii="仿宋_GB2312" w:hAnsi="仿宋_GB2312" w:eastAsia="仿宋_GB2312" w:cs="仿宋_GB2312"/>
          <w:sz w:val="32"/>
          <w:szCs w:val="32"/>
          <w:highlight w:val="none"/>
        </w:rPr>
        <w:t>万元，其中：</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人员经费</w:t>
      </w:r>
      <w:r>
        <w:rPr>
          <w:rFonts w:hint="eastAsia" w:ascii="仿宋_GB2312" w:hAnsi="仿宋_GB2312" w:eastAsia="仿宋_GB2312" w:cs="仿宋_GB2312"/>
          <w:sz w:val="32"/>
          <w:szCs w:val="32"/>
          <w:highlight w:val="none"/>
          <w:lang w:val="en-US" w:eastAsia="zh-CN"/>
        </w:rPr>
        <w:t>510.09</w:t>
      </w:r>
      <w:r>
        <w:rPr>
          <w:rFonts w:hint="eastAsia" w:ascii="仿宋_GB2312" w:hAnsi="仿宋_GB2312" w:eastAsia="仿宋_GB2312" w:cs="仿宋_GB2312"/>
          <w:sz w:val="32"/>
          <w:szCs w:val="32"/>
          <w:highlight w:val="none"/>
        </w:rPr>
        <w:t>万元，占基本支出的</w:t>
      </w:r>
      <w:r>
        <w:rPr>
          <w:rFonts w:hint="eastAsia" w:ascii="仿宋_GB2312" w:hAnsi="仿宋_GB2312" w:eastAsia="仿宋_GB2312" w:cs="仿宋_GB2312"/>
          <w:sz w:val="32"/>
          <w:szCs w:val="32"/>
          <w:highlight w:val="none"/>
          <w:lang w:val="en-US" w:eastAsia="zh-CN"/>
        </w:rPr>
        <w:t>94</w:t>
      </w:r>
      <w:r>
        <w:rPr>
          <w:rFonts w:hint="eastAsia" w:ascii="仿宋_GB2312" w:hAnsi="仿宋_GB2312" w:eastAsia="仿宋_GB2312" w:cs="仿宋_GB2312"/>
          <w:sz w:val="32"/>
          <w:szCs w:val="32"/>
          <w:highlight w:val="none"/>
        </w:rPr>
        <w:t>%,主要包括基本工资、津贴补贴、奖金、伙食补助费</w:t>
      </w:r>
      <w:r>
        <w:rPr>
          <w:rFonts w:hint="eastAsia" w:ascii="仿宋_GB2312" w:hAnsi="仿宋_GB2312" w:eastAsia="仿宋_GB2312" w:cs="仿宋_GB2312"/>
          <w:sz w:val="32"/>
          <w:szCs w:val="32"/>
          <w:highlight w:val="none"/>
          <w:lang w:eastAsia="zh-CN"/>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highlight w:val="none"/>
        </w:rPr>
      </w:pPr>
      <w:r>
        <w:rPr>
          <w:rFonts w:hint="eastAsia" w:ascii="仿宋_GB2312" w:hAnsi="仿宋_GB2312" w:eastAsia="仿宋_GB2312" w:cs="仿宋_GB2312"/>
          <w:b/>
          <w:bCs/>
          <w:sz w:val="32"/>
          <w:szCs w:val="32"/>
          <w:highlight w:val="none"/>
        </w:rPr>
        <w:t>公用经费</w:t>
      </w:r>
      <w:r>
        <w:rPr>
          <w:rFonts w:hint="eastAsia" w:ascii="仿宋_GB2312" w:hAnsi="仿宋_GB2312" w:eastAsia="仿宋_GB2312" w:cs="仿宋_GB2312"/>
          <w:sz w:val="32"/>
          <w:szCs w:val="32"/>
          <w:highlight w:val="none"/>
          <w:lang w:val="en-US" w:eastAsia="zh-CN"/>
        </w:rPr>
        <w:t>32.56</w:t>
      </w:r>
      <w:r>
        <w:rPr>
          <w:rFonts w:hint="eastAsia" w:ascii="仿宋_GB2312" w:hAnsi="仿宋_GB2312" w:eastAsia="仿宋_GB2312" w:cs="仿宋_GB2312"/>
          <w:sz w:val="32"/>
          <w:szCs w:val="32"/>
          <w:highlight w:val="none"/>
        </w:rPr>
        <w:t>万元，占基本支出的</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%，主要包括办公费、印刷费、咨询费、手续费</w:t>
      </w:r>
      <w:r>
        <w:rPr>
          <w:rFonts w:hint="eastAsia" w:ascii="仿宋_GB2312" w:hAnsi="仿宋_GB2312" w:eastAsia="仿宋_GB2312" w:cs="仿宋_GB2312"/>
          <w:sz w:val="32"/>
          <w:szCs w:val="32"/>
          <w:highlight w:val="none"/>
          <w:lang w:eastAsia="zh-CN"/>
        </w:rPr>
        <w:t>、差旅费、劳务费、水电费</w:t>
      </w:r>
      <w:r>
        <w:rPr>
          <w:rFonts w:hint="eastAsia" w:ascii="仿宋_GB2312" w:hAnsi="仿宋_GB2312" w:eastAsia="仿宋_GB2312" w:cs="仿宋_GB2312"/>
          <w:sz w:val="32"/>
          <w:szCs w:val="32"/>
          <w:highlight w:val="none"/>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1079.33</w:t>
      </w:r>
      <w:r>
        <w:rPr>
          <w:rFonts w:hint="eastAsia" w:ascii="仿宋_GB2312" w:hAnsi="仿宋_GB2312" w:eastAsia="仿宋_GB2312" w:cs="仿宋_GB2312"/>
          <w:sz w:val="32"/>
          <w:szCs w:val="32"/>
        </w:rPr>
        <w:t>万元；年初结转和结余万元；支出</w:t>
      </w:r>
      <w:r>
        <w:rPr>
          <w:rFonts w:hint="eastAsia" w:ascii="仿宋_GB2312" w:hAnsi="仿宋_GB2312" w:eastAsia="仿宋_GB2312" w:cs="仿宋_GB2312"/>
          <w:sz w:val="32"/>
          <w:szCs w:val="32"/>
          <w:lang w:val="en-US" w:eastAsia="zh-CN"/>
        </w:rPr>
        <w:t>1079.33</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1079.33</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万元。具体情况如下：</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其他支出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22998</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val="en-US" w:eastAsia="zh-CN"/>
        </w:rPr>
        <w:t>2299899</w:t>
      </w:r>
      <w:r>
        <w:rPr>
          <w:rFonts w:hint="eastAsia" w:ascii="仿宋_GB2312" w:hAnsi="仿宋_GB2312" w:eastAsia="仿宋_GB2312" w:cs="仿宋_GB2312"/>
          <w:sz w:val="32"/>
          <w:szCs w:val="32"/>
        </w:rPr>
        <w:t>（项）。</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1079.33</w:t>
      </w:r>
      <w:r>
        <w:rPr>
          <w:rFonts w:hint="eastAsia" w:ascii="仿宋_GB2312" w:hAnsi="仿宋_GB2312" w:eastAsia="仿宋_GB2312" w:cs="仿宋_GB2312"/>
          <w:sz w:val="32"/>
          <w:szCs w:val="32"/>
        </w:rPr>
        <w:t>万元，决算数大于年初预算数的主要原因是：</w:t>
      </w:r>
      <w:r>
        <w:rPr>
          <w:rFonts w:hint="eastAsia" w:ascii="仿宋_GB2312" w:hAnsi="仿宋_GB2312" w:eastAsia="仿宋_GB2312" w:cs="仿宋_GB2312"/>
          <w:sz w:val="32"/>
          <w:szCs w:val="32"/>
          <w:lang w:val="en-US" w:eastAsia="zh-CN"/>
        </w:rPr>
        <w:t>2024年增加</w:t>
      </w:r>
      <w:r>
        <w:rPr>
          <w:rFonts w:hint="eastAsia" w:ascii="仿宋_GB2312" w:hAnsi="仿宋_GB2312" w:eastAsia="仿宋_GB2312" w:cs="仿宋_GB2312"/>
          <w:sz w:val="32"/>
          <w:szCs w:val="32"/>
        </w:rPr>
        <w:t>演艺设备及智慧文旅设备更新项目资金1079.33万元</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highlight w:val="none"/>
          <w:lang w:val="en-US" w:eastAsia="zh-CN" w:bidi="ar-SA"/>
        </w:rPr>
      </w:pPr>
      <w:r>
        <w:rPr>
          <w:rFonts w:hint="eastAsia" w:ascii="仿宋_GB2312" w:hAnsi="仿宋_GB2312" w:eastAsia="仿宋_GB2312" w:cs="仿宋_GB2312"/>
          <w:color w:val="000000"/>
          <w:kern w:val="0"/>
          <w:sz w:val="32"/>
          <w:szCs w:val="32"/>
          <w:highlight w:val="none"/>
          <w:lang w:val="en-US" w:eastAsia="zh-CN" w:bidi="ar-SA"/>
        </w:rPr>
        <w:t>2024年度国有资本经营预算财政拨款收入0万元；年初结转和结余0万；支出0万元，其中：基本支出0万元，项目支出0万元；年末结转和结余0万元。</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经费财政拨款支出决算总体情况说明</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3.5</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2.68</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76.57</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1.06</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65.43</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s="Times New Roman"/>
          <w:sz w:val="32"/>
          <w:szCs w:val="32"/>
          <w:lang w:eastAsia="zh-CN"/>
        </w:rPr>
        <w:t>例行节约控制成本</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lang w:val="en-US" w:eastAsia="zh-CN"/>
        </w:rPr>
        <w:t>2023年部分公务用车运行维护费保险及维修费在12月才形成，未能及时在系统关账之前完成支付，在2024年才支付完成</w:t>
      </w:r>
      <w:r>
        <w:rPr>
          <w:rFonts w:ascii="Times New Roman" w:hAnsi="Times New Roman" w:eastAsia="仿宋_GB2312" w:cs="Times New Roman"/>
          <w:sz w:val="32"/>
          <w:szCs w:val="32"/>
        </w:rPr>
        <w:t>。</w:t>
      </w:r>
    </w:p>
    <w:p>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经费财政拨款支出决算具体情况说明</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决算数等于预算数</w:t>
      </w:r>
      <w:r>
        <w:rPr>
          <w:rFonts w:hint="eastAsia" w:ascii="Times New Roman" w:hAnsi="Times New Roman" w:eastAsia="仿宋_GB2312" w:cs="Times New Roman"/>
          <w:sz w:val="32"/>
          <w:szCs w:val="32"/>
          <w:lang w:val="en-US" w:eastAsia="zh-CN"/>
        </w:rPr>
        <w:t>，主要原因是我单位严格按预算执行决算</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与上年一致，无增减变动，主要原因是未安排因公出国（境）活动。</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2.55</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85</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0.93</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57.41</w:t>
      </w:r>
      <w:r>
        <w:rPr>
          <w:rFonts w:ascii="Times New Roman" w:hAnsi="Times New Roman" w:eastAsia="仿宋_GB2312" w:cs="Times New Roman"/>
          <w:sz w:val="32"/>
          <w:szCs w:val="32"/>
        </w:rPr>
        <w:t>%。其中：</w:t>
      </w:r>
    </w:p>
    <w:p>
      <w:pPr>
        <w:pStyle w:val="12"/>
        <w:overflowPunct w:val="0"/>
        <w:autoSpaceDE/>
        <w:autoSpaceDN/>
        <w:spacing w:line="600" w:lineRule="exact"/>
        <w:ind w:firstLine="640" w:firstLineChars="200"/>
        <w:jc w:val="both"/>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val="en-US" w:eastAsia="zh-CN"/>
        </w:rPr>
        <w:t>决算数等于预算数，主要原因是我单位严格按预算执行决算</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与上年一致，无增减变动，主要原因是两年均未购置公务用车。本单位</w:t>
      </w:r>
      <w:r>
        <w:rPr>
          <w:rFonts w:ascii="Times New Roman" w:hAnsi="Times New Roman" w:eastAsia="仿宋_GB2312" w:cs="Times New Roman"/>
          <w:sz w:val="32"/>
          <w:szCs w:val="32"/>
        </w:rPr>
        <w:t>更新公务用车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r>
        <w:rPr>
          <w:rFonts w:hint="eastAsia" w:ascii="Times New Roman" w:hAnsi="Times New Roman" w:eastAsia="仿宋_GB2312" w:cs="Times New Roman"/>
          <w:sz w:val="32"/>
          <w:szCs w:val="32"/>
          <w:lang w:eastAsia="zh-CN"/>
        </w:rPr>
        <w:t>。</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2.55</w:t>
      </w:r>
      <w:r>
        <w:rPr>
          <w:rFonts w:ascii="Times New Roman" w:hAnsi="Times New Roman" w:eastAsia="仿宋_GB2312" w:cs="Times New Roman"/>
          <w:sz w:val="32"/>
          <w:szCs w:val="32"/>
        </w:rPr>
        <w:t>万元，</w:t>
      </w:r>
    </w:p>
    <w:p>
      <w:pPr>
        <w:pStyle w:val="12"/>
        <w:overflowPunct w:val="0"/>
        <w:autoSpaceDE/>
        <w:autoSpaceDN/>
        <w:spacing w:line="600" w:lineRule="exact"/>
        <w:ind w:firstLine="640" w:firstLineChars="200"/>
        <w:jc w:val="both"/>
        <w:rPr>
          <w:rFonts w:ascii="Times New Roman" w:hAnsi="Times New Roman" w:eastAsia="楷体" w:cs="Times New Roman"/>
          <w:b/>
          <w:bCs/>
          <w:i/>
          <w:color w:val="FF0000"/>
          <w:sz w:val="32"/>
          <w:szCs w:val="32"/>
        </w:rPr>
      </w:pPr>
      <w:r>
        <w:rPr>
          <w:rFonts w:ascii="Times New Roman" w:hAnsi="Times New Roman" w:eastAsia="仿宋_GB2312" w:cs="Times New Roman"/>
          <w:sz w:val="32"/>
          <w:szCs w:val="32"/>
        </w:rPr>
        <w:t>主要是</w:t>
      </w:r>
      <w:r>
        <w:rPr>
          <w:rFonts w:hint="eastAsia" w:ascii="Times New Roman" w:hAnsi="Times New Roman" w:eastAsia="仿宋_GB2312" w:cs="Times New Roman"/>
          <w:sz w:val="32"/>
          <w:szCs w:val="32"/>
          <w:lang w:eastAsia="zh-CN"/>
        </w:rPr>
        <w:t>公务用车维修费保险费</w:t>
      </w:r>
      <w:r>
        <w:rPr>
          <w:rFonts w:ascii="Times New Roman" w:hAnsi="Times New Roman" w:eastAsia="仿宋_GB2312" w:cs="Times New Roman"/>
          <w:sz w:val="32"/>
          <w:szCs w:val="32"/>
        </w:rPr>
        <w:t>支出，完成预算的</w:t>
      </w:r>
      <w:r>
        <w:rPr>
          <w:rFonts w:hint="eastAsia" w:ascii="Times New Roman" w:hAnsi="Times New Roman" w:eastAsia="仿宋_GB2312" w:cs="Times New Roman"/>
          <w:sz w:val="32"/>
          <w:szCs w:val="32"/>
          <w:lang w:val="en-US" w:eastAsia="zh-CN"/>
        </w:rPr>
        <w:t>85</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0.93</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57.41</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s="Times New Roman"/>
          <w:sz w:val="32"/>
          <w:szCs w:val="32"/>
          <w:lang w:eastAsia="zh-CN"/>
        </w:rPr>
        <w:t>我单位严格按照预算执行</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rPr>
        <w:t>2023年部分公务用车运行维护费保险及维修费在12月才形成，未能及时在系统关账之前完成支付，在2024年才支付完成</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截止</w:t>
      </w:r>
      <w:r>
        <w:rPr>
          <w:rFonts w:hint="eastAsia" w:ascii="Times New Roman" w:hAnsi="Times New Roman" w:eastAsia="仿宋_GB2312" w:cs="Times New Roman"/>
          <w:sz w:val="32"/>
          <w:szCs w:val="32"/>
          <w:highlight w:val="none"/>
          <w:lang w:eastAsia="zh-CN"/>
        </w:rPr>
        <w:t>到</w:t>
      </w:r>
      <w:r>
        <w:rPr>
          <w:rFonts w:ascii="Times New Roman" w:hAnsi="Times New Roman" w:eastAsia="仿宋_GB2312" w:cs="Times New Roman"/>
          <w:sz w:val="32"/>
          <w:szCs w:val="32"/>
        </w:rPr>
        <w:t>2024年12月31日，我单位开支财政拨款的公务用车保有量为</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辆。</w:t>
      </w:r>
    </w:p>
    <w:p>
      <w:pPr>
        <w:pStyle w:val="12"/>
        <w:overflowPunct w:val="0"/>
        <w:autoSpaceDE/>
        <w:autoSpaceDN/>
        <w:spacing w:line="600" w:lineRule="exact"/>
        <w:ind w:firstLine="640" w:firstLineChars="200"/>
        <w:jc w:val="both"/>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z w:val="32"/>
          <w:szCs w:val="32"/>
        </w:rPr>
        <w:t>公务接待费支出预算为</w:t>
      </w:r>
      <w:r>
        <w:rPr>
          <w:rFonts w:hint="eastAsia" w:ascii="Times New Roman" w:hAnsi="Times New Roman" w:eastAsia="仿宋_GB2312" w:cs="Times New Roman"/>
          <w:sz w:val="32"/>
          <w:szCs w:val="32"/>
          <w:lang w:val="en-US" w:eastAsia="zh-CN"/>
        </w:rPr>
        <w:t>0.5</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0.12</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24</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0.12</w:t>
      </w:r>
      <w:r>
        <w:rPr>
          <w:rFonts w:ascii="Times New Roman" w:hAnsi="Times New Roman" w:eastAsia="仿宋_GB2312" w:cs="Times New Roman"/>
          <w:sz w:val="32"/>
          <w:szCs w:val="32"/>
        </w:rPr>
        <w:t>万元，。决算数</w:t>
      </w:r>
      <w:r>
        <w:rPr>
          <w:rFonts w:hint="eastAsia" w:ascii="Times New Roman" w:hAnsi="Times New Roman" w:eastAsia="仿宋_GB2312" w:cs="Times New Roman"/>
          <w:sz w:val="32"/>
          <w:szCs w:val="32"/>
          <w:lang w:eastAsia="zh-CN"/>
        </w:rPr>
        <w:t>小</w:t>
      </w:r>
      <w:r>
        <w:rPr>
          <w:rFonts w:ascii="Times New Roman" w:hAnsi="Times New Roman" w:eastAsia="仿宋_GB2312" w:cs="Times New Roman"/>
          <w:sz w:val="32"/>
          <w:szCs w:val="32"/>
        </w:rPr>
        <w:t>于预算数的主要原因是</w:t>
      </w:r>
      <w:r>
        <w:rPr>
          <w:rFonts w:hint="eastAsia" w:ascii="Times New Roman" w:hAnsi="Times New Roman" w:eastAsia="仿宋_GB2312" w:cs="Times New Roman"/>
          <w:sz w:val="32"/>
          <w:szCs w:val="32"/>
          <w:lang w:eastAsia="zh-CN"/>
        </w:rPr>
        <w:t>政策厉行节约，严控公务接待支出</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eastAsia="zh-CN"/>
        </w:rPr>
        <w:t>大</w:t>
      </w:r>
      <w:r>
        <w:rPr>
          <w:rFonts w:ascii="Times New Roman" w:hAnsi="Times New Roman" w:eastAsia="仿宋_GB2312" w:cs="Times New Roman"/>
          <w:sz w:val="32"/>
          <w:szCs w:val="32"/>
        </w:rPr>
        <w:t>于上年数的主要原因是</w:t>
      </w:r>
      <w:r>
        <w:rPr>
          <w:rFonts w:hint="eastAsia" w:ascii="Times New Roman" w:hAnsi="Times New Roman" w:eastAsia="仿宋_GB2312" w:cs="Times New Roman"/>
          <w:sz w:val="32"/>
          <w:szCs w:val="32"/>
          <w:lang w:eastAsia="zh-CN"/>
        </w:rPr>
        <w:t>上年未安排公务接待费支出</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i w:val="0"/>
          <w:iCs/>
          <w:color w:val="FF0000"/>
          <w:sz w:val="36"/>
          <w:szCs w:val="36"/>
          <w:lang w:val="en-US" w:eastAsia="zh-CN"/>
        </w:rPr>
      </w:pPr>
      <w:r>
        <w:rPr>
          <w:rFonts w:hint="eastAsia" w:ascii="仿宋_GB2312" w:hAnsi="仿宋_GB2312" w:eastAsia="仿宋_GB2312" w:cs="仿宋_GB2312"/>
          <w:color w:val="000000"/>
          <w:kern w:val="0"/>
          <w:sz w:val="32"/>
          <w:szCs w:val="32"/>
          <w:lang w:val="en-US" w:eastAsia="zh-CN" w:bidi="ar-SA"/>
        </w:rPr>
        <w:t>本单位为事业单位，按照机关运行经费的口径，本年度机关运行经费为0。</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i w:val="0"/>
          <w:iCs w:val="0"/>
          <w:color w:val="FF0000"/>
          <w:kern w:val="0"/>
          <w:sz w:val="40"/>
          <w:szCs w:val="40"/>
          <w:lang w:val="en-US" w:eastAsia="zh-CN" w:bidi="ar-SA"/>
        </w:rPr>
      </w:pPr>
      <w:r>
        <w:rPr>
          <w:rFonts w:hint="eastAsia" w:ascii="仿宋_GB2312" w:hAnsi="仿宋_GB2312" w:eastAsia="仿宋_GB2312" w:cs="仿宋_GB2312"/>
          <w:sz w:val="32"/>
          <w:szCs w:val="32"/>
          <w:lang w:val="en-US" w:eastAsia="zh-CN"/>
        </w:rPr>
        <w:t>本单位无会议费的预算和支出决算数；本单位无培训费的预算和支出决算数；本单位无举办节庆、晚会、论坛、赛事等活动的预算和支出决算数。</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462.58</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33.61</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23.28</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405.68</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462.58</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462.58</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货物采购授予中小企业合同金额占货物支出金额的比重，工程采购授予中小企业合同金额占工程支出金额的比重，服务采购授予中小企业合同金额占服务支出金额的比重，由于以上各项合同金额为0，故无法计算各项占比。</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rPr>
        <w:t>XX辆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辆，其他用车主要是</w:t>
      </w:r>
      <w:r>
        <w:rPr>
          <w:rFonts w:hint="eastAsia" w:ascii="仿宋_GB2312" w:hAnsi="仿宋_GB2312" w:eastAsia="仿宋_GB2312" w:cs="仿宋_GB2312"/>
          <w:color w:val="auto"/>
          <w:sz w:val="32"/>
          <w:szCs w:val="32"/>
          <w:lang w:eastAsia="zh-CN"/>
        </w:rPr>
        <w:t>下乡流动服务车</w:t>
      </w:r>
      <w:r>
        <w:rPr>
          <w:rFonts w:hint="eastAsia" w:ascii="仿宋_GB2312" w:hAnsi="仿宋_GB2312" w:eastAsia="仿宋_GB2312" w:cs="仿宋_GB2312"/>
          <w:color w:val="auto"/>
          <w:sz w:val="32"/>
          <w:szCs w:val="32"/>
        </w:rPr>
        <w:t>；单位价值100万元以上设备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pPr>
        <w:overflowPunct w:val="0"/>
        <w:spacing w:line="600" w:lineRule="exact"/>
        <w:ind w:firstLine="640" w:firstLineChars="200"/>
        <w:rPr>
          <w:rFonts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r>
        <w:rPr>
          <w:rFonts w:ascii="Times New Roman" w:hAnsi="Times New Roman" w:eastAsia="仿宋_GB2312" w:cs="Times New Roman"/>
          <w:kern w:val="0"/>
          <w:sz w:val="32"/>
          <w:szCs w:val="32"/>
        </w:rPr>
        <w:t>组织对2024年度本部门（单位）整体支出开展绩效自评，涉及项目</w:t>
      </w:r>
      <w:r>
        <w:rPr>
          <w:rFonts w:hint="eastAsia" w:ascii="Times New Roman" w:hAnsi="Times New Roman" w:eastAsia="仿宋_GB2312" w:cs="Times New Roman"/>
          <w:kern w:val="0"/>
          <w:sz w:val="32"/>
          <w:szCs w:val="32"/>
          <w:lang w:val="en-US" w:eastAsia="zh-CN"/>
        </w:rPr>
        <w:t>5</w:t>
      </w:r>
      <w:r>
        <w:rPr>
          <w:rFonts w:ascii="Times New Roman" w:hAnsi="Times New Roman" w:eastAsia="仿宋_GB2312" w:cs="Times New Roman"/>
          <w:kern w:val="0"/>
          <w:sz w:val="32"/>
          <w:szCs w:val="32"/>
        </w:rPr>
        <w:t xml:space="preserve"> 个，共涉及资金</w:t>
      </w:r>
      <w:r>
        <w:rPr>
          <w:rFonts w:hint="eastAsia" w:ascii="Times New Roman" w:hAnsi="Times New Roman" w:eastAsia="仿宋_GB2312" w:cs="Times New Roman"/>
          <w:kern w:val="0"/>
          <w:sz w:val="32"/>
          <w:szCs w:val="32"/>
          <w:lang w:val="en-US" w:eastAsia="zh-CN"/>
        </w:rPr>
        <w:t>526.5</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5</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526.5</w:t>
      </w:r>
      <w:r>
        <w:rPr>
          <w:rFonts w:ascii="Times New Roman" w:hAnsi="Times New Roman" w:eastAsia="仿宋_GB2312" w:cs="Times New Roman"/>
          <w:kern w:val="0"/>
          <w:sz w:val="32"/>
          <w:szCs w:val="32"/>
        </w:rPr>
        <w:t>万元，占一般公共预算支出总额的</w:t>
      </w:r>
      <w:r>
        <w:rPr>
          <w:rFonts w:hint="eastAsia" w:ascii="Times New Roman" w:hAnsi="Times New Roman" w:eastAsia="仿宋_GB2312" w:cs="Times New Roman"/>
          <w:kern w:val="0"/>
          <w:sz w:val="32"/>
          <w:szCs w:val="32"/>
          <w:lang w:val="en-US" w:eastAsia="zh-CN"/>
        </w:rPr>
        <w:t>45.23</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ascii="Times New Roman" w:hAnsi="Times New Roman" w:eastAsia="仿宋_GB2312" w:cs="Times New Roman"/>
          <w:kern w:val="0"/>
          <w:sz w:val="32"/>
          <w:szCs w:val="32"/>
          <w:highlight w:val="none"/>
        </w:rPr>
        <w:t>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个。</w:t>
      </w:r>
    </w:p>
    <w:p>
      <w:pPr>
        <w:overflowPunct w:val="0"/>
        <w:spacing w:line="600" w:lineRule="exact"/>
        <w:ind w:firstLine="640" w:firstLineChars="200"/>
        <w:rPr>
          <w:rFonts w:hint="eastAsia" w:ascii="Times New Roman" w:hAnsi="Times New Roman" w:eastAsia="仿宋_GB2312" w:cs="Times New Roman"/>
          <w:kern w:val="0"/>
          <w:sz w:val="32"/>
          <w:szCs w:val="32"/>
          <w:highlight w:val="none"/>
          <w:lang w:eastAsia="zh-CN"/>
        </w:rPr>
      </w:pPr>
      <w:r>
        <w:rPr>
          <w:rFonts w:hint="eastAsia" w:ascii="Times New Roman" w:hAnsi="Times New Roman" w:eastAsia="仿宋_GB2312" w:cs="Times New Roman"/>
          <w:kern w:val="0"/>
          <w:sz w:val="32"/>
          <w:szCs w:val="32"/>
          <w:highlight w:val="none"/>
          <w:lang w:eastAsia="zh-CN"/>
        </w:rPr>
        <w:t>2024年我馆紧紧围绕绩效考核重点工作，提高服务效能，强化创新意识，圆满完成了全年目标责任管理任务。</w:t>
      </w:r>
    </w:p>
    <w:p>
      <w:pPr>
        <w:overflowPunct w:val="0"/>
        <w:spacing w:line="600" w:lineRule="exact"/>
        <w:ind w:firstLine="640" w:firstLineChars="200"/>
        <w:rPr>
          <w:rFonts w:ascii="Times New Roman" w:hAnsi="Times New Roman" w:eastAsia="仿宋_GB2312" w:cs="Times New Roman"/>
          <w:b/>
          <w:bCs/>
          <w:kern w:val="0"/>
          <w:sz w:val="32"/>
          <w:szCs w:val="32"/>
        </w:rPr>
      </w:pPr>
      <w:r>
        <w:rPr>
          <w:rFonts w:hint="eastAsia" w:ascii="Times New Roman" w:hAnsi="Times New Roman" w:eastAsia="仿宋_GB2312" w:cs="Times New Roman"/>
          <w:kern w:val="0"/>
          <w:sz w:val="32"/>
          <w:szCs w:val="32"/>
          <w:highlight w:val="none"/>
          <w:lang w:val="en-US" w:eastAsia="zh-CN"/>
        </w:rPr>
        <w:t>2.</w:t>
      </w:r>
      <w:r>
        <w:rPr>
          <w:rFonts w:ascii="Times New Roman" w:hAnsi="Times New Roman" w:eastAsia="仿宋_GB2312" w:cs="Times New Roman"/>
          <w:b/>
          <w:bCs/>
          <w:kern w:val="0"/>
          <w:sz w:val="32"/>
          <w:szCs w:val="32"/>
        </w:rPr>
        <w:t>部门评价开展情况。</w:t>
      </w:r>
    </w:p>
    <w:p>
      <w:pPr>
        <w:overflowPunct w:val="0"/>
        <w:spacing w:line="600" w:lineRule="exact"/>
        <w:ind w:firstLine="640"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本单位为二级预算单位，部门评价开展情况可详见上级部门决算公开说明；</w:t>
      </w:r>
    </w:p>
    <w:p>
      <w:pPr>
        <w:overflowPunct w:val="0"/>
        <w:spacing w:line="600" w:lineRule="exact"/>
        <w:ind w:firstLine="640" w:firstLineChars="200"/>
        <w:rPr>
          <w:rFonts w:ascii="Times New Roman" w:hAnsi="Times New Roman" w:eastAsia="仿宋_GB2312" w:cs="Times New Roman"/>
          <w:b/>
          <w:bCs/>
          <w:kern w:val="0"/>
          <w:sz w:val="32"/>
          <w:szCs w:val="32"/>
        </w:rPr>
      </w:pP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b/>
          <w:bCs/>
          <w:kern w:val="0"/>
          <w:sz w:val="32"/>
          <w:szCs w:val="32"/>
        </w:rPr>
        <w:t>事前绩效评估开展情况。</w:t>
      </w:r>
    </w:p>
    <w:p>
      <w:pPr>
        <w:overflowPunct w:val="0"/>
        <w:spacing w:line="600" w:lineRule="exact"/>
        <w:ind w:firstLine="640" w:firstLineChars="200"/>
        <w:rPr>
          <w:rFonts w:ascii="Times New Roman" w:hAnsi="Times New Roman" w:eastAsia="楷体" w:cs="Times New Roman"/>
          <w:b/>
          <w:bCs/>
          <w:sz w:val="32"/>
          <w:szCs w:val="32"/>
        </w:rPr>
      </w:pPr>
      <w:r>
        <w:rPr>
          <w:rFonts w:hint="eastAsia" w:ascii="Times New Roman" w:hAnsi="Times New Roman" w:eastAsia="仿宋_GB2312" w:cs="Times New Roman"/>
          <w:kern w:val="0"/>
          <w:sz w:val="32"/>
          <w:szCs w:val="32"/>
          <w:lang w:val="en-US" w:eastAsia="zh-CN"/>
        </w:rPr>
        <w:t>本单位为二级预算单位，事前绩效评估开展情况可详见上级部门决算公开说明；</w:t>
      </w:r>
    </w:p>
    <w:p>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ascii="Times New Roman" w:hAnsi="Times New Roman" w:eastAsia="仿宋_GB2312" w:cs="Times New Roman"/>
          <w:sz w:val="32"/>
          <w:szCs w:val="32"/>
        </w:rPr>
      </w:pP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b/>
          <w:bCs/>
          <w:kern w:val="0"/>
          <w:sz w:val="32"/>
          <w:szCs w:val="32"/>
        </w:rPr>
        <w:t>绩效自评结果。</w:t>
      </w:r>
      <w:r>
        <w:rPr>
          <w:rFonts w:ascii="Times New Roman" w:hAnsi="Times New Roman" w:eastAsia="仿宋_GB2312" w:cs="Times New Roman"/>
          <w:kern w:val="0"/>
          <w:sz w:val="32"/>
          <w:szCs w:val="32"/>
        </w:rPr>
        <w:t>2024年度本部门（单位）整体支出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3373.47</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2356.6</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69.89</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96.99</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hint="eastAsia" w:ascii="Times New Roman" w:hAnsi="Times New Roman" w:eastAsia="仿宋_GB2312" w:cs="Times New Roman"/>
          <w:sz w:val="32"/>
          <w:szCs w:val="32"/>
          <w:lang w:eastAsia="zh-CN"/>
        </w:rPr>
        <w:t>优秀</w:t>
      </w:r>
      <w:r>
        <w:rPr>
          <w:rFonts w:ascii="Times New Roman" w:hAnsi="Times New Roman" w:eastAsia="仿宋_GB2312" w:cs="Times New Roman"/>
          <w:sz w:val="32"/>
          <w:szCs w:val="32"/>
        </w:rPr>
        <w:t>。</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绩效目标完成情况：</w:t>
      </w:r>
      <w:r>
        <w:rPr>
          <w:rFonts w:hint="eastAsia" w:ascii="Times New Roman" w:hAnsi="Times New Roman" w:eastAsia="仿宋_GB2312" w:cs="Times New Roman"/>
          <w:sz w:val="32"/>
          <w:szCs w:val="32"/>
        </w:rPr>
        <w:t>细化预算编制工作，认真做好预算的编制。建立健全财政绩效评价指标体系，加强工作人员的业务培训和财政绩效管理信息化建设，加大绩效评价结果的运用。</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Times New Roman" w:hAnsi="Times New Roman" w:eastAsia="仿宋_GB2312" w:cs="Times New Roman"/>
          <w:kern w:val="0"/>
          <w:sz w:val="32"/>
          <w:szCs w:val="32"/>
          <w:lang w:eastAsia="zh-CN"/>
        </w:rPr>
      </w:pPr>
      <w:r>
        <w:rPr>
          <w:rFonts w:hint="eastAsia" w:ascii="Times New Roman" w:hAnsi="Times New Roman" w:eastAsia="仿宋_GB2312" w:cs="Times New Roman"/>
          <w:sz w:val="32"/>
          <w:szCs w:val="32"/>
        </w:rPr>
        <w:t>加大对从事绩效管理工作人员的培训和力度，提高认识，重点培训绩效监控管理工作流程、绩效指标、引举实例、解读政策、树立绩效理念和强化责任意识等。</w:t>
      </w:r>
    </w:p>
    <w:p>
      <w:pPr>
        <w:overflowPunct w:val="0"/>
        <w:spacing w:line="600" w:lineRule="exact"/>
        <w:ind w:firstLine="640" w:firstLineChars="200"/>
        <w:rPr>
          <w:rFonts w:ascii="Times New Roman" w:hAnsi="Times New Roman" w:eastAsia="仿宋_GB2312" w:cs="Times New Roman"/>
          <w:b/>
          <w:bCs/>
          <w:kern w:val="0"/>
          <w:sz w:val="32"/>
          <w:szCs w:val="32"/>
        </w:rPr>
      </w:pP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b/>
          <w:bCs/>
          <w:kern w:val="0"/>
          <w:sz w:val="32"/>
          <w:szCs w:val="32"/>
        </w:rPr>
        <w:t>部门评价结果。</w:t>
      </w:r>
    </w:p>
    <w:p>
      <w:pPr>
        <w:overflowPunct w:val="0"/>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sz w:val="32"/>
          <w:szCs w:val="32"/>
        </w:rPr>
        <w:t>本单位为二级预算单位，部门评价结果可详见上级部门决算公开说明；</w:t>
      </w:r>
    </w:p>
    <w:p>
      <w:pPr>
        <w:overflowPunct w:val="0"/>
        <w:spacing w:line="600" w:lineRule="exact"/>
        <w:ind w:firstLine="640" w:firstLineChars="200"/>
        <w:rPr>
          <w:rFonts w:ascii="Times New Roman" w:hAnsi="Times New Roman" w:eastAsia="仿宋_GB2312" w:cs="Times New Roman"/>
          <w:b/>
          <w:bCs/>
          <w:kern w:val="0"/>
          <w:sz w:val="32"/>
          <w:szCs w:val="32"/>
          <w:highlight w:val="none"/>
        </w:rPr>
      </w:pPr>
      <w:r>
        <w:rPr>
          <w:rFonts w:hint="eastAsia" w:ascii="Times New Roman" w:hAnsi="Times New Roman" w:eastAsia="仿宋_GB2312" w:cs="Times New Roman"/>
          <w:kern w:val="0"/>
          <w:sz w:val="32"/>
          <w:szCs w:val="32"/>
          <w:lang w:val="en-US" w:eastAsia="zh-CN"/>
        </w:rPr>
        <w:t>3.</w:t>
      </w:r>
      <w:r>
        <w:rPr>
          <w:rFonts w:hint="eastAsia" w:ascii="Times New Roman" w:hAnsi="Times New Roman" w:eastAsia="仿宋_GB2312" w:cs="Times New Roman"/>
          <w:b/>
          <w:bCs/>
          <w:kern w:val="0"/>
          <w:sz w:val="32"/>
          <w:szCs w:val="32"/>
          <w:highlight w:val="none"/>
          <w:lang w:val="en-US" w:eastAsia="zh-CN"/>
        </w:rPr>
        <w:t>事</w:t>
      </w:r>
      <w:r>
        <w:rPr>
          <w:rFonts w:ascii="Times New Roman" w:hAnsi="Times New Roman" w:eastAsia="仿宋_GB2312" w:cs="Times New Roman"/>
          <w:b/>
          <w:bCs/>
          <w:kern w:val="0"/>
          <w:sz w:val="32"/>
          <w:szCs w:val="32"/>
          <w:highlight w:val="none"/>
        </w:rPr>
        <w:t>前绩效评估结果。</w:t>
      </w:r>
    </w:p>
    <w:p>
      <w:pPr>
        <w:overflowPunct w:val="0"/>
        <w:spacing w:line="600" w:lineRule="exact"/>
        <w:ind w:firstLine="640" w:firstLineChars="200"/>
        <w:rPr>
          <w:rFonts w:hint="eastAsia" w:ascii="Times New Roman" w:hAnsi="Times New Roman" w:eastAsia="仿宋_GB2312"/>
          <w:color w:val="FF0000"/>
          <w:sz w:val="32"/>
          <w:szCs w:val="32"/>
        </w:rPr>
      </w:pPr>
      <w:r>
        <w:rPr>
          <w:rFonts w:hint="eastAsia" w:ascii="Times New Roman" w:hAnsi="Times New Roman" w:eastAsia="仿宋_GB2312" w:cs="Times New Roman"/>
          <w:kern w:val="0"/>
          <w:sz w:val="32"/>
          <w:szCs w:val="32"/>
          <w:highlight w:val="none"/>
        </w:rPr>
        <w:t>本单位为二级预算单位，事前绩效评估结果可详见上级部门决算公开说明；</w:t>
      </w:r>
    </w:p>
    <w:p>
      <w:pPr>
        <w:numPr>
          <w:ilvl w:val="0"/>
          <w:numId w:val="3"/>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pPr>
        <w:numPr>
          <w:ilvl w:val="0"/>
          <w:numId w:val="0"/>
        </w:numPr>
        <w:autoSpaceDE w:val="0"/>
        <w:autoSpaceDN w:val="0"/>
        <w:adjustRightInd w:val="0"/>
        <w:ind w:firstLine="640" w:firstLineChars="200"/>
        <w:jc w:val="left"/>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请根据2024年度绩效自评结果、部门评价结果、</w:t>
      </w:r>
      <w:r>
        <w:rPr>
          <w:rFonts w:hint="eastAsia" w:ascii="Times New Roman" w:hAnsi="Times New Roman" w:eastAsia="仿宋_GB2312" w:cs="Times New Roman"/>
          <w:color w:val="auto"/>
          <w:sz w:val="32"/>
          <w:szCs w:val="32"/>
          <w:highlight w:val="none"/>
          <w:lang w:eastAsia="zh-CN"/>
        </w:rPr>
        <w:t>事前绩效</w:t>
      </w:r>
      <w:r>
        <w:rPr>
          <w:rFonts w:ascii="Times New Roman" w:hAnsi="Times New Roman" w:eastAsia="仿宋_GB2312" w:cs="Times New Roman"/>
          <w:color w:val="auto"/>
          <w:sz w:val="32"/>
          <w:szCs w:val="32"/>
          <w:highlight w:val="none"/>
        </w:rPr>
        <w:t>评价结果对本部门2025年度预算安排，支出结构调整，资金管理，制度建设等方面结果运用进行简要说明。</w:t>
      </w:r>
    </w:p>
    <w:p>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pPr>
        <w:pStyle w:val="2"/>
        <w:rPr>
          <w:rFonts w:hint="eastAsia"/>
          <w:lang w:val="en-US" w:eastAsia="zh-CN"/>
        </w:rPr>
      </w:pPr>
    </w:p>
    <w:p>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r>
        <w:rPr>
          <w:rFonts w:hint="eastAsia" w:ascii="楷体" w:hAnsi="楷体" w:eastAsia="楷体" w:cs="楷体"/>
          <w:b/>
          <w:bCs/>
          <w:i w:val="0"/>
          <w:iCs w:val="0"/>
          <w:color w:val="FF0000"/>
          <w:kern w:val="0"/>
          <w:sz w:val="36"/>
          <w:szCs w:val="36"/>
          <w:lang w:val="en-US" w:eastAsia="zh-CN"/>
        </w:rPr>
        <w:t>1、绩效评价报告（含整体支出和项目支出绩效自评表）必须作为附件上传；</w:t>
      </w:r>
    </w:p>
    <w:p>
      <w:pPr>
        <w:numPr>
          <w:ilvl w:val="0"/>
          <w:numId w:val="0"/>
        </w:numPr>
        <w:autoSpaceDE w:val="0"/>
        <w:autoSpaceDN w:val="0"/>
        <w:adjustRightInd w:val="0"/>
        <w:jc w:val="left"/>
        <w:rPr>
          <w:sz w:val="72"/>
          <w:szCs w:val="72"/>
        </w:rPr>
      </w:pPr>
      <w:r>
        <w:rPr>
          <w:rFonts w:hint="eastAsia" w:ascii="楷体" w:hAnsi="楷体" w:eastAsia="楷体" w:cs="楷体"/>
          <w:b/>
          <w:bCs/>
          <w:i w:val="0"/>
          <w:iCs w:val="0"/>
          <w:color w:val="FF0000"/>
          <w:kern w:val="0"/>
          <w:sz w:val="36"/>
          <w:szCs w:val="36"/>
          <w:lang w:val="en-US" w:eastAsia="zh-CN"/>
        </w:rPr>
        <w:t>2、凡是有公开表3支出决算表中有项目支出的，绩效自评报告中要包含《2024年度项目支出绩效自评表》。</w:t>
      </w:r>
    </w:p>
    <w:p>
      <w:pPr>
        <w:pStyle w:val="12"/>
        <w:jc w:val="both"/>
        <w:rPr>
          <w:rFonts w:hint="eastAsia" w:ascii="方正小标宋_GBK" w:hAnsi="方正小标宋_GBK" w:eastAsia="方正小标宋_GBK" w:cs="方正小标宋_GBK"/>
          <w:sz w:val="24"/>
          <w:szCs w:val="24"/>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ind w:firstLine="640" w:firstLineChars="200"/>
        <w:jc w:val="left"/>
        <w:rPr>
          <w:rFonts w:hint="eastAsia" w:ascii="仿宋_GB2312" w:hAnsi="仿宋_GB2312" w:eastAsia="仿宋_GB2312" w:cs="仿宋_GB2312"/>
          <w:color w:val="000000"/>
          <w:kern w:val="0"/>
          <w:sz w:val="32"/>
          <w:szCs w:val="32"/>
        </w:rPr>
      </w:pPr>
    </w:p>
    <w:p>
      <w:pPr>
        <w:ind w:firstLine="640" w:firstLineChars="200"/>
        <w:jc w:val="left"/>
        <w:rPr>
          <w:rFonts w:hint="eastAsia" w:ascii="仿宋_GB2312" w:hAnsi="仿宋_GB2312" w:eastAsia="仿宋_GB2312" w:cs="仿宋_GB2312"/>
          <w:color w:val="000000"/>
          <w:kern w:val="0"/>
          <w:sz w:val="32"/>
          <w:szCs w:val="32"/>
        </w:rPr>
      </w:pPr>
    </w:p>
    <w:p>
      <w:pPr>
        <w:ind w:firstLine="640" w:firstLineChars="200"/>
        <w:jc w:val="left"/>
        <w:rPr>
          <w:rFonts w:hint="eastAsia" w:ascii="仿宋_GB2312" w:hAnsi="仿宋_GB2312" w:eastAsia="仿宋_GB2312" w:cs="仿宋_GB2312"/>
          <w:color w:val="000000"/>
          <w:kern w:val="0"/>
          <w:sz w:val="32"/>
          <w:szCs w:val="32"/>
        </w:rPr>
      </w:pPr>
    </w:p>
    <w:p>
      <w:pPr>
        <w:pStyle w:val="2"/>
        <w:rPr>
          <w:rFonts w:hint="eastAsia"/>
        </w:rPr>
      </w:pPr>
    </w:p>
    <w:p>
      <w:pPr>
        <w:ind w:firstLine="640" w:firstLineChars="200"/>
        <w:jc w:val="left"/>
        <w:rPr>
          <w:rFonts w:hint="eastAsia" w:ascii="仿宋_GB2312" w:hAnsi="仿宋_GB2312" w:eastAsia="仿宋_GB2312" w:cs="仿宋_GB2312"/>
          <w:color w:val="000000"/>
          <w:kern w:val="0"/>
          <w:sz w:val="32"/>
          <w:szCs w:val="32"/>
        </w:rPr>
      </w:pP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jc w:val="left"/>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rPr>
        <w:t>二、机关运行经费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pPr>
        <w:pStyle w:val="12"/>
        <w:jc w:val="center"/>
        <w:rPr>
          <w:rFonts w:hint="eastAsia" w:ascii="仿宋_GB2312" w:hAnsi="仿宋_GB2312" w:eastAsia="仿宋_GB2312" w:cs="仿宋_GB2312"/>
          <w:sz w:val="32"/>
          <w:szCs w:val="32"/>
        </w:rPr>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
      <w:pPr>
        <w:pStyle w:val="2"/>
      </w:pPr>
    </w:p>
    <w:p>
      <w:pPr>
        <w:pStyle w:val="12"/>
        <w:jc w:val="both"/>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2"/>
        <w:jc w:val="both"/>
        <w:rPr>
          <w:rFonts w:hint="eastAsia" w:ascii="方正小标宋_GBK" w:hAnsi="方正小标宋_GBK" w:eastAsia="方正小标宋_GBK" w:cs="方正小标宋_GBK"/>
          <w:sz w:val="70"/>
          <w:szCs w:val="70"/>
          <w:lang w:eastAsia="zh-CN"/>
        </w:rPr>
      </w:pPr>
    </w:p>
    <w:p>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ind w:firstLine="640" w:firstLineChars="200"/>
        <w:jc w:val="left"/>
        <w:rPr>
          <w:rFonts w:hint="eastAsia" w:ascii="宋体" w:hAnsi="宋体" w:eastAsia="宋体" w:cs="黑体"/>
          <w:b/>
          <w:color w:val="000000"/>
          <w:kern w:val="0"/>
          <w:sz w:val="32"/>
          <w:szCs w:val="32"/>
          <w:lang w:val="en-US" w:eastAsia="zh-CN"/>
        </w:rPr>
      </w:pPr>
    </w:p>
    <w:p>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Arial Unicode MS"/>
    <w:panose1 w:val="02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abstractNum w:abstractNumId="1">
    <w:nsid w:val="95D5C65C"/>
    <w:multiLevelType w:val="singleLevel"/>
    <w:tmpl w:val="95D5C65C"/>
    <w:lvl w:ilvl="0" w:tentative="0">
      <w:start w:val="2"/>
      <w:numFmt w:val="decimal"/>
      <w:suff w:val="nothing"/>
      <w:lvlText w:val="%1、"/>
      <w:lvlJc w:val="left"/>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mYzEwZTM1NDYyOGUzZmZlNGUyZDYwZjdkOWYxZWY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68325F"/>
    <w:rsid w:val="059958AD"/>
    <w:rsid w:val="06710E08"/>
    <w:rsid w:val="06C857E7"/>
    <w:rsid w:val="07BC4304"/>
    <w:rsid w:val="08C24A73"/>
    <w:rsid w:val="09607A8C"/>
    <w:rsid w:val="0A0A75A9"/>
    <w:rsid w:val="0A1E23E0"/>
    <w:rsid w:val="0ABB4D47"/>
    <w:rsid w:val="0F7B2C77"/>
    <w:rsid w:val="10606175"/>
    <w:rsid w:val="11944E2C"/>
    <w:rsid w:val="12583BA5"/>
    <w:rsid w:val="13BA5B9C"/>
    <w:rsid w:val="17620A24"/>
    <w:rsid w:val="18B74DA0"/>
    <w:rsid w:val="1B80591D"/>
    <w:rsid w:val="1D97DEFF"/>
    <w:rsid w:val="1DFF72E5"/>
    <w:rsid w:val="1EFC6F07"/>
    <w:rsid w:val="1F0527A6"/>
    <w:rsid w:val="21F5745F"/>
    <w:rsid w:val="22AC03C2"/>
    <w:rsid w:val="23377209"/>
    <w:rsid w:val="283B15FE"/>
    <w:rsid w:val="28612632"/>
    <w:rsid w:val="2DC84F02"/>
    <w:rsid w:val="2FDF85B8"/>
    <w:rsid w:val="2FE222AB"/>
    <w:rsid w:val="2FFFEE04"/>
    <w:rsid w:val="31C95635"/>
    <w:rsid w:val="334212B2"/>
    <w:rsid w:val="34DF85B0"/>
    <w:rsid w:val="390E2362"/>
    <w:rsid w:val="3B8F36BC"/>
    <w:rsid w:val="3F285800"/>
    <w:rsid w:val="43EB5BA5"/>
    <w:rsid w:val="443D58AA"/>
    <w:rsid w:val="491FF225"/>
    <w:rsid w:val="4AFF5FAF"/>
    <w:rsid w:val="4EC310A1"/>
    <w:rsid w:val="4FBE01E7"/>
    <w:rsid w:val="4FFD214C"/>
    <w:rsid w:val="514C1822"/>
    <w:rsid w:val="5352765A"/>
    <w:rsid w:val="5777D4F5"/>
    <w:rsid w:val="57F22B6F"/>
    <w:rsid w:val="59DD8326"/>
    <w:rsid w:val="5CA00681"/>
    <w:rsid w:val="5DEF592A"/>
    <w:rsid w:val="5FC6BB1E"/>
    <w:rsid w:val="5FF720F1"/>
    <w:rsid w:val="600D6620"/>
    <w:rsid w:val="61B96A60"/>
    <w:rsid w:val="622964C1"/>
    <w:rsid w:val="67FF5C0B"/>
    <w:rsid w:val="6AD22940"/>
    <w:rsid w:val="6BAA4A2F"/>
    <w:rsid w:val="6DDEC5C0"/>
    <w:rsid w:val="6EFC0924"/>
    <w:rsid w:val="6FB74722"/>
    <w:rsid w:val="6FCC795E"/>
    <w:rsid w:val="6FEF8B7E"/>
    <w:rsid w:val="717FE77F"/>
    <w:rsid w:val="71A6591B"/>
    <w:rsid w:val="731A30D6"/>
    <w:rsid w:val="737D59BA"/>
    <w:rsid w:val="737F32B1"/>
    <w:rsid w:val="73BD3FCA"/>
    <w:rsid w:val="7431692A"/>
    <w:rsid w:val="776BDA01"/>
    <w:rsid w:val="77C37683"/>
    <w:rsid w:val="78174088"/>
    <w:rsid w:val="79FF515B"/>
    <w:rsid w:val="7DFBFF20"/>
    <w:rsid w:val="7E7E6C0F"/>
    <w:rsid w:val="7E9E1962"/>
    <w:rsid w:val="7E9F11B4"/>
    <w:rsid w:val="7F37EC1E"/>
    <w:rsid w:val="7F7C0DDA"/>
    <w:rsid w:val="7F7DCD9D"/>
    <w:rsid w:val="7F970A6F"/>
    <w:rsid w:val="7FC1FFF3"/>
    <w:rsid w:val="7FC69637"/>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17</Pages>
  <Words>5487</Words>
  <Characters>6102</Characters>
  <Lines>63</Lines>
  <Paragraphs>18</Paragraphs>
  <TotalTime>131</TotalTime>
  <ScaleCrop>false</ScaleCrop>
  <LinksUpToDate>false</LinksUpToDate>
  <CharactersWithSpaces>6119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妍</cp:lastModifiedBy>
  <cp:lastPrinted>2024-08-11T02:20:00Z</cp:lastPrinted>
  <dcterms:modified xsi:type="dcterms:W3CDTF">2025-09-28T08:47:29Z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98623D6660B449428EB8E073C6C952EA</vt:lpwstr>
  </property>
</Properties>
</file>