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2"/>
        <w:jc w:val="center"/>
        <w:rPr>
          <w:sz w:val="56"/>
          <w:szCs w:val="56"/>
        </w:rPr>
      </w:pPr>
    </w:p>
    <w:p w14:paraId="3BDF5AB8">
      <w:pPr>
        <w:pStyle w:val="12"/>
        <w:jc w:val="center"/>
        <w:rPr>
          <w:sz w:val="56"/>
          <w:szCs w:val="56"/>
        </w:rPr>
      </w:pPr>
    </w:p>
    <w:p w14:paraId="60CA4575">
      <w:pPr>
        <w:pStyle w:val="12"/>
        <w:jc w:val="center"/>
        <w:rPr>
          <w:sz w:val="84"/>
          <w:szCs w:val="84"/>
        </w:rPr>
      </w:pPr>
    </w:p>
    <w:p w14:paraId="215EB31D">
      <w:pPr>
        <w:pStyle w:val="12"/>
        <w:jc w:val="center"/>
        <w:rPr>
          <w:sz w:val="84"/>
          <w:szCs w:val="84"/>
        </w:rPr>
      </w:pPr>
    </w:p>
    <w:p w14:paraId="376C860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5D799341">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岳阳市文化市场综合行政</w:t>
      </w:r>
    </w:p>
    <w:p w14:paraId="6934EBE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执法支队</w:t>
      </w:r>
      <w:r>
        <w:rPr>
          <w:rFonts w:hint="eastAsia" w:ascii="方正小标宋_GBK" w:hAnsi="方正小标宋_GBK" w:eastAsia="方正小标宋_GBK" w:cs="方正小标宋_GBK"/>
          <w:sz w:val="84"/>
          <w:szCs w:val="84"/>
        </w:rPr>
        <w:t>部门决算</w:t>
      </w:r>
    </w:p>
    <w:p w14:paraId="3A699C16">
      <w:pPr>
        <w:pStyle w:val="12"/>
        <w:jc w:val="center"/>
        <w:rPr>
          <w:rFonts w:hint="eastAsia" w:ascii="方正小标宋_GBK" w:hAnsi="方正小标宋_GBK" w:eastAsia="方正小标宋_GBK" w:cs="方正小标宋_GBK"/>
          <w:sz w:val="56"/>
          <w:szCs w:val="56"/>
        </w:rPr>
      </w:pPr>
    </w:p>
    <w:p w14:paraId="72C8FB58">
      <w:pPr>
        <w:pStyle w:val="12"/>
        <w:jc w:val="center"/>
        <w:rPr>
          <w:sz w:val="56"/>
          <w:szCs w:val="56"/>
        </w:rPr>
      </w:pPr>
    </w:p>
    <w:p w14:paraId="25018D25">
      <w:pPr>
        <w:pStyle w:val="12"/>
        <w:jc w:val="center"/>
        <w:rPr>
          <w:sz w:val="56"/>
          <w:szCs w:val="56"/>
        </w:rPr>
      </w:pPr>
    </w:p>
    <w:p w14:paraId="5EE73A38">
      <w:pPr>
        <w:pStyle w:val="12"/>
        <w:jc w:val="center"/>
        <w:rPr>
          <w:sz w:val="56"/>
          <w:szCs w:val="56"/>
        </w:rPr>
      </w:pPr>
    </w:p>
    <w:p w14:paraId="297571C5">
      <w:pPr>
        <w:pStyle w:val="12"/>
        <w:jc w:val="center"/>
        <w:rPr>
          <w:sz w:val="32"/>
          <w:szCs w:val="32"/>
        </w:rPr>
      </w:pPr>
    </w:p>
    <w:p w14:paraId="08493D1E">
      <w:pPr>
        <w:pStyle w:val="12"/>
        <w:jc w:val="center"/>
        <w:rPr>
          <w:sz w:val="32"/>
          <w:szCs w:val="32"/>
        </w:rPr>
      </w:pPr>
    </w:p>
    <w:p w14:paraId="5BD6E8BD">
      <w:pPr>
        <w:pStyle w:val="12"/>
        <w:jc w:val="center"/>
        <w:rPr>
          <w:sz w:val="32"/>
          <w:szCs w:val="32"/>
        </w:rPr>
      </w:pPr>
    </w:p>
    <w:p w14:paraId="1062A3B4">
      <w:pPr>
        <w:pStyle w:val="12"/>
        <w:jc w:val="center"/>
        <w:rPr>
          <w:sz w:val="32"/>
          <w:szCs w:val="32"/>
        </w:rPr>
      </w:pPr>
    </w:p>
    <w:p w14:paraId="6311DFC7">
      <w:pPr>
        <w:pStyle w:val="12"/>
        <w:jc w:val="center"/>
        <w:rPr>
          <w:sz w:val="32"/>
          <w:szCs w:val="32"/>
        </w:rPr>
      </w:pPr>
    </w:p>
    <w:p w14:paraId="50228290">
      <w:pPr>
        <w:pStyle w:val="12"/>
        <w:spacing w:line="540" w:lineRule="exact"/>
        <w:jc w:val="center"/>
        <w:rPr>
          <w:sz w:val="56"/>
          <w:szCs w:val="56"/>
        </w:rPr>
      </w:pPr>
    </w:p>
    <w:p w14:paraId="459C483D">
      <w:pPr>
        <w:pStyle w:val="12"/>
        <w:spacing w:line="500" w:lineRule="exact"/>
        <w:jc w:val="both"/>
        <w:rPr>
          <w:b/>
          <w:sz w:val="36"/>
          <w:szCs w:val="28"/>
        </w:rPr>
      </w:pPr>
    </w:p>
    <w:p w14:paraId="24F3309B">
      <w:pPr>
        <w:pStyle w:val="12"/>
        <w:spacing w:line="500" w:lineRule="exact"/>
        <w:jc w:val="center"/>
        <w:rPr>
          <w:b/>
          <w:sz w:val="36"/>
          <w:szCs w:val="28"/>
        </w:rPr>
      </w:pPr>
      <w:r>
        <w:rPr>
          <w:rFonts w:hint="eastAsia"/>
          <w:b/>
          <w:sz w:val="36"/>
          <w:szCs w:val="28"/>
        </w:rPr>
        <w:t>目录</w:t>
      </w:r>
    </w:p>
    <w:p w14:paraId="6CBD0C2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岳阳市文化市场综合行政执法支队</w:t>
      </w:r>
      <w:r>
        <w:rPr>
          <w:rFonts w:hint="eastAsia" w:ascii="黑体" w:hAnsi="黑体" w:eastAsia="黑体" w:cs="黑体"/>
          <w:b w:val="0"/>
          <w:bCs/>
          <w:sz w:val="28"/>
          <w:szCs w:val="28"/>
        </w:rPr>
        <w:t>单位概况</w:t>
      </w:r>
    </w:p>
    <w:p w14:paraId="060CB1D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2"/>
        <w:jc w:val="center"/>
        <w:rPr>
          <w:rFonts w:hint="eastAsia" w:ascii="方正小标宋_GBK" w:hAnsi="方正小标宋_GBK" w:eastAsia="方正小标宋_GBK" w:cs="方正小标宋_GBK"/>
          <w:sz w:val="84"/>
          <w:szCs w:val="84"/>
        </w:rPr>
      </w:pPr>
    </w:p>
    <w:p w14:paraId="1095DEAB">
      <w:pPr>
        <w:pStyle w:val="12"/>
        <w:jc w:val="center"/>
        <w:rPr>
          <w:rFonts w:hint="eastAsia" w:ascii="方正小标宋_GBK" w:hAnsi="方正小标宋_GBK" w:eastAsia="方正小标宋_GBK" w:cs="方正小标宋_GBK"/>
          <w:sz w:val="84"/>
          <w:szCs w:val="84"/>
        </w:rPr>
      </w:pPr>
    </w:p>
    <w:p w14:paraId="0DEEC24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2"/>
        <w:jc w:val="center"/>
        <w:rPr>
          <w:rFonts w:hint="eastAsia" w:ascii="方正小标宋_GBK" w:hAnsi="方正小标宋_GBK" w:eastAsia="方正小标宋_GBK" w:cs="方正小标宋_GBK"/>
          <w:sz w:val="84"/>
          <w:szCs w:val="84"/>
        </w:rPr>
      </w:pPr>
    </w:p>
    <w:p w14:paraId="130C90A3">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岳阳市文化市场综合行政</w:t>
      </w: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执法支队单位</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1469560B">
      <w:pPr>
        <w:pStyle w:val="3"/>
        <w:ind w:left="0" w:leftChars="0" w:firstLine="0" w:firstLineChars="0"/>
        <w:rPr>
          <w:rFonts w:hint="eastAsia" w:ascii="方正小标宋_GBK" w:hAnsi="方正小标宋_GBK" w:eastAsia="方正小标宋_GBK" w:cs="方正小标宋_GBK"/>
          <w:sz w:val="84"/>
          <w:szCs w:val="84"/>
        </w:rPr>
      </w:pPr>
    </w:p>
    <w:p w14:paraId="6698AF1B">
      <w:pPr>
        <w:rPr>
          <w:rFonts w:hint="eastAsia"/>
        </w:rPr>
      </w:pPr>
      <w:r>
        <w:rPr>
          <w:rFonts w:hint="eastAsia"/>
        </w:rPr>
        <w:br w:type="page"/>
      </w:r>
    </w:p>
    <w:p w14:paraId="128898B7">
      <w:pPr>
        <w:pStyle w:val="3"/>
        <w:rPr>
          <w:rFonts w:hint="eastAsia"/>
        </w:rPr>
      </w:pPr>
    </w:p>
    <w:p w14:paraId="55E857AF">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BF9B346">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贯彻执行党和国家有关文化（文物）、广播影视、新闻出版、版权管理、旅游、非物质文化遗产、公共文化服务保障法律法规规章和方针策；拟订全市文化市场行政执法工作方面的规范性文件、总体规划和年度计划，并组织实施；负责对县市区文化市场行政执法机构的业务指导、协调和监督。</w:t>
      </w:r>
    </w:p>
    <w:p w14:paraId="07F2C768">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市本级和岳阳楼区、岳阳经济技术开发区、南湖新区、城陵矶新港区下列文化市场行政执法工作：依法查处娱乐场所、互联网上网服务营业场所的违法行为；查处演出、艺术品经营及进出口、文物经营等活动中的违法行为；查处文化艺术经营、展览展播活动中的违法行为；查处社会艺术考级活动中的违法行为；查处除制作、播出、传输等机构外的企业、个人和社会组织从事广播、电影、电视活动中的违法行为，查处电影放映单位的违法行为，查处安装和设置卫星电视广播地面接收设施、传送境外卫星电视节目中的违法行为，查处放映未取得《电影片公映许可证》的电影片和走私放映盗版影片等违法活动；查处图书、音像制品、电子出版物等方面的违法出版活动和印刷、复制、出版物发行中的违法经营活动，查处非法出版单位和个人的违法出版活动；查处著作权侵权行为；查处网络文化、网络视听、网络出版等方面的违法经营活动；配合查处生产、销售、使用“伪基站”设备的违法行为。</w:t>
      </w:r>
    </w:p>
    <w:p w14:paraId="55B30F9F">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（三）负责查处职责范围内违反文物保护、非物质文化遗产保护、公共文化服务保障法律法规规章规定的行为。</w:t>
      </w:r>
    </w:p>
    <w:p w14:paraId="44992FA5">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（四）负责依法查处旅游市场的违法违规行为。</w:t>
      </w:r>
    </w:p>
    <w:p w14:paraId="5598E421">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（五）负责受理对文化旅游市场违法行为的投诉、举报。</w:t>
      </w:r>
    </w:p>
    <w:p w14:paraId="2884302D">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（六）承担“扫黄打非”有关工作。</w:t>
      </w:r>
    </w:p>
    <w:p w14:paraId="1923D7AF">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承办法律法规规章规定和市委、市人民政府及市文化旅游广电局交办的其他事项。贯彻执行党和国家有关文化（文物）、广播影视、新闻出版、版权管理、旅游、非物质文化遗产、公共文化服务保障法律法规规章和方针政策；拟订全市文化市场行政执法工作方面的规范性文件、总体规划和年度计划，并组织实施；负责对县市区文化市场行政执法机构的业务指导、协调和监督。</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90F753F">
      <w:pPr>
        <w:ind w:firstLine="640" w:firstLineChars="200"/>
        <w:rPr>
          <w:rFonts w:hint="eastAsia"/>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岳阳市文化市场综合行政执法支队</w:t>
      </w:r>
      <w:r>
        <w:rPr>
          <w:rFonts w:hint="eastAsia" w:ascii="Times New Roman" w:hAnsi="Times New Roman" w:eastAsia="仿宋_GB2312" w:cs="仿宋_GB2312"/>
          <w:bCs/>
          <w:kern w:val="0"/>
          <w:sz w:val="32"/>
          <w:szCs w:val="32"/>
        </w:rPr>
        <w:t>独立编制、核算机构数 1 个，现有人员编制</w:t>
      </w:r>
      <w:r>
        <w:rPr>
          <w:rFonts w:hint="eastAsia" w:ascii="Times New Roman" w:hAnsi="Times New Roman" w:eastAsia="仿宋_GB2312" w:cs="仿宋_GB2312"/>
          <w:bCs/>
          <w:kern w:val="0"/>
          <w:sz w:val="32"/>
          <w:szCs w:val="32"/>
          <w:lang w:val="en-US" w:eastAsia="zh-CN"/>
        </w:rPr>
        <w:t>94</w:t>
      </w:r>
      <w:r>
        <w:rPr>
          <w:rFonts w:hint="eastAsia" w:ascii="Times New Roman" w:hAnsi="Times New Roman" w:eastAsia="仿宋_GB2312" w:cs="仿宋_GB2312"/>
          <w:bCs/>
          <w:kern w:val="0"/>
          <w:sz w:val="32"/>
          <w:szCs w:val="32"/>
        </w:rPr>
        <w:t xml:space="preserve"> 名，为公益一类事业单位。设内设机构</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个：综合科、</w:t>
      </w:r>
      <w:r>
        <w:rPr>
          <w:rFonts w:hint="eastAsia" w:ascii="Times New Roman" w:hAnsi="Times New Roman" w:eastAsia="仿宋_GB2312" w:cs="仿宋_GB2312"/>
          <w:bCs/>
          <w:kern w:val="0"/>
          <w:sz w:val="32"/>
          <w:szCs w:val="32"/>
          <w:lang w:eastAsia="zh-CN"/>
        </w:rPr>
        <w:t>法制</w:t>
      </w:r>
      <w:r>
        <w:rPr>
          <w:rFonts w:hint="eastAsia" w:ascii="Times New Roman" w:hAnsi="Times New Roman" w:eastAsia="仿宋_GB2312" w:cs="仿宋_GB2312"/>
          <w:bCs/>
          <w:kern w:val="0"/>
          <w:sz w:val="32"/>
          <w:szCs w:val="32"/>
        </w:rPr>
        <w:t>科；直属机构8个：法制大队、直属一大队、直属二大队、直属三大队、直属四大队、直属五大队、直属六大队、直属七大队。</w:t>
      </w:r>
    </w:p>
    <w:p w14:paraId="7CD92489">
      <w:pPr>
        <w:ind w:firstLine="640" w:firstLineChars="200"/>
      </w:pPr>
      <w:r>
        <w:rPr>
          <w:rFonts w:hint="eastAsia" w:ascii="Times New Roman" w:hAnsi="Times New Roman" w:eastAsia="仿宋_GB2312" w:cs="仿宋_GB2312"/>
          <w:bCs/>
          <w:kern w:val="0"/>
          <w:sz w:val="32"/>
          <w:szCs w:val="32"/>
        </w:rPr>
        <w:t>（二）决算单位构成。本单位无独立核算的下属单位，2024年度部门决算汇总公开单位仅包括岳阳市文化市场综合行政执法支队本级。</w:t>
      </w:r>
    </w:p>
    <w:p w14:paraId="5267F12B">
      <w:pPr>
        <w:pStyle w:val="2"/>
      </w:pPr>
    </w:p>
    <w:p w14:paraId="28828498">
      <w:pPr>
        <w:pStyle w:val="3"/>
      </w:pPr>
    </w:p>
    <w:p w14:paraId="04E62672"/>
    <w:p w14:paraId="1D6D7A8B">
      <w:pPr>
        <w:pStyle w:val="2"/>
      </w:pPr>
    </w:p>
    <w:p w14:paraId="2E47952B">
      <w:pPr>
        <w:pStyle w:val="3"/>
      </w:pPr>
    </w:p>
    <w:p w14:paraId="18A19BE5"/>
    <w:p w14:paraId="7CCBF86D">
      <w:pPr>
        <w:pStyle w:val="2"/>
      </w:pPr>
    </w:p>
    <w:p w14:paraId="0017F5EC">
      <w:pPr>
        <w:pStyle w:val="3"/>
      </w:pPr>
    </w:p>
    <w:p w14:paraId="76181D4E"/>
    <w:p w14:paraId="1A174866">
      <w:pPr>
        <w:pStyle w:val="12"/>
        <w:jc w:val="center"/>
        <w:rPr>
          <w:rFonts w:hint="eastAsia" w:ascii="方正小标宋_GBK" w:hAnsi="方正小标宋_GBK" w:eastAsia="方正小标宋_GBK" w:cs="方正小标宋_GBK"/>
          <w:sz w:val="84"/>
          <w:szCs w:val="84"/>
        </w:rPr>
      </w:pPr>
    </w:p>
    <w:p w14:paraId="2B49F2B7">
      <w:pPr>
        <w:pStyle w:val="12"/>
        <w:jc w:val="center"/>
        <w:rPr>
          <w:rFonts w:hint="eastAsia" w:ascii="方正小标宋_GBK" w:hAnsi="方正小标宋_GBK" w:eastAsia="方正小标宋_GBK" w:cs="方正小标宋_GBK"/>
          <w:sz w:val="84"/>
          <w:szCs w:val="84"/>
        </w:rPr>
      </w:pPr>
    </w:p>
    <w:p w14:paraId="44FC17F7">
      <w:pPr>
        <w:pStyle w:val="12"/>
        <w:jc w:val="center"/>
        <w:rPr>
          <w:rFonts w:hint="eastAsia" w:ascii="方正小标宋_GBK" w:hAnsi="方正小标宋_GBK" w:eastAsia="方正小标宋_GBK" w:cs="方正小标宋_GBK"/>
          <w:sz w:val="84"/>
          <w:szCs w:val="84"/>
        </w:rPr>
      </w:pPr>
    </w:p>
    <w:p w14:paraId="33FEA226">
      <w:pPr>
        <w:pStyle w:val="12"/>
        <w:jc w:val="center"/>
        <w:rPr>
          <w:rFonts w:hint="eastAsia" w:ascii="方正小标宋_GBK" w:hAnsi="方正小标宋_GBK" w:eastAsia="方正小标宋_GBK" w:cs="方正小标宋_GBK"/>
          <w:sz w:val="84"/>
          <w:szCs w:val="84"/>
        </w:rPr>
      </w:pPr>
    </w:p>
    <w:p w14:paraId="0AFB8D9F">
      <w:pPr>
        <w:pStyle w:val="12"/>
        <w:jc w:val="center"/>
        <w:rPr>
          <w:rFonts w:hint="eastAsia" w:ascii="方正小标宋_GBK" w:hAnsi="方正小标宋_GBK" w:eastAsia="方正小标宋_GBK" w:cs="方正小标宋_GBK"/>
          <w:sz w:val="84"/>
          <w:szCs w:val="84"/>
        </w:rPr>
      </w:pPr>
    </w:p>
    <w:p w14:paraId="661BBFC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2"/>
        <w:jc w:val="center"/>
        <w:rPr>
          <w:rFonts w:hint="eastAsia" w:ascii="方正小标宋_GBK" w:hAnsi="方正小标宋_GBK" w:eastAsia="方正小标宋_GBK" w:cs="方正小标宋_GBK"/>
          <w:sz w:val="84"/>
          <w:szCs w:val="84"/>
        </w:rPr>
      </w:pPr>
    </w:p>
    <w:p w14:paraId="3860F1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2"/>
        <w:jc w:val="center"/>
        <w:rPr>
          <w:rFonts w:hint="eastAsia" w:ascii="仿宋_GB2312" w:hAnsi="仿宋_GB2312" w:eastAsia="仿宋_GB2312" w:cs="仿宋_GB2312"/>
          <w:b w:val="0"/>
          <w:bCs w:val="0"/>
          <w:sz w:val="72"/>
          <w:szCs w:val="72"/>
          <w:lang w:eastAsia="zh-CN"/>
        </w:rPr>
      </w:pPr>
    </w:p>
    <w:p w14:paraId="0568D1B8">
      <w:pPr>
        <w:pStyle w:val="12"/>
        <w:jc w:val="center"/>
        <w:rPr>
          <w:rFonts w:hint="eastAsia" w:ascii="仿宋_GB2312" w:hAnsi="仿宋_GB2312" w:eastAsia="仿宋_GB2312" w:cs="仿宋_GB2312"/>
          <w:b w:val="0"/>
          <w:bCs w:val="0"/>
          <w:sz w:val="72"/>
          <w:szCs w:val="72"/>
          <w:lang w:eastAsia="zh-CN"/>
        </w:rPr>
      </w:pPr>
    </w:p>
    <w:p w14:paraId="5C65B646">
      <w:pPr>
        <w:pStyle w:val="12"/>
        <w:jc w:val="center"/>
        <w:rPr>
          <w:rFonts w:hint="eastAsia" w:ascii="仿宋_GB2312" w:hAnsi="仿宋_GB2312" w:eastAsia="仿宋_GB2312" w:cs="仿宋_GB2312"/>
          <w:b w:val="0"/>
          <w:bCs w:val="0"/>
          <w:sz w:val="72"/>
          <w:szCs w:val="72"/>
          <w:lang w:eastAsia="zh-CN"/>
        </w:rPr>
      </w:pPr>
    </w:p>
    <w:p w14:paraId="62EA5E89">
      <w:pPr>
        <w:pStyle w:val="12"/>
        <w:jc w:val="center"/>
        <w:rPr>
          <w:rFonts w:hint="eastAsia" w:ascii="仿宋_GB2312" w:hAnsi="仿宋_GB2312" w:eastAsia="仿宋_GB2312" w:cs="仿宋_GB2312"/>
          <w:b w:val="0"/>
          <w:bCs w:val="0"/>
          <w:sz w:val="72"/>
          <w:szCs w:val="72"/>
          <w:lang w:eastAsia="zh-CN"/>
        </w:rPr>
      </w:pPr>
    </w:p>
    <w:p w14:paraId="63BFFD84">
      <w:pPr>
        <w:pStyle w:val="12"/>
        <w:jc w:val="center"/>
        <w:rPr>
          <w:rFonts w:hint="eastAsia" w:ascii="仿宋_GB2312" w:hAnsi="仿宋_GB2312" w:eastAsia="仿宋_GB2312" w:cs="仿宋_GB2312"/>
          <w:b w:val="0"/>
          <w:bCs w:val="0"/>
          <w:sz w:val="72"/>
          <w:szCs w:val="72"/>
          <w:lang w:eastAsia="zh-CN"/>
        </w:rPr>
      </w:pPr>
    </w:p>
    <w:p w14:paraId="4565BABE">
      <w:pPr>
        <w:pStyle w:val="12"/>
        <w:jc w:val="center"/>
        <w:rPr>
          <w:rFonts w:hint="eastAsia" w:ascii="仿宋_GB2312" w:hAnsi="仿宋_GB2312" w:eastAsia="仿宋_GB2312" w:cs="仿宋_GB2312"/>
          <w:b w:val="0"/>
          <w:bCs w:val="0"/>
          <w:sz w:val="72"/>
          <w:szCs w:val="72"/>
          <w:lang w:eastAsia="zh-CN"/>
        </w:rPr>
      </w:pPr>
    </w:p>
    <w:p w14:paraId="6EEAB3EF">
      <w:pPr>
        <w:pStyle w:val="12"/>
        <w:jc w:val="center"/>
        <w:rPr>
          <w:rFonts w:hint="eastAsia" w:ascii="仿宋_GB2312" w:hAnsi="仿宋_GB2312" w:eastAsia="仿宋_GB2312" w:cs="仿宋_GB2312"/>
          <w:b w:val="0"/>
          <w:bCs w:val="0"/>
          <w:sz w:val="72"/>
          <w:szCs w:val="72"/>
          <w:lang w:eastAsia="zh-CN"/>
        </w:rPr>
      </w:pPr>
    </w:p>
    <w:p w14:paraId="603C04A7">
      <w:pPr>
        <w:pStyle w:val="12"/>
        <w:jc w:val="center"/>
        <w:rPr>
          <w:rFonts w:hint="eastAsia" w:ascii="方正小标宋_GBK" w:hAnsi="方正小标宋_GBK" w:eastAsia="方正小标宋_GBK" w:cs="方正小标宋_GBK"/>
          <w:sz w:val="72"/>
          <w:szCs w:val="72"/>
        </w:rPr>
      </w:pPr>
    </w:p>
    <w:p w14:paraId="7A44A82E">
      <w:pPr>
        <w:pStyle w:val="12"/>
        <w:jc w:val="center"/>
        <w:rPr>
          <w:rFonts w:hint="eastAsia" w:ascii="方正小标宋_GBK" w:hAnsi="方正小标宋_GBK" w:eastAsia="方正小标宋_GBK" w:cs="方正小标宋_GBK"/>
          <w:sz w:val="72"/>
          <w:szCs w:val="72"/>
        </w:rPr>
      </w:pPr>
    </w:p>
    <w:p w14:paraId="06211665">
      <w:pPr>
        <w:pStyle w:val="12"/>
        <w:jc w:val="both"/>
        <w:rPr>
          <w:rFonts w:hint="eastAsia" w:ascii="方正小标宋_GBK" w:hAnsi="方正小标宋_GBK" w:eastAsia="方正小标宋_GBK" w:cs="方正小标宋_GBK"/>
          <w:sz w:val="72"/>
          <w:szCs w:val="72"/>
        </w:rPr>
      </w:pPr>
    </w:p>
    <w:p w14:paraId="7804FBA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2"/>
        <w:jc w:val="center"/>
        <w:rPr>
          <w:rFonts w:hint="eastAsia" w:ascii="方正小标宋_GBK" w:hAnsi="方正小标宋_GBK" w:eastAsia="方正小标宋_GBK" w:cs="方正小标宋_GBK"/>
          <w:sz w:val="70"/>
          <w:szCs w:val="70"/>
        </w:rPr>
      </w:pPr>
    </w:p>
    <w:p w14:paraId="4F77A5A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2"/>
        <w:jc w:val="center"/>
        <w:rPr>
          <w:rFonts w:hint="eastAsia" w:ascii="方正小标宋_GBK" w:hAnsi="方正小标宋_GBK" w:eastAsia="方正小标宋_GBK" w:cs="方正小标宋_GBK"/>
          <w:sz w:val="70"/>
          <w:szCs w:val="70"/>
        </w:rPr>
      </w:pPr>
    </w:p>
    <w:p w14:paraId="6EEC30AB">
      <w:pPr>
        <w:pStyle w:val="12"/>
        <w:jc w:val="center"/>
        <w:rPr>
          <w:rFonts w:hint="eastAsia" w:ascii="方正小标宋_GBK" w:hAnsi="方正小标宋_GBK" w:eastAsia="方正小标宋_GBK" w:cs="方正小标宋_GBK"/>
          <w:sz w:val="70"/>
          <w:szCs w:val="70"/>
        </w:rPr>
      </w:pPr>
    </w:p>
    <w:p w14:paraId="417367C1">
      <w:pPr>
        <w:pStyle w:val="12"/>
        <w:jc w:val="center"/>
        <w:rPr>
          <w:rFonts w:hint="eastAsia" w:ascii="方正小标宋_GBK" w:hAnsi="方正小标宋_GBK" w:eastAsia="方正小标宋_GBK" w:cs="方正小标宋_GBK"/>
          <w:sz w:val="70"/>
          <w:szCs w:val="70"/>
        </w:rPr>
      </w:pPr>
    </w:p>
    <w:p w14:paraId="514C0722">
      <w:pPr>
        <w:pStyle w:val="12"/>
        <w:jc w:val="both"/>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1083.5</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42.02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4.03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color w:val="000000" w:themeColor="text1"/>
          <w:sz w:val="32"/>
          <w:szCs w:val="32"/>
          <w:lang w:eastAsia="zh-CN"/>
          <w14:textFill>
            <w14:solidFill>
              <w14:schemeClr w14:val="tx1"/>
            </w14:solidFill>
          </w14:textFill>
        </w:rPr>
        <w:t>补缴上</w:t>
      </w:r>
      <w:r>
        <w:rPr>
          <w:rFonts w:hint="eastAsia" w:ascii="Times New Roman" w:hAnsi="Times New Roman" w:eastAsia="仿宋_GB2312"/>
          <w:color w:val="000000" w:themeColor="text1"/>
          <w:sz w:val="32"/>
          <w:szCs w:val="32"/>
          <w:lang w:eastAsia="zh-CN"/>
          <w14:textFill>
            <w14:solidFill>
              <w14:schemeClr w14:val="tx1"/>
            </w14:solidFill>
          </w14:textFill>
        </w:rPr>
        <w:t>年末未能及时支付的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住房公积金单位部分资金</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07DA9E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1083.47</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1070.48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98.8</w:t>
      </w:r>
      <w:r>
        <w:rPr>
          <w:rFonts w:hint="eastAsia" w:ascii="仿宋_GB2312" w:hAnsi="仿宋_GB2312" w:eastAsia="仿宋_GB2312" w:cs="仿宋_GB2312"/>
          <w:sz w:val="32"/>
          <w:szCs w:val="32"/>
        </w:rPr>
        <w:t>X%；上级补助收入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12.99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w:t>
      </w:r>
    </w:p>
    <w:p w14:paraId="2D1A2B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1078.47</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1014.37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94.06</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64.1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5.94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1070.48</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55.67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5.49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color w:val="000000" w:themeColor="text1"/>
          <w:sz w:val="32"/>
          <w:szCs w:val="32"/>
          <w:lang w:eastAsia="zh-CN"/>
          <w14:textFill>
            <w14:solidFill>
              <w14:schemeClr w14:val="tx1"/>
            </w14:solidFill>
          </w14:textFill>
        </w:rPr>
        <w:t>补缴上</w:t>
      </w:r>
      <w:r>
        <w:rPr>
          <w:rFonts w:hint="eastAsia" w:ascii="Times New Roman" w:hAnsi="Times New Roman" w:eastAsia="仿宋_GB2312"/>
          <w:color w:val="000000" w:themeColor="text1"/>
          <w:sz w:val="32"/>
          <w:szCs w:val="32"/>
          <w:lang w:eastAsia="zh-CN"/>
          <w14:textFill>
            <w14:solidFill>
              <w14:schemeClr w14:val="tx1"/>
            </w14:solidFill>
          </w14:textFill>
        </w:rPr>
        <w:t>年末未能及时支付的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住房公积金单位部分资金</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4BB30A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23D1281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1070.48</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55.67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5.49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color w:val="000000" w:themeColor="text1"/>
          <w:sz w:val="32"/>
          <w:szCs w:val="32"/>
          <w:lang w:eastAsia="zh-CN"/>
          <w14:textFill>
            <w14:solidFill>
              <w14:schemeClr w14:val="tx1"/>
            </w14:solidFill>
          </w14:textFill>
        </w:rPr>
        <w:t>补缴上</w:t>
      </w:r>
      <w:r>
        <w:rPr>
          <w:rFonts w:hint="eastAsia" w:ascii="Times New Roman" w:hAnsi="Times New Roman" w:eastAsia="仿宋_GB2312"/>
          <w:color w:val="000000" w:themeColor="text1"/>
          <w:sz w:val="32"/>
          <w:szCs w:val="32"/>
          <w:lang w:eastAsia="zh-CN"/>
          <w14:textFill>
            <w14:solidFill>
              <w14:schemeClr w14:val="tx1"/>
            </w14:solidFill>
          </w14:textFill>
        </w:rPr>
        <w:t>年末未能及时支付的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住房公积金单位部分资金</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66C54C8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4ED67F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1070.48</w:t>
      </w:r>
      <w:r>
        <w:rPr>
          <w:rFonts w:hint="eastAsia" w:ascii="仿宋_GB2312" w:hAnsi="仿宋_GB2312" w:eastAsia="仿宋_GB2312" w:cs="仿宋_GB2312"/>
          <w:sz w:val="32"/>
          <w:szCs w:val="32"/>
        </w:rPr>
        <w:t>万元，主要用于以下方面：</w:t>
      </w:r>
      <w:r>
        <w:rPr>
          <w:rFonts w:hint="eastAsia" w:ascii="Times New Roman" w:hAnsi="Times New Roman" w:eastAsia="仿宋_GB2312"/>
          <w:sz w:val="32"/>
          <w:szCs w:val="32"/>
        </w:rPr>
        <w:t>文化旅游体育与传媒（类）支出</w:t>
      </w:r>
      <w:r>
        <w:rPr>
          <w:rFonts w:hint="eastAsia" w:ascii="Times New Roman" w:hAnsi="Times New Roman" w:eastAsia="仿宋_GB2312"/>
          <w:sz w:val="32"/>
          <w:szCs w:val="32"/>
          <w:lang w:val="en-US" w:eastAsia="zh-CN"/>
        </w:rPr>
        <w:t>846.82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79.1</w:t>
      </w:r>
      <w:r>
        <w:rPr>
          <w:rFonts w:hint="eastAsia" w:ascii="Times New Roman" w:hAnsi="Times New Roman" w:eastAsia="仿宋_GB2312"/>
          <w:sz w:val="32"/>
          <w:szCs w:val="32"/>
        </w:rPr>
        <w:t>%;社会保障和就业（类）支出</w:t>
      </w:r>
      <w:r>
        <w:rPr>
          <w:rFonts w:hint="eastAsia" w:ascii="Times New Roman" w:hAnsi="Times New Roman" w:eastAsia="仿宋_GB2312"/>
          <w:sz w:val="32"/>
          <w:szCs w:val="32"/>
          <w:lang w:val="en-US" w:eastAsia="zh-CN"/>
        </w:rPr>
        <w:t>121.03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11.31</w:t>
      </w:r>
      <w:r>
        <w:rPr>
          <w:rFonts w:hint="eastAsia" w:ascii="Times New Roman" w:hAnsi="Times New Roman" w:eastAsia="仿宋_GB2312"/>
          <w:sz w:val="32"/>
          <w:szCs w:val="32"/>
        </w:rPr>
        <w:t>%；卫生健康（类）支出4</w:t>
      </w:r>
      <w:r>
        <w:rPr>
          <w:rFonts w:hint="eastAsia" w:ascii="Times New Roman" w:hAnsi="Times New Roman" w:eastAsia="仿宋_GB2312"/>
          <w:sz w:val="32"/>
          <w:szCs w:val="32"/>
          <w:lang w:val="en-US" w:eastAsia="zh-CN"/>
        </w:rPr>
        <w:t>7.17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4.41</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；住房保障</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支出55</w:t>
      </w:r>
      <w:r>
        <w:rPr>
          <w:rFonts w:hint="eastAsia" w:ascii="Times New Roman" w:hAnsi="Times New Roman" w:eastAsia="仿宋_GB2312"/>
          <w:sz w:val="32"/>
          <w:szCs w:val="32"/>
          <w:lang w:val="en-US" w:eastAsia="zh-CN"/>
        </w:rPr>
        <w:t>.47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5.18</w:t>
      </w:r>
      <w:r>
        <w:rPr>
          <w:rFonts w:hint="eastAsia" w:ascii="Times New Roman" w:hAnsi="Times New Roman" w:eastAsia="仿宋_GB2312"/>
          <w:sz w:val="32"/>
          <w:szCs w:val="32"/>
        </w:rPr>
        <w:t>%</w:t>
      </w:r>
      <w:r>
        <w:rPr>
          <w:rFonts w:hint="eastAsia" w:ascii="仿宋_GB2312" w:hAnsi="仿宋_GB2312" w:eastAsia="仿宋_GB2312" w:cs="仿宋_GB2312"/>
          <w:sz w:val="32"/>
          <w:szCs w:val="32"/>
        </w:rPr>
        <w:t>。</w:t>
      </w:r>
    </w:p>
    <w:p w14:paraId="5CDBAD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891.03</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1070.48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120.14</w:t>
      </w:r>
      <w:r>
        <w:rPr>
          <w:rFonts w:hint="eastAsia" w:ascii="仿宋_GB2312" w:hAnsi="仿宋_GB2312" w:eastAsia="仿宋_GB2312" w:cs="仿宋_GB2312"/>
          <w:sz w:val="32"/>
          <w:szCs w:val="32"/>
        </w:rPr>
        <w:t>%，其中：</w:t>
      </w:r>
    </w:p>
    <w:p w14:paraId="5867982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Times New Roman" w:hAnsi="Times New Roman" w:eastAsia="仿宋_GB2312"/>
          <w:color w:val="auto"/>
          <w:sz w:val="32"/>
          <w:szCs w:val="32"/>
        </w:rPr>
        <w:t>文化旅游体育与传媒支出（类）文化和旅游（款）一般行政管理事务（项）。</w:t>
      </w:r>
    </w:p>
    <w:p w14:paraId="62497F9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39</w:t>
      </w:r>
      <w:r>
        <w:rPr>
          <w:rFonts w:hint="eastAsia" w:ascii="仿宋_GB2312" w:hAnsi="仿宋_GB2312" w:eastAsia="仿宋_GB2312" w:cs="仿宋_GB2312"/>
          <w:color w:val="auto"/>
          <w:sz w:val="32"/>
          <w:szCs w:val="32"/>
        </w:rPr>
        <w:t>万元，决算数大于年初预算数的主要原因是：</w:t>
      </w:r>
      <w:r>
        <w:rPr>
          <w:rFonts w:hint="eastAsia" w:ascii="Times New Roman" w:hAnsi="Times New Roman" w:eastAsia="仿宋_GB2312"/>
          <w:color w:val="auto"/>
          <w:sz w:val="32"/>
          <w:szCs w:val="32"/>
        </w:rPr>
        <w:t>年中</w:t>
      </w:r>
      <w:r>
        <w:rPr>
          <w:rFonts w:hint="eastAsia" w:ascii="Times New Roman" w:hAnsi="Times New Roman" w:eastAsia="仿宋_GB2312"/>
          <w:color w:val="auto"/>
          <w:sz w:val="32"/>
          <w:szCs w:val="32"/>
          <w:lang w:eastAsia="zh-CN"/>
        </w:rPr>
        <w:t>下拨二级预算</w:t>
      </w:r>
      <w:r>
        <w:rPr>
          <w:rFonts w:hint="eastAsia" w:ascii="Times New Roman" w:hAnsi="Times New Roman" w:eastAsia="仿宋_GB2312"/>
          <w:color w:val="auto"/>
          <w:sz w:val="32"/>
          <w:szCs w:val="32"/>
        </w:rPr>
        <w:t>项目经费</w:t>
      </w:r>
      <w:r>
        <w:rPr>
          <w:rFonts w:hint="eastAsia" w:ascii="Times New Roman" w:hAnsi="Times New Roman" w:eastAsia="仿宋_GB2312"/>
          <w:color w:val="auto"/>
          <w:sz w:val="32"/>
          <w:szCs w:val="32"/>
          <w:lang w:eastAsia="zh-CN"/>
        </w:rPr>
        <w:t>。</w:t>
      </w:r>
    </w:p>
    <w:p w14:paraId="08CAABD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Times New Roman" w:hAnsi="Times New Roman" w:eastAsia="仿宋_GB2312"/>
          <w:color w:val="auto"/>
          <w:sz w:val="32"/>
          <w:szCs w:val="32"/>
        </w:rPr>
        <w:t>文化旅游体育与传媒支出（类）文化和旅游（款）</w:t>
      </w:r>
      <w:r>
        <w:rPr>
          <w:rFonts w:hint="eastAsia" w:ascii="Times New Roman" w:hAnsi="Times New Roman" w:eastAsia="仿宋_GB2312"/>
          <w:color w:val="auto"/>
          <w:sz w:val="32"/>
          <w:szCs w:val="32"/>
          <w:lang w:eastAsia="zh-CN"/>
        </w:rPr>
        <w:t>艺术表演场所</w:t>
      </w:r>
      <w:r>
        <w:rPr>
          <w:rFonts w:hint="eastAsia" w:ascii="仿宋_GB2312" w:hAnsi="仿宋_GB2312" w:eastAsia="仿宋_GB2312" w:cs="仿宋_GB2312"/>
          <w:color w:val="auto"/>
          <w:sz w:val="32"/>
          <w:szCs w:val="32"/>
        </w:rPr>
        <w:t>（项）。</w:t>
      </w:r>
    </w:p>
    <w:p w14:paraId="012296B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0.14</w:t>
      </w:r>
      <w:r>
        <w:rPr>
          <w:rFonts w:hint="eastAsia" w:ascii="仿宋_GB2312" w:hAnsi="仿宋_GB2312" w:eastAsia="仿宋_GB2312" w:cs="仿宋_GB2312"/>
          <w:color w:val="auto"/>
          <w:sz w:val="32"/>
          <w:szCs w:val="32"/>
        </w:rPr>
        <w:t>万元，决算数大于年初预算数的主要原因是：</w:t>
      </w:r>
      <w:r>
        <w:rPr>
          <w:rFonts w:hint="eastAsia" w:ascii="Times New Roman" w:hAnsi="Times New Roman" w:eastAsia="仿宋_GB2312"/>
          <w:color w:val="auto"/>
          <w:sz w:val="32"/>
          <w:szCs w:val="32"/>
        </w:rPr>
        <w:t>年中</w:t>
      </w:r>
      <w:r>
        <w:rPr>
          <w:rFonts w:hint="eastAsia" w:ascii="Times New Roman" w:hAnsi="Times New Roman" w:eastAsia="仿宋_GB2312"/>
          <w:color w:val="auto"/>
          <w:sz w:val="32"/>
          <w:szCs w:val="32"/>
          <w:lang w:eastAsia="zh-CN"/>
        </w:rPr>
        <w:t>下拨二级预算</w:t>
      </w:r>
      <w:r>
        <w:rPr>
          <w:rFonts w:hint="eastAsia" w:ascii="Times New Roman" w:hAnsi="Times New Roman" w:eastAsia="仿宋_GB2312"/>
          <w:color w:val="auto"/>
          <w:sz w:val="32"/>
          <w:szCs w:val="32"/>
        </w:rPr>
        <w:t>项目经费</w:t>
      </w:r>
      <w:r>
        <w:rPr>
          <w:rFonts w:hint="eastAsia" w:ascii="Times New Roman" w:hAnsi="Times New Roman" w:eastAsia="仿宋_GB2312"/>
          <w:color w:val="auto"/>
          <w:sz w:val="32"/>
          <w:szCs w:val="32"/>
          <w:lang w:eastAsia="zh-CN"/>
        </w:rPr>
        <w:t>。</w:t>
      </w:r>
    </w:p>
    <w:p w14:paraId="7788B71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文化旅游体育与传媒支出（类）文化和旅游（款）其他文化和旅游支出（项）。</w:t>
      </w:r>
    </w:p>
    <w:p w14:paraId="5DD32D3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99.08</w:t>
      </w:r>
      <w:r>
        <w:rPr>
          <w:rFonts w:hint="eastAsia" w:ascii="仿宋_GB2312" w:hAnsi="仿宋_GB2312" w:eastAsia="仿宋_GB2312" w:cs="仿宋_GB2312"/>
          <w:color w:val="auto"/>
          <w:sz w:val="32"/>
          <w:szCs w:val="32"/>
        </w:rPr>
        <w:t>万元，决算数大于年初预算数的主要原因是：</w:t>
      </w:r>
      <w:r>
        <w:rPr>
          <w:rFonts w:hint="eastAsia" w:ascii="Times New Roman" w:hAnsi="Times New Roman" w:eastAsia="仿宋_GB2312"/>
          <w:color w:val="auto"/>
          <w:sz w:val="32"/>
          <w:szCs w:val="32"/>
        </w:rPr>
        <w:t>年中</w:t>
      </w:r>
      <w:r>
        <w:rPr>
          <w:rFonts w:hint="eastAsia" w:ascii="Times New Roman" w:hAnsi="Times New Roman" w:eastAsia="仿宋_GB2312"/>
          <w:color w:val="auto"/>
          <w:sz w:val="32"/>
          <w:szCs w:val="32"/>
          <w:lang w:eastAsia="zh-CN"/>
        </w:rPr>
        <w:t>下拨二级预算</w:t>
      </w:r>
      <w:r>
        <w:rPr>
          <w:rFonts w:hint="eastAsia" w:ascii="Times New Roman" w:hAnsi="Times New Roman" w:eastAsia="仿宋_GB2312"/>
          <w:color w:val="auto"/>
          <w:sz w:val="32"/>
          <w:szCs w:val="32"/>
        </w:rPr>
        <w:t>项目经费</w:t>
      </w:r>
      <w:r>
        <w:rPr>
          <w:rFonts w:hint="eastAsia" w:ascii="Times New Roman" w:hAnsi="Times New Roman" w:eastAsia="仿宋_GB2312"/>
          <w:color w:val="auto"/>
          <w:sz w:val="32"/>
          <w:szCs w:val="32"/>
          <w:lang w:eastAsia="zh-CN"/>
        </w:rPr>
        <w:t>。</w:t>
      </w:r>
    </w:p>
    <w:p w14:paraId="28A7BD1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rPr>
      </w:pPr>
      <w:r>
        <w:rPr>
          <w:rFonts w:hint="eastAsia" w:ascii="Times New Roman" w:hAnsi="Times New Roman" w:eastAsia="仿宋_GB2312"/>
          <w:color w:val="auto"/>
          <w:sz w:val="32"/>
          <w:szCs w:val="32"/>
        </w:rPr>
        <w:t>4</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文化旅游体育与传媒支出（类）新闻出版电影（款）行政运行（项）。</w:t>
      </w:r>
    </w:p>
    <w:p w14:paraId="2F41D6B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660.41</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677.12</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102.53</w:t>
      </w:r>
      <w:r>
        <w:rPr>
          <w:rFonts w:hint="eastAsia" w:ascii="Times New Roman" w:hAnsi="Times New Roman" w:eastAsia="仿宋_GB2312"/>
          <w:color w:val="auto"/>
          <w:sz w:val="32"/>
          <w:szCs w:val="32"/>
        </w:rPr>
        <w:t>%，决算数大于年初预算数的主要原因是：</w:t>
      </w:r>
      <w:r>
        <w:rPr>
          <w:rFonts w:hint="eastAsia" w:ascii="Times New Roman" w:hAnsi="Times New Roman" w:eastAsia="仿宋_GB2312"/>
          <w:color w:val="auto"/>
          <w:sz w:val="32"/>
          <w:szCs w:val="32"/>
          <w:lang w:eastAsia="zh-CN"/>
        </w:rPr>
        <w:t>对人员工资进行了普调及补差。</w:t>
      </w:r>
    </w:p>
    <w:p w14:paraId="386A144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文化旅游体育与传媒支出（类）新闻出版电影（款）一般行政管理事务（项）。</w:t>
      </w:r>
    </w:p>
    <w:p w14:paraId="0617085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8.77</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175.4</w:t>
      </w:r>
      <w:r>
        <w:rPr>
          <w:rFonts w:hint="eastAsia" w:ascii="仿宋_GB2312" w:hAnsi="仿宋_GB2312" w:eastAsia="仿宋_GB2312" w:cs="仿宋_GB2312"/>
          <w:color w:val="auto"/>
          <w:sz w:val="32"/>
          <w:szCs w:val="32"/>
        </w:rPr>
        <w:t>%，决算数</w:t>
      </w:r>
      <w:r>
        <w:rPr>
          <w:rFonts w:hint="eastAsia" w:ascii="仿宋_GB2312" w:hAnsi="仿宋_GB2312" w:eastAsia="仿宋_GB2312" w:cs="仿宋_GB2312"/>
          <w:color w:val="auto"/>
          <w:sz w:val="32"/>
          <w:szCs w:val="32"/>
          <w:lang w:eastAsia="zh-CN"/>
        </w:rPr>
        <w:t>大</w:t>
      </w:r>
      <w:r>
        <w:rPr>
          <w:rFonts w:hint="eastAsia" w:ascii="仿宋_GB2312" w:hAnsi="仿宋_GB2312" w:eastAsia="仿宋_GB2312" w:cs="仿宋_GB2312"/>
          <w:color w:val="auto"/>
          <w:sz w:val="32"/>
          <w:szCs w:val="32"/>
        </w:rPr>
        <w:t>于年初预算数的主要原因是：</w:t>
      </w:r>
      <w:r>
        <w:rPr>
          <w:rFonts w:hint="eastAsia" w:ascii="仿宋_GB2312" w:hAnsi="仿宋_GB2312" w:eastAsia="仿宋_GB2312" w:cs="仿宋_GB2312"/>
          <w:color w:val="auto"/>
          <w:sz w:val="32"/>
          <w:szCs w:val="32"/>
          <w:lang w:val="en-US" w:eastAsia="zh-CN"/>
        </w:rPr>
        <w:t>办案费上年有结余</w:t>
      </w:r>
      <w:r>
        <w:rPr>
          <w:rFonts w:hint="eastAsia" w:ascii="Times New Roman" w:hAnsi="Times New Roman" w:eastAsia="仿宋_GB2312"/>
          <w:color w:val="auto"/>
          <w:sz w:val="32"/>
          <w:szCs w:val="32"/>
          <w:lang w:eastAsia="zh-CN"/>
        </w:rPr>
        <w:t>。</w:t>
      </w:r>
    </w:p>
    <w:p w14:paraId="0342C4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文化旅游体育与传媒支出（类</w:t>
      </w:r>
      <w:bookmarkStart w:id="0" w:name="_GoBack"/>
      <w:bookmarkEnd w:id="0"/>
      <w:r>
        <w:rPr>
          <w:rFonts w:hint="eastAsia" w:ascii="Times New Roman" w:hAnsi="Times New Roman" w:eastAsia="仿宋_GB2312"/>
          <w:color w:val="auto"/>
          <w:sz w:val="32"/>
          <w:szCs w:val="32"/>
        </w:rPr>
        <w:t>）新闻出版电影（款）</w:t>
      </w:r>
      <w:r>
        <w:rPr>
          <w:rFonts w:hint="eastAsia" w:ascii="Times New Roman" w:hAnsi="Times New Roman" w:eastAsia="仿宋_GB2312"/>
          <w:color w:val="auto"/>
          <w:sz w:val="32"/>
          <w:szCs w:val="32"/>
          <w:lang w:eastAsia="zh-CN"/>
        </w:rPr>
        <w:t>出版发行</w:t>
      </w:r>
      <w:r>
        <w:rPr>
          <w:rFonts w:hint="eastAsia" w:ascii="Times New Roman" w:hAnsi="Times New Roman" w:eastAsia="仿宋_GB2312"/>
          <w:color w:val="auto"/>
          <w:sz w:val="32"/>
          <w:szCs w:val="32"/>
        </w:rPr>
        <w:t>（项）。</w:t>
      </w:r>
    </w:p>
    <w:p w14:paraId="0191D2C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17.71</w:t>
      </w:r>
      <w:r>
        <w:rPr>
          <w:rFonts w:hint="eastAsia" w:ascii="仿宋_GB2312" w:hAnsi="仿宋_GB2312" w:eastAsia="仿宋_GB2312" w:cs="仿宋_GB2312"/>
          <w:color w:val="auto"/>
          <w:sz w:val="32"/>
          <w:szCs w:val="32"/>
        </w:rPr>
        <w:t>万元，决算数大于年初预算数的主要原因是：</w:t>
      </w:r>
      <w:r>
        <w:rPr>
          <w:rFonts w:hint="eastAsia" w:ascii="Times New Roman" w:hAnsi="Times New Roman" w:eastAsia="仿宋_GB2312"/>
          <w:color w:val="auto"/>
          <w:sz w:val="32"/>
          <w:szCs w:val="32"/>
        </w:rPr>
        <w:t>年中</w:t>
      </w:r>
      <w:r>
        <w:rPr>
          <w:rFonts w:hint="eastAsia" w:ascii="Times New Roman" w:hAnsi="Times New Roman" w:eastAsia="仿宋_GB2312"/>
          <w:color w:val="auto"/>
          <w:sz w:val="32"/>
          <w:szCs w:val="32"/>
          <w:lang w:eastAsia="zh-CN"/>
        </w:rPr>
        <w:t>下拨二级预算</w:t>
      </w:r>
      <w:r>
        <w:rPr>
          <w:rFonts w:hint="eastAsia" w:ascii="Times New Roman" w:hAnsi="Times New Roman" w:eastAsia="仿宋_GB2312"/>
          <w:color w:val="auto"/>
          <w:sz w:val="32"/>
          <w:szCs w:val="32"/>
        </w:rPr>
        <w:t>项目经费</w:t>
      </w:r>
      <w:r>
        <w:rPr>
          <w:rFonts w:hint="eastAsia" w:ascii="Times New Roman" w:hAnsi="Times New Roman" w:eastAsia="仿宋_GB2312"/>
          <w:color w:val="auto"/>
          <w:sz w:val="32"/>
          <w:szCs w:val="32"/>
          <w:lang w:eastAsia="zh-CN"/>
        </w:rPr>
        <w:t>。</w:t>
      </w:r>
    </w:p>
    <w:p w14:paraId="3DB4C00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7、文化旅游体育与传媒支出（类）其他文化旅游体育与传媒支出（款）其他文化旅游体育与传媒支出（项）。</w:t>
      </w:r>
    </w:p>
    <w:p w14:paraId="1B3D184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万元，决算数大于年初预算数的主要原因是：</w:t>
      </w:r>
      <w:r>
        <w:rPr>
          <w:rFonts w:hint="eastAsia" w:ascii="Times New Roman" w:hAnsi="Times New Roman" w:eastAsia="仿宋_GB2312"/>
          <w:color w:val="auto"/>
          <w:sz w:val="32"/>
          <w:szCs w:val="32"/>
        </w:rPr>
        <w:t>年中</w:t>
      </w:r>
      <w:r>
        <w:rPr>
          <w:rFonts w:hint="eastAsia" w:ascii="Times New Roman" w:hAnsi="Times New Roman" w:eastAsia="仿宋_GB2312"/>
          <w:color w:val="auto"/>
          <w:sz w:val="32"/>
          <w:szCs w:val="32"/>
          <w:lang w:eastAsia="zh-CN"/>
        </w:rPr>
        <w:t>下拨二级预算</w:t>
      </w:r>
      <w:r>
        <w:rPr>
          <w:rFonts w:hint="eastAsia" w:ascii="Times New Roman" w:hAnsi="Times New Roman" w:eastAsia="仿宋_GB2312"/>
          <w:color w:val="auto"/>
          <w:sz w:val="32"/>
          <w:szCs w:val="32"/>
        </w:rPr>
        <w:t>项目经费</w:t>
      </w:r>
      <w:r>
        <w:rPr>
          <w:rFonts w:hint="eastAsia" w:ascii="Times New Roman" w:hAnsi="Times New Roman" w:eastAsia="仿宋_GB2312"/>
          <w:color w:val="auto"/>
          <w:sz w:val="32"/>
          <w:szCs w:val="32"/>
          <w:lang w:eastAsia="zh-CN"/>
        </w:rPr>
        <w:t>。</w:t>
      </w:r>
    </w:p>
    <w:p w14:paraId="182B55F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w:t>
      </w:r>
      <w:r>
        <w:rPr>
          <w:rFonts w:hint="eastAsia" w:ascii="Times New Roman" w:hAnsi="Times New Roman" w:eastAsia="仿宋_GB2312"/>
          <w:color w:val="auto"/>
          <w:sz w:val="32"/>
          <w:szCs w:val="32"/>
          <w:lang w:val="en-US" w:eastAsia="zh-CN"/>
        </w:rPr>
        <w:t>社会保障和就业支出（类）行政事业单位养老支出（款）行政单位离退休</w:t>
      </w:r>
      <w:r>
        <w:rPr>
          <w:rFonts w:hint="eastAsia" w:ascii="仿宋_GB2312" w:hAnsi="仿宋_GB2312" w:eastAsia="仿宋_GB2312" w:cs="仿宋_GB2312"/>
          <w:color w:val="auto"/>
          <w:sz w:val="32"/>
          <w:szCs w:val="32"/>
          <w:lang w:val="en-US" w:eastAsia="zh-CN"/>
        </w:rPr>
        <w:t>（项）。</w:t>
      </w:r>
    </w:p>
    <w:p w14:paraId="08B85E8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27.6</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36.62</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132.68</w:t>
      </w:r>
      <w:r>
        <w:rPr>
          <w:rFonts w:hint="eastAsia" w:ascii="仿宋_GB2312" w:hAnsi="仿宋_GB2312" w:eastAsia="仿宋_GB2312" w:cs="仿宋_GB2312"/>
          <w:color w:val="auto"/>
          <w:sz w:val="32"/>
          <w:szCs w:val="32"/>
        </w:rPr>
        <w:t>%，决算数大于年初预算数的主要原因是：</w:t>
      </w:r>
      <w:r>
        <w:rPr>
          <w:rFonts w:hint="eastAsia" w:ascii="仿宋_GB2312" w:hAnsi="仿宋_GB2312" w:eastAsia="仿宋_GB2312" w:cs="仿宋_GB2312"/>
          <w:color w:val="auto"/>
          <w:sz w:val="32"/>
          <w:szCs w:val="32"/>
          <w:lang w:eastAsia="zh-CN"/>
        </w:rPr>
        <w:t>年初预算按市平均基数计算，实际社保缴费基数大于平均基数。</w:t>
      </w:r>
    </w:p>
    <w:p w14:paraId="7888D4F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9、社会保障和就业支出（类）行政事业单位养老支出（款） 机关事业单位基本养老保险缴费支出（项）。</w:t>
      </w:r>
    </w:p>
    <w:p w14:paraId="01E3EEE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76.98</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76.98</w:t>
      </w:r>
      <w:r>
        <w:rPr>
          <w:rFonts w:hint="eastAsia" w:ascii="仿宋_GB2312" w:hAnsi="仿宋_GB2312" w:eastAsia="仿宋_GB2312" w:cs="仿宋_GB2312"/>
          <w:color w:val="auto"/>
          <w:sz w:val="32"/>
          <w:szCs w:val="32"/>
        </w:rPr>
        <w:t>万元，</w:t>
      </w:r>
      <w:r>
        <w:rPr>
          <w:rFonts w:hint="eastAsia" w:ascii="Times New Roman" w:hAnsi="Times New Roman" w:eastAsia="仿宋_GB2312"/>
          <w:color w:val="auto"/>
          <w:sz w:val="32"/>
          <w:szCs w:val="32"/>
        </w:rPr>
        <w:t>决算数等于预算数，主要原因是我单位严格按预算执行决算</w:t>
      </w:r>
      <w:r>
        <w:rPr>
          <w:rFonts w:hint="eastAsia" w:ascii="仿宋_GB2312" w:hAnsi="仿宋_GB2312" w:eastAsia="仿宋_GB2312" w:cs="仿宋_GB2312"/>
          <w:color w:val="auto"/>
          <w:sz w:val="32"/>
          <w:szCs w:val="32"/>
          <w:lang w:val="en-US" w:eastAsia="zh-CN"/>
        </w:rPr>
        <w:t>。</w:t>
      </w:r>
    </w:p>
    <w:p w14:paraId="4E9546C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10、社会保障和就业支出（类）抚恤（款）其他优抚支出（项）。</w:t>
      </w:r>
    </w:p>
    <w:p w14:paraId="7EDB4DE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万元，决算数大于年初预算数的主要原因是：</w:t>
      </w:r>
      <w:r>
        <w:rPr>
          <w:rFonts w:hint="eastAsia" w:ascii="仿宋_GB2312" w:hAnsi="仿宋_GB2312" w:eastAsia="仿宋_GB2312" w:cs="仿宋_GB2312"/>
          <w:color w:val="auto"/>
          <w:sz w:val="32"/>
          <w:szCs w:val="32"/>
          <w:lang w:eastAsia="zh-CN"/>
        </w:rPr>
        <w:t>支付遗属困难补助。</w:t>
      </w:r>
    </w:p>
    <w:p w14:paraId="641E135D">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社会保障和就业支出（类）残疾人事业（款）他残疾人事业支出（项）。</w:t>
      </w:r>
    </w:p>
    <w:p w14:paraId="603663D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万元，决算数大于年初预算数的主要原因是：</w:t>
      </w:r>
      <w:r>
        <w:rPr>
          <w:rFonts w:hint="eastAsia" w:ascii="Times New Roman" w:hAnsi="Times New Roman" w:eastAsia="仿宋_GB2312"/>
          <w:color w:val="auto"/>
          <w:sz w:val="32"/>
          <w:szCs w:val="32"/>
        </w:rPr>
        <w:t>年中</w:t>
      </w:r>
      <w:r>
        <w:rPr>
          <w:rFonts w:hint="eastAsia" w:ascii="Times New Roman" w:hAnsi="Times New Roman" w:eastAsia="仿宋_GB2312"/>
          <w:color w:val="auto"/>
          <w:sz w:val="32"/>
          <w:szCs w:val="32"/>
          <w:lang w:eastAsia="zh-CN"/>
        </w:rPr>
        <w:t>下拨二级预算</w:t>
      </w:r>
      <w:r>
        <w:rPr>
          <w:rFonts w:hint="eastAsia" w:ascii="Times New Roman" w:hAnsi="Times New Roman" w:eastAsia="仿宋_GB2312"/>
          <w:color w:val="auto"/>
          <w:sz w:val="32"/>
          <w:szCs w:val="32"/>
        </w:rPr>
        <w:t>项目经费</w:t>
      </w:r>
      <w:r>
        <w:rPr>
          <w:rFonts w:hint="eastAsia" w:ascii="Times New Roman" w:hAnsi="Times New Roman" w:eastAsia="仿宋_GB2312"/>
          <w:color w:val="auto"/>
          <w:sz w:val="32"/>
          <w:szCs w:val="32"/>
          <w:lang w:eastAsia="zh-CN"/>
        </w:rPr>
        <w:t>。</w:t>
      </w:r>
    </w:p>
    <w:p w14:paraId="75EC046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12、卫生健康支出（类）行政事业单位医疗（款） 行政单位医疗（项）。</w:t>
      </w:r>
    </w:p>
    <w:p w14:paraId="45A56EC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年初预算为29.7万元，支出决算为29.7万元，</w:t>
      </w:r>
      <w:r>
        <w:rPr>
          <w:rFonts w:hint="eastAsia" w:ascii="Times New Roman" w:hAnsi="Times New Roman" w:eastAsia="仿宋_GB2312"/>
          <w:color w:val="auto"/>
          <w:sz w:val="32"/>
          <w:szCs w:val="32"/>
        </w:rPr>
        <w:t>决算数等于预算数，主要原因是我单位严格按预算执行决算</w:t>
      </w:r>
      <w:r>
        <w:rPr>
          <w:rFonts w:hint="eastAsia" w:ascii="仿宋_GB2312" w:hAnsi="仿宋_GB2312" w:eastAsia="仿宋_GB2312" w:cs="仿宋_GB2312"/>
          <w:color w:val="auto"/>
          <w:sz w:val="32"/>
          <w:szCs w:val="32"/>
          <w:lang w:val="en-US" w:eastAsia="zh-CN"/>
        </w:rPr>
        <w:t>。</w:t>
      </w:r>
    </w:p>
    <w:p w14:paraId="40948C3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12、卫生健康支出（类）行政事业单位医疗（款）公务员医疗补助（项）。</w:t>
      </w:r>
    </w:p>
    <w:p w14:paraId="2E38EEB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30.14</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17.47</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57.96</w:t>
      </w:r>
      <w:r>
        <w:rPr>
          <w:rFonts w:hint="eastAsia" w:ascii="仿宋_GB2312" w:hAnsi="仿宋_GB2312" w:eastAsia="仿宋_GB2312" w:cs="仿宋_GB2312"/>
          <w:color w:val="auto"/>
          <w:sz w:val="32"/>
          <w:szCs w:val="32"/>
        </w:rPr>
        <w:t>%，决算数小于年初预算数的主要原因是：</w:t>
      </w:r>
      <w:r>
        <w:rPr>
          <w:rFonts w:hint="eastAsia" w:ascii="仿宋_GB2312" w:hAnsi="仿宋_GB2312" w:eastAsia="仿宋_GB2312" w:cs="仿宋_GB2312"/>
          <w:color w:val="auto"/>
          <w:sz w:val="32"/>
          <w:szCs w:val="32"/>
          <w:lang w:eastAsia="zh-CN"/>
        </w:rPr>
        <w:t>财政直接缴纳费用。</w:t>
      </w:r>
    </w:p>
    <w:p w14:paraId="2921CF3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13、住房保障支出（类）住房改革支出（款） 住房公积金（项）。</w:t>
      </w:r>
    </w:p>
    <w:p w14:paraId="0878EF7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55.47</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55.47</w:t>
      </w:r>
      <w:r>
        <w:rPr>
          <w:rFonts w:hint="eastAsia" w:ascii="仿宋_GB2312" w:hAnsi="仿宋_GB2312" w:eastAsia="仿宋_GB2312" w:cs="仿宋_GB2312"/>
          <w:color w:val="auto"/>
          <w:sz w:val="32"/>
          <w:szCs w:val="32"/>
        </w:rPr>
        <w:t>万元，</w:t>
      </w:r>
      <w:r>
        <w:rPr>
          <w:rFonts w:hint="eastAsia" w:ascii="Times New Roman" w:hAnsi="Times New Roman" w:eastAsia="仿宋_GB2312"/>
          <w:color w:val="auto"/>
          <w:sz w:val="32"/>
          <w:szCs w:val="32"/>
        </w:rPr>
        <w:t>决算数等于预算数，主要原因是我单位严格按预算执行决算</w:t>
      </w:r>
      <w:r>
        <w:rPr>
          <w:rFonts w:hint="eastAsia" w:ascii="仿宋_GB2312" w:hAnsi="仿宋_GB2312" w:eastAsia="仿宋_GB2312" w:cs="仿宋_GB2312"/>
          <w:color w:val="auto"/>
          <w:sz w:val="32"/>
          <w:szCs w:val="32"/>
          <w:lang w:eastAsia="zh-CN"/>
        </w:rPr>
        <w:t>。</w:t>
      </w:r>
    </w:p>
    <w:p w14:paraId="373E8BA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1006.38</w:t>
      </w:r>
      <w:r>
        <w:rPr>
          <w:rFonts w:hint="eastAsia" w:ascii="仿宋_GB2312" w:hAnsi="仿宋_GB2312" w:eastAsia="仿宋_GB2312" w:cs="仿宋_GB2312"/>
          <w:sz w:val="32"/>
          <w:szCs w:val="32"/>
        </w:rPr>
        <w:t>万元，其中：</w:t>
      </w:r>
    </w:p>
    <w:p w14:paraId="0C32EF5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871.98</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86.64</w:t>
      </w:r>
      <w:r>
        <w:rPr>
          <w:rFonts w:hint="eastAsia" w:ascii="仿宋_GB2312" w:hAnsi="仿宋_GB2312" w:eastAsia="仿宋_GB2312" w:cs="仿宋_GB2312"/>
          <w:sz w:val="32"/>
          <w:szCs w:val="32"/>
        </w:rPr>
        <w:t>%,主要包括</w:t>
      </w:r>
      <w:r>
        <w:rPr>
          <w:rFonts w:hint="eastAsia" w:ascii="Times New Roman" w:hAnsi="Times New Roman" w:eastAsia="仿宋_GB2312"/>
          <w:sz w:val="32"/>
          <w:szCs w:val="32"/>
          <w:highlight w:val="none"/>
        </w:rPr>
        <w:t>基本工资、津贴补贴、奖金、伙食补助费</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r>
        <w:rPr>
          <w:rFonts w:hint="eastAsia" w:ascii="Times New Roman" w:hAnsi="Times New Roman" w:eastAsia="仿宋_GB2312"/>
          <w:sz w:val="32"/>
          <w:szCs w:val="32"/>
          <w:highlight w:val="none"/>
          <w:lang w:eastAsia="zh-CN"/>
        </w:rPr>
        <w:t>。</w:t>
      </w:r>
    </w:p>
    <w:p w14:paraId="27DDF6F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134.41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13.36</w:t>
      </w:r>
      <w:r>
        <w:rPr>
          <w:rFonts w:hint="eastAsia" w:ascii="仿宋_GB2312" w:hAnsi="仿宋_GB2312" w:eastAsia="仿宋_GB2312" w:cs="仿宋_GB2312"/>
          <w:sz w:val="32"/>
          <w:szCs w:val="32"/>
        </w:rPr>
        <w:t>%，主要包括</w:t>
      </w:r>
      <w:r>
        <w:rPr>
          <w:rFonts w:hint="eastAsia" w:ascii="Times New Roman" w:hAnsi="Times New Roman" w:eastAsia="仿宋_GB2312"/>
          <w:sz w:val="32"/>
          <w:szCs w:val="32"/>
        </w:rPr>
        <w:t>办公费、印刷费、咨询费、手续费、水费、电费、邮电费、物业管理费、差旅费、维修（护）费、租赁费、会议费、培训费、公务接待费、劳务费、委托业务费、工会经费、福利费、公务用车运行维护费、其他交通费用、其他商品和服务支出、办公设备购置、专用设备购置、信息网络及软件购置更新、公务用车购置、其他交通工具购置、文物和陈列品购置、无形资产购置、其他资本性支出、赠与</w:t>
      </w:r>
      <w:r>
        <w:rPr>
          <w:rFonts w:hint="eastAsia" w:ascii="Times New Roman" w:hAnsi="Times New Roman" w:eastAsia="仿宋_GB2312"/>
          <w:sz w:val="32"/>
          <w:szCs w:val="32"/>
          <w:highlight w:val="none"/>
        </w:rPr>
        <w:t>。</w:t>
      </w:r>
    </w:p>
    <w:p w14:paraId="238B27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b/>
          <w:bCs/>
          <w:i w:val="0"/>
          <w:iCs/>
          <w:color w:val="FF0000"/>
          <w:kern w:val="0"/>
          <w:sz w:val="36"/>
          <w:szCs w:val="36"/>
          <w:lang w:val="en-US" w:eastAsia="zh-CN" w:bidi="ar-SA"/>
        </w:rPr>
        <w:t xml:space="preserve"> </w:t>
      </w:r>
      <w:r>
        <w:rPr>
          <w:rFonts w:hint="eastAsia" w:ascii="Times New Roman" w:hAnsi="Times New Roman" w:eastAsia="仿宋_GB2312" w:cs="黑体"/>
          <w:color w:val="000000"/>
          <w:kern w:val="0"/>
          <w:sz w:val="32"/>
          <w:szCs w:val="32"/>
          <w:lang w:val="en-US" w:eastAsia="zh-CN" w:bidi="ar-SA"/>
        </w:rPr>
        <w:t>2024年度政府性基金预算财政拨款收入0万元；年初结转和结余0万元；支出0万元，其中基本支出0万元，项目支出0万元；年末结转和结余0万元。</w:t>
      </w:r>
    </w:p>
    <w:p w14:paraId="6A0DB30E">
      <w:pPr>
        <w:keepNext w:val="0"/>
        <w:keepLines w:val="0"/>
        <w:pageBreakBefore w:val="0"/>
        <w:widowControl w:val="0"/>
        <w:numPr>
          <w:ilvl w:val="0"/>
          <w:numId w:val="3"/>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b/>
          <w:bCs/>
          <w:i w:val="0"/>
          <w:iCs/>
          <w:color w:val="FF0000"/>
          <w:kern w:val="0"/>
          <w:sz w:val="36"/>
          <w:szCs w:val="36"/>
          <w:lang w:val="en-US" w:eastAsia="zh-CN" w:bidi="ar-SA"/>
        </w:rPr>
        <w:t xml:space="preserve"> </w:t>
      </w:r>
      <w:r>
        <w:rPr>
          <w:rFonts w:hint="eastAsia" w:ascii="Times New Roman" w:hAnsi="Times New Roman" w:eastAsia="仿宋_GB2312" w:cs="黑体"/>
          <w:color w:val="000000"/>
          <w:kern w:val="0"/>
          <w:sz w:val="32"/>
          <w:szCs w:val="32"/>
          <w:lang w:val="en-US" w:eastAsia="zh-CN" w:bidi="ar-SA"/>
        </w:rPr>
        <w:t>2024年度国有资本经营预算财政拨款收入0万元；年初结转和结余0万；支出0万元，其中：基本支出0万元，项目支出0万元；年末结转和结余0万元。</w:t>
      </w:r>
    </w:p>
    <w:p w14:paraId="5876C2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2"/>
        <w:overflowPunct w:val="0"/>
        <w:autoSpaceDE/>
        <w:autoSpaceDN/>
        <w:spacing w:line="600" w:lineRule="exact"/>
        <w:ind w:firstLine="640" w:firstLineChars="200"/>
        <w:jc w:val="both"/>
        <w:rPr>
          <w:rFonts w:ascii="Times New Roman" w:hAnsi="Times New Roman" w:eastAsia="仿宋_GB2312" w:cs="Times New Roman"/>
          <w:color w:val="000000" w:themeColor="text1"/>
          <w:sz w:val="32"/>
          <w:szCs w:val="32"/>
          <w:highlight w:val="yellow"/>
          <w14:textFill>
            <w14:solidFill>
              <w14:schemeClr w14:val="tx1"/>
            </w14:solidFill>
          </w14:textFill>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13.04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6.68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51.23</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1.03</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18.23</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有关政策厉行节约，严控“三公经费”支出</w:t>
      </w:r>
      <w:r>
        <w:rPr>
          <w:rFonts w:ascii="Times New Roman" w:hAnsi="Times New Roman" w:eastAsia="仿宋_GB2312" w:cs="Times New Roman"/>
          <w:color w:val="000000" w:themeColor="text1"/>
          <w:sz w:val="32"/>
          <w:szCs w:val="32"/>
          <w14:textFill>
            <w14:solidFill>
              <w14:schemeClr w14:val="tx1"/>
            </w14:solidFill>
          </w14:textFill>
        </w:rPr>
        <w:t>。决算数大于上年数的主要原因是</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上</w:t>
      </w:r>
      <w:r>
        <w:rPr>
          <w:rFonts w:hint="eastAsia" w:ascii="Times New Roman" w:hAnsi="Times New Roman" w:eastAsia="仿宋_GB2312"/>
          <w:color w:val="000000" w:themeColor="text1"/>
          <w:sz w:val="32"/>
          <w:szCs w:val="32"/>
          <w:lang w:eastAsia="zh-CN"/>
          <w14:textFill>
            <w14:solidFill>
              <w14:schemeClr w14:val="tx1"/>
            </w14:solidFill>
          </w14:textFill>
        </w:rPr>
        <w:t>年末公务用车维修未及时支付</w:t>
      </w:r>
      <w:r>
        <w:rPr>
          <w:rFonts w:ascii="Times New Roman" w:hAnsi="Times New Roman" w:eastAsia="仿宋_GB2312" w:cs="Times New Roman"/>
          <w:color w:val="000000" w:themeColor="text1"/>
          <w:sz w:val="32"/>
          <w:szCs w:val="32"/>
          <w14:textFill>
            <w14:solidFill>
              <w14:schemeClr w14:val="tx1"/>
            </w14:solidFill>
          </w14:textFill>
        </w:rPr>
        <w:t>。</w:t>
      </w:r>
    </w:p>
    <w:p w14:paraId="352D03A7">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2"/>
        <w:overflowPunct w:val="0"/>
        <w:autoSpaceDE/>
        <w:autoSpaceDN/>
        <w:spacing w:line="600" w:lineRule="exact"/>
        <w:ind w:firstLine="640" w:firstLineChars="200"/>
        <w:jc w:val="both"/>
        <w:rPr>
          <w:rFonts w:ascii="Times New Roman" w:hAnsi="Times New Roman" w:eastAsia="楷体" w:cs="Times New Roman"/>
          <w:b/>
          <w:bCs/>
          <w:i/>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1.因公出国（境）费支出预算为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万元，支出决算为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决算数等于预算数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，主要原因是我单位严格按预算执行决算</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与上年一致，无增减变动，主要原因是未安排因公出国（境）活动。</w:t>
      </w:r>
      <w:r>
        <w:rPr>
          <w:rFonts w:ascii="Times New Roman" w:hAnsi="Times New Roman" w:eastAsia="仿宋_GB2312" w:cs="Times New Roman"/>
          <w:color w:val="000000" w:themeColor="text1"/>
          <w:sz w:val="32"/>
          <w:szCs w:val="32"/>
          <w14:textFill>
            <w14:solidFill>
              <w14:schemeClr w14:val="tx1"/>
            </w14:solidFill>
          </w14:textFill>
        </w:rPr>
        <w:t>2024年度安排因公出国（境）团组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个，累计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人次</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53D0381F">
      <w:pPr>
        <w:pStyle w:val="12"/>
        <w:overflowPunct w:val="0"/>
        <w:autoSpaceDE/>
        <w:autoSpaceDN/>
        <w:spacing w:line="600" w:lineRule="exact"/>
        <w:ind w:firstLine="640" w:firstLineChars="200"/>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2.公务用车购置费及运行维护费支出预算为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万元，支出决算为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决算数等于预算数</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与上年一致，无增减变动</w:t>
      </w:r>
      <w:r>
        <w:rPr>
          <w:rFonts w:ascii="Times New Roman" w:hAnsi="Times New Roman" w:eastAsia="仿宋_GB2312" w:cs="Times New Roman"/>
          <w:color w:val="000000" w:themeColor="text1"/>
          <w:sz w:val="32"/>
          <w:szCs w:val="32"/>
          <w14:textFill>
            <w14:solidFill>
              <w14:schemeClr w14:val="tx1"/>
            </w14:solidFill>
          </w14:textFill>
        </w:rPr>
        <w:t>。其中：</w:t>
      </w:r>
    </w:p>
    <w:p w14:paraId="494B8C2A">
      <w:pPr>
        <w:pStyle w:val="12"/>
        <w:overflowPunct w:val="0"/>
        <w:autoSpaceDE/>
        <w:autoSpaceDN/>
        <w:spacing w:line="600" w:lineRule="exact"/>
        <w:ind w:firstLine="640" w:firstLineChars="200"/>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公务用车购置费支出预算为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万元，支出决算为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决算数等于预算数，主要原因是我单位严格按预算执行决算</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与上年一致，无增减变动，主要原因是两年均未购置公务用车。本单位</w:t>
      </w:r>
      <w:r>
        <w:rPr>
          <w:rFonts w:ascii="Times New Roman" w:hAnsi="Times New Roman" w:eastAsia="仿宋_GB2312" w:cs="Times New Roman"/>
          <w:color w:val="000000" w:themeColor="text1"/>
          <w:sz w:val="32"/>
          <w:szCs w:val="32"/>
          <w14:textFill>
            <w14:solidFill>
              <w14:schemeClr w14:val="tx1"/>
            </w14:solidFill>
          </w14:textFill>
        </w:rPr>
        <w:t>更新公务用车</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w:t>
      </w:r>
      <w:r>
        <w:rPr>
          <w:rFonts w:ascii="Times New Roman" w:hAnsi="Times New Roman" w:eastAsia="仿宋_GB2312" w:cs="Times New Roman"/>
          <w:color w:val="000000" w:themeColor="text1"/>
          <w:sz w:val="32"/>
          <w:szCs w:val="32"/>
          <w14:textFill>
            <w14:solidFill>
              <w14:schemeClr w14:val="tx1"/>
            </w14:solidFill>
          </w14:textFill>
        </w:rPr>
        <w:t>辆</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1D422951">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5.64</w:t>
      </w:r>
      <w:r>
        <w:rPr>
          <w:rFonts w:ascii="Times New Roman" w:hAnsi="Times New Roman" w:eastAsia="仿宋_GB2312" w:cs="Times New Roman"/>
          <w:sz w:val="32"/>
          <w:szCs w:val="32"/>
        </w:rPr>
        <w:t>万元，</w:t>
      </w:r>
    </w:p>
    <w:p w14:paraId="75A272CE">
      <w:pPr>
        <w:pStyle w:val="12"/>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eastAsia="zh-CN"/>
        </w:rPr>
        <w:t>公务车运行燃油费、维修保养费、过桥过路费、车辆保险费</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47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1.1</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24.23</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有关政策厉行节约，严控“三公经费”支出</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上</w:t>
      </w:r>
      <w:r>
        <w:rPr>
          <w:rFonts w:hint="eastAsia" w:ascii="Times New Roman" w:hAnsi="Times New Roman" w:eastAsia="仿宋_GB2312"/>
          <w:color w:val="000000" w:themeColor="text1"/>
          <w:sz w:val="32"/>
          <w:szCs w:val="32"/>
          <w:lang w:eastAsia="zh-CN"/>
          <w14:textFill>
            <w14:solidFill>
              <w14:schemeClr w14:val="tx1"/>
            </w14:solidFill>
          </w14:textFill>
        </w:rPr>
        <w:t>年末公务用车维修未及时支付</w:t>
      </w:r>
      <w:r>
        <w:rPr>
          <w:rFonts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辆。</w:t>
      </w:r>
    </w:p>
    <w:p w14:paraId="039328FA">
      <w:pPr>
        <w:numPr>
          <w:ilvl w:val="0"/>
          <w:numId w:val="4"/>
        </w:numPr>
        <w:ind w:firstLine="640" w:firstLineChars="200"/>
        <w:rPr>
          <w:rFonts w:hint="eastAsia" w:ascii="Times New Roman" w:hAnsi="Times New Roman" w:eastAsia="仿宋_GB2312"/>
          <w:b/>
          <w:color w:val="auto"/>
          <w:sz w:val="32"/>
          <w:szCs w:val="32"/>
          <w:lang w:eastAsia="zh-CN"/>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1.04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%；与上年相比增加减少</w:t>
      </w:r>
      <w:r>
        <w:rPr>
          <w:rFonts w:hint="eastAsia" w:ascii="Times New Roman" w:hAnsi="Times New Roman" w:eastAsia="仿宋_GB2312" w:cs="Times New Roman"/>
          <w:sz w:val="32"/>
          <w:szCs w:val="32"/>
          <w:lang w:val="en-US" w:eastAsia="zh-CN"/>
        </w:rPr>
        <w:t>0.06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5.45</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有关政策厉行节约，严控“三公经费”支出</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有关政策厉行节约，严控“三公经费”支出</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58</w:t>
      </w:r>
      <w:r>
        <w:rPr>
          <w:rFonts w:ascii="Times New Roman" w:hAnsi="Times New Roman" w:eastAsia="仿宋_GB2312" w:cs="Times New Roman"/>
          <w:sz w:val="32"/>
          <w:szCs w:val="32"/>
        </w:rPr>
        <w:t>人次，主要是</w:t>
      </w:r>
      <w:r>
        <w:rPr>
          <w:rFonts w:hint="eastAsia" w:ascii="Times New Roman" w:hAnsi="Times New Roman" w:eastAsia="仿宋_GB2312"/>
          <w:sz w:val="32"/>
          <w:szCs w:val="32"/>
          <w:lang w:eastAsia="zh-CN"/>
        </w:rPr>
        <w:t>工作业务学习交流</w:t>
      </w:r>
      <w:r>
        <w:rPr>
          <w:rFonts w:hint="eastAsia" w:ascii="Times New Roman" w:hAnsi="Times New Roman" w:eastAsia="仿宋_GB2312"/>
          <w:sz w:val="32"/>
          <w:szCs w:val="32"/>
        </w:rPr>
        <w:t>发生的接待支出。</w:t>
      </w:r>
    </w:p>
    <w:p w14:paraId="3D06AC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134.41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比年初预算数减少</w:t>
      </w:r>
      <w:r>
        <w:rPr>
          <w:rFonts w:hint="eastAsia" w:ascii="仿宋_GB2312" w:hAnsi="仿宋_GB2312" w:eastAsia="仿宋_GB2312" w:cs="仿宋_GB2312"/>
          <w:sz w:val="32"/>
          <w:szCs w:val="32"/>
          <w:highlight w:val="none"/>
          <w:lang w:val="en-US" w:eastAsia="zh-CN"/>
        </w:rPr>
        <w:t>10.69</w:t>
      </w:r>
      <w:r>
        <w:rPr>
          <w:rFonts w:hint="eastAsia" w:ascii="仿宋_GB2312" w:hAnsi="仿宋_GB2312" w:eastAsia="仿宋_GB2312" w:cs="仿宋_GB2312"/>
          <w:sz w:val="32"/>
          <w:szCs w:val="32"/>
          <w:highlight w:val="none"/>
        </w:rPr>
        <w:t>万元，降低</w:t>
      </w:r>
      <w:r>
        <w:rPr>
          <w:rFonts w:hint="eastAsia" w:ascii="仿宋_GB2312" w:hAnsi="仿宋_GB2312" w:eastAsia="仿宋_GB2312" w:cs="仿宋_GB2312"/>
          <w:sz w:val="32"/>
          <w:szCs w:val="32"/>
          <w:highlight w:val="none"/>
          <w:lang w:val="en-US" w:eastAsia="zh-CN"/>
        </w:rPr>
        <w:t>7.37</w:t>
      </w:r>
      <w:r>
        <w:rPr>
          <w:rFonts w:hint="eastAsia" w:ascii="仿宋_GB2312" w:hAnsi="仿宋_GB2312" w:eastAsia="仿宋_GB2312" w:cs="仿宋_GB2312"/>
          <w:sz w:val="32"/>
          <w:szCs w:val="32"/>
          <w:highlight w:val="none"/>
        </w:rPr>
        <w:t>%。主要原因是</w:t>
      </w:r>
      <w:r>
        <w:rPr>
          <w:rFonts w:hint="eastAsia" w:ascii="Times New Roman" w:hAnsi="Times New Roman" w:eastAsia="仿宋_GB2312"/>
          <w:sz w:val="32"/>
          <w:szCs w:val="32"/>
        </w:rPr>
        <w:t>单位厉行节约，进一步压缩</w:t>
      </w:r>
      <w:r>
        <w:rPr>
          <w:rFonts w:hint="eastAsia" w:ascii="Times New Roman" w:hAnsi="Times New Roman" w:eastAsia="仿宋_GB2312"/>
          <w:sz w:val="32"/>
          <w:szCs w:val="32"/>
          <w:lang w:eastAsia="zh-CN"/>
        </w:rPr>
        <w:t>公用</w:t>
      </w:r>
      <w:r>
        <w:rPr>
          <w:rFonts w:hint="eastAsia" w:ascii="Times New Roman" w:hAnsi="Times New Roman" w:eastAsia="仿宋_GB2312"/>
          <w:sz w:val="32"/>
          <w:szCs w:val="32"/>
        </w:rPr>
        <w:t>经费</w:t>
      </w:r>
      <w:r>
        <w:rPr>
          <w:rFonts w:hint="eastAsia" w:ascii="Times New Roman" w:hAnsi="Times New Roman" w:eastAsia="仿宋_GB2312"/>
          <w:sz w:val="32"/>
          <w:szCs w:val="32"/>
          <w:lang w:eastAsia="zh-CN"/>
        </w:rPr>
        <w:t>。</w:t>
      </w:r>
    </w:p>
    <w:p w14:paraId="39684EF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2"/>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w:t>
      </w:r>
      <w:r>
        <w:rPr>
          <w:rFonts w:hint="eastAsia" w:ascii="仿宋_GB2312" w:hAnsi="仿宋_GB2312" w:eastAsia="仿宋_GB2312" w:cs="仿宋_GB2312"/>
          <w:color w:val="000000"/>
          <w:kern w:val="0"/>
          <w:sz w:val="32"/>
          <w:szCs w:val="32"/>
          <w:lang w:val="en-US" w:eastAsia="zh-CN" w:bidi="ar-SA"/>
        </w:rPr>
        <w:t>本单位无会议费的预算和支出决算数；</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培训费年初预算0.5万元，支出决算为0.5万元，完成年初预算的100%。用于开展执法技能培训，人数50人，内容为文化市场综合行政执法技能提升；</w:t>
      </w:r>
    </w:p>
    <w:p w14:paraId="61EB461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52D0B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105.82</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9.58</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91.24</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105.82</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105.82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246A0D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044E38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本单位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4C7B25F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p>
    <w:p w14:paraId="49C8E17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根据预算绩效管理要求，我们组织对2024年度整体支出和项目资金实施了全覆盖性的绩效评价，撰写了绩效自评报告。</w:t>
      </w:r>
    </w:p>
    <w:p w14:paraId="5F28B82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SA"/>
        </w:rPr>
        <w:t>组织开展整体支出绩效评价，涉及一般公共预算支出1078.46万元，政府性基金预算支出0万元，国有资本经营预算支出0万元。从评价情况来看，整体支出绩效评价中，2024年整体支出1083.49万元，其中：基本支出1014.36万元，项目支出64.1万元，本单位整体支出绩效自评综合评分99.76分，评价结果等次为好。</w:t>
      </w:r>
    </w:p>
    <w:p w14:paraId="06F31BF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color w:val="auto"/>
          <w:sz w:val="32"/>
          <w:szCs w:val="32"/>
          <w:lang w:eastAsia="zh-CN"/>
        </w:rPr>
      </w:pP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65.8</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65.8</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6.15</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w:t>
      </w:r>
      <w:r>
        <w:rPr>
          <w:rFonts w:hint="eastAsia" w:ascii="仿宋_GB2312" w:hAnsi="仿宋_GB2312" w:eastAsia="仿宋_GB2312" w:cs="仿宋_GB2312"/>
          <w:b w:val="0"/>
          <w:bCs w:val="0"/>
          <w:color w:val="auto"/>
          <w:kern w:val="0"/>
          <w:sz w:val="32"/>
          <w:szCs w:val="32"/>
          <w:lang w:val="en-US" w:eastAsia="zh-CN" w:bidi="ar-SA"/>
        </w:rPr>
        <w:t>从评价情况来看，项目绩效自评得分100分，评价结果等次为好。</w:t>
      </w:r>
    </w:p>
    <w:p w14:paraId="6F6FB371">
      <w:pPr>
        <w:overflowPunct w:val="0"/>
        <w:spacing w:line="600" w:lineRule="exact"/>
        <w:ind w:firstLine="640" w:firstLineChars="200"/>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238014A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1105.5</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1078.46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97.55</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99.76</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好</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sz w:val="32"/>
          <w:szCs w:val="32"/>
        </w:rPr>
        <w:t>一是关键领域执法监管有成效。以“扫黄打非”工作为抓手，严厉打击非法出版行为；深入推进“利剑护蕾”专项行动，保护未成年人健康成长；保持网络文化市场监管高压态势，净化网络空间；开展旅游领域顽瘴痼疾综合治理，整治市场乱象。二是重大典型案件办理有成果。支队始终坚持“高质高效办好每一个案件”，勇于开拓新的监管执法领域切实履行执法职责。全年支队共出动执法人员15800人次，巡查经营单位7900家次，处理举报投诉40余起，核查问题线索30余个，办理案件53起，完成行政处罚案件公示46件。三是文化执法队伍建设有成绩。贯彻落实中央和省、市决策部署，完成新一轮行政执法体制改革任务，依据“三定方案”，基本完成人员转隶、干部配置等工作，云溪区、君山区派驻执法队伍和市直支队内设机构、下设大队均顺利挂牌；以规范执法促廉，以为民服务践廉、以廉洁文化育廉为主线，创建"清廉之风护航清廉执法"党建品牌，切实提升党员政治素养，增强党组织凝聚力战斗力。</w:t>
      </w:r>
    </w:p>
    <w:p w14:paraId="7BC66A8D">
      <w:pPr>
        <w:spacing w:line="600" w:lineRule="exact"/>
        <w:ind w:firstLine="640" w:firstLineChars="200"/>
        <w:rPr>
          <w:rFonts w:eastAsia="仿宋_GB2312"/>
          <w:sz w:val="32"/>
          <w:szCs w:val="32"/>
        </w:rPr>
      </w:pPr>
      <w:r>
        <w:rPr>
          <w:rFonts w:ascii="Times New Roman" w:hAnsi="Times New Roman" w:eastAsia="仿宋_GB2312" w:cs="Times New Roman"/>
          <w:sz w:val="32"/>
          <w:szCs w:val="32"/>
        </w:rPr>
        <w:t>发现的主要问题及原因：</w:t>
      </w:r>
      <w:r>
        <w:rPr>
          <w:rFonts w:hint="eastAsia" w:eastAsia="仿宋_GB2312"/>
          <w:sz w:val="32"/>
          <w:szCs w:val="32"/>
        </w:rPr>
        <w:t>1、预算编制工作有待细化。预算编制不够明确和细化，预算编制的合理性需要提高，预算执行力度还要进一步加强。</w:t>
      </w:r>
    </w:p>
    <w:p w14:paraId="4974C81E">
      <w:pPr>
        <w:spacing w:line="600" w:lineRule="exact"/>
        <w:ind w:firstLine="640" w:firstLineChars="200"/>
        <w:rPr>
          <w:rFonts w:eastAsia="仿宋_GB2312"/>
          <w:sz w:val="32"/>
          <w:szCs w:val="32"/>
        </w:rPr>
      </w:pPr>
      <w:r>
        <w:rPr>
          <w:rFonts w:hint="eastAsia" w:eastAsia="仿宋_GB2312"/>
          <w:sz w:val="32"/>
          <w:szCs w:val="32"/>
        </w:rPr>
        <w:t>2、绩效工资和日常公用经费不足、与实际支出相差较大。</w:t>
      </w:r>
    </w:p>
    <w:p w14:paraId="42E4B0EB">
      <w:pPr>
        <w:spacing w:line="600" w:lineRule="exact"/>
        <w:ind w:firstLine="640" w:firstLineChars="200"/>
        <w:rPr>
          <w:rFonts w:eastAsia="仿宋_GB2312"/>
          <w:sz w:val="32"/>
          <w:szCs w:val="32"/>
        </w:rPr>
      </w:pPr>
      <w:r>
        <w:rPr>
          <w:rFonts w:hint="eastAsia" w:eastAsia="仿宋_GB2312"/>
          <w:sz w:val="32"/>
          <w:szCs w:val="32"/>
        </w:rPr>
        <w:t>3、公用经费控制有一定难度，基本为刚性支出。</w:t>
      </w:r>
    </w:p>
    <w:p w14:paraId="265070C2">
      <w:pPr>
        <w:spacing w:line="600" w:lineRule="exact"/>
        <w:ind w:firstLine="640" w:firstLineChars="200"/>
        <w:rPr>
          <w:rFonts w:hint="eastAsia" w:ascii="楷体" w:hAnsi="楷体" w:eastAsia="楷体" w:cs="楷体"/>
          <w:b/>
          <w:bCs/>
          <w:sz w:val="32"/>
          <w:szCs w:val="32"/>
        </w:rPr>
      </w:pPr>
      <w:r>
        <w:rPr>
          <w:rFonts w:hint="eastAsia" w:eastAsia="仿宋_GB2312"/>
          <w:sz w:val="32"/>
          <w:szCs w:val="32"/>
        </w:rPr>
        <w:t>针对上述存在的问题及对外整体支出管理工作的需要，拟实施的改进措施如下：</w:t>
      </w:r>
    </w:p>
    <w:p w14:paraId="24A2EE42">
      <w:pPr>
        <w:spacing w:line="600" w:lineRule="exact"/>
        <w:ind w:firstLine="640" w:firstLineChars="200"/>
        <w:rPr>
          <w:rFonts w:hint="eastAsia" w:eastAsia="仿宋_GB2312"/>
          <w:sz w:val="32"/>
          <w:szCs w:val="32"/>
        </w:rPr>
      </w:pPr>
      <w:r>
        <w:rPr>
          <w:rFonts w:hint="eastAsia" w:ascii="仿宋_GB2312" w:hAnsi="仿宋_GB2312" w:eastAsia="仿宋_GB2312" w:cs="仿宋_GB2312"/>
          <w:b w:val="0"/>
          <w:bCs w:val="0"/>
          <w:sz w:val="32"/>
          <w:szCs w:val="32"/>
          <w:lang w:val="en-US" w:eastAsia="zh-CN"/>
        </w:rPr>
        <w:t>一是</w:t>
      </w:r>
      <w:r>
        <w:rPr>
          <w:rFonts w:hint="eastAsia" w:eastAsia="仿宋_GB2312"/>
          <w:sz w:val="32"/>
          <w:szCs w:val="32"/>
        </w:rPr>
        <w:t>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7DDB947B">
      <w:pPr>
        <w:spacing w:line="600" w:lineRule="exact"/>
        <w:ind w:firstLine="640" w:firstLineChars="200"/>
        <w:rPr>
          <w:rFonts w:hint="eastAsia" w:eastAsia="仿宋_GB2312"/>
          <w:sz w:val="32"/>
          <w:szCs w:val="32"/>
        </w:rPr>
      </w:pPr>
      <w:r>
        <w:rPr>
          <w:rFonts w:hint="eastAsia" w:eastAsia="仿宋_GB2312"/>
          <w:sz w:val="32"/>
          <w:szCs w:val="32"/>
          <w:lang w:eastAsia="zh-CN"/>
        </w:rPr>
        <w:t>二是</w:t>
      </w:r>
      <w:r>
        <w:rPr>
          <w:rFonts w:hint="eastAsia" w:eastAsia="仿宋_GB2312"/>
          <w:sz w:val="32"/>
          <w:szCs w:val="32"/>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14:paraId="1A7513A0">
      <w:pPr>
        <w:spacing w:line="600" w:lineRule="exact"/>
        <w:ind w:firstLine="640" w:firstLineChars="200"/>
        <w:rPr>
          <w:rFonts w:hint="eastAsia" w:eastAsia="仿宋_GB2312"/>
          <w:sz w:val="32"/>
          <w:szCs w:val="32"/>
        </w:rPr>
      </w:pPr>
      <w:r>
        <w:rPr>
          <w:rFonts w:hint="eastAsia" w:eastAsia="仿宋_GB2312"/>
          <w:sz w:val="32"/>
          <w:szCs w:val="32"/>
          <w:lang w:eastAsia="zh-CN"/>
        </w:rPr>
        <w:t>三是</w:t>
      </w:r>
      <w:r>
        <w:rPr>
          <w:rFonts w:hint="eastAsia" w:eastAsia="仿宋_GB2312"/>
          <w:sz w:val="32"/>
          <w:szCs w:val="32"/>
        </w:rPr>
        <w:t>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r>
    </w:p>
    <w:p w14:paraId="4004B91E">
      <w:p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eastAsia="仿宋_GB2312"/>
          <w:sz w:val="32"/>
          <w:szCs w:val="32"/>
          <w:lang w:eastAsia="zh-CN"/>
        </w:rPr>
        <w:t>四是</w:t>
      </w:r>
      <w:r>
        <w:rPr>
          <w:rFonts w:hint="eastAsia" w:eastAsia="仿宋_GB2312"/>
          <w:sz w:val="32"/>
          <w:szCs w:val="32"/>
        </w:rPr>
        <w:t>对相关人员加强培训，特别是针对《预算法》《行政事业单位会计制度》等学习培训，规范部门预算收支核算，切实提高部门预算收支管理水平。</w:t>
      </w:r>
    </w:p>
    <w:p w14:paraId="1F555EDA">
      <w:pPr>
        <w:overflowPunct w:val="0"/>
        <w:spacing w:line="600" w:lineRule="exact"/>
        <w:ind w:firstLine="640" w:firstLineChars="200"/>
        <w:rPr>
          <w:rFonts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本单位为二级预算单位，部门评价结果可详见上级部门决算公开说明。</w:t>
      </w:r>
    </w:p>
    <w:p w14:paraId="5DC4775D">
      <w:pPr>
        <w:overflowPunct w:val="0"/>
        <w:spacing w:line="600" w:lineRule="exact"/>
        <w:ind w:firstLine="640" w:firstLineChars="200"/>
        <w:rPr>
          <w:rFonts w:hint="eastAsia"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eastAsia" w:ascii="Times New Roman" w:hAnsi="Times New Roman" w:eastAsia="仿宋_GB2312" w:cs="Times New Roman"/>
          <w:b/>
          <w:bCs/>
          <w:color w:val="000000" w:themeColor="text1"/>
          <w:kern w:val="0"/>
          <w:sz w:val="32"/>
          <w:szCs w:val="32"/>
          <w:highlight w:val="none"/>
          <w:lang w:val="en-US" w:eastAsia="zh-CN"/>
          <w14:textFill>
            <w14:solidFill>
              <w14:schemeClr w14:val="tx1"/>
            </w14:solidFill>
          </w14:textFill>
        </w:rPr>
        <w:t>事</w:t>
      </w:r>
      <w:r>
        <w:rPr>
          <w:rFonts w:ascii="Times New Roman" w:hAnsi="Times New Roman" w:eastAsia="仿宋_GB2312" w:cs="Times New Roman"/>
          <w:b/>
          <w:bCs/>
          <w:color w:val="000000" w:themeColor="text1"/>
          <w:kern w:val="0"/>
          <w:sz w:val="32"/>
          <w:szCs w:val="32"/>
          <w:highlight w:val="none"/>
          <w14:textFill>
            <w14:solidFill>
              <w14:schemeClr w14:val="tx1"/>
            </w14:solidFill>
          </w14:textFill>
        </w:rPr>
        <w:t>前绩效评估结果。</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本单位为二级预算单位，事前绩效评估结果可详见上级部门决算公开说明。</w:t>
      </w:r>
    </w:p>
    <w:p w14:paraId="2C89E516">
      <w:pPr>
        <w:numPr>
          <w:ilvl w:val="0"/>
          <w:numId w:val="5"/>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2E1CBAA7">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请根据2024年度绩效自评结果、部门评价结果、</w:t>
      </w:r>
      <w:r>
        <w:rPr>
          <w:rFonts w:hint="eastAsia" w:ascii="Times New Roman" w:hAnsi="Times New Roman" w:eastAsia="仿宋_GB2312" w:cs="Times New Roman"/>
          <w:color w:val="auto"/>
          <w:sz w:val="32"/>
          <w:szCs w:val="32"/>
          <w:highlight w:val="none"/>
          <w:lang w:eastAsia="zh-CN"/>
        </w:rPr>
        <w:t>事前绩效</w:t>
      </w:r>
      <w:r>
        <w:rPr>
          <w:rFonts w:ascii="Times New Roman" w:hAnsi="Times New Roman" w:eastAsia="仿宋_GB2312" w:cs="Times New Roman"/>
          <w:color w:val="auto"/>
          <w:sz w:val="32"/>
          <w:szCs w:val="32"/>
          <w:highlight w:val="none"/>
        </w:rPr>
        <w:t>评价结果对本部门2025年度预算安排，支出结构调整，资金管理，制度建设等方面结果运用进行简要说明。</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rPr>
          <w:rFonts w:hint="eastAsia"/>
          <w:lang w:val="en-US" w:eastAsia="zh-CN"/>
        </w:rPr>
      </w:pPr>
      <w:r>
        <w:rPr>
          <w:rFonts w:hint="eastAsia"/>
          <w:lang w:val="en-US" w:eastAsia="zh-CN"/>
        </w:rPr>
        <w:br w:type="page"/>
      </w:r>
    </w:p>
    <w:p w14:paraId="19181B4C">
      <w:pPr>
        <w:pStyle w:val="3"/>
        <w:rPr>
          <w:rFonts w:hint="eastAsia"/>
          <w:lang w:val="en-US" w:eastAsia="zh-CN"/>
        </w:rPr>
      </w:pPr>
    </w:p>
    <w:p w14:paraId="147E06D0">
      <w:pPr>
        <w:pStyle w:val="12"/>
        <w:jc w:val="both"/>
        <w:rPr>
          <w:rFonts w:hint="eastAsia" w:ascii="方正小标宋_GBK" w:hAnsi="方正小标宋_GBK" w:eastAsia="方正小标宋_GBK" w:cs="方正小标宋_GBK"/>
          <w:sz w:val="24"/>
          <w:szCs w:val="24"/>
        </w:rPr>
      </w:pPr>
    </w:p>
    <w:p w14:paraId="3D83FDA1">
      <w:pPr>
        <w:pStyle w:val="12"/>
        <w:jc w:val="center"/>
        <w:rPr>
          <w:rFonts w:hint="eastAsia" w:ascii="方正小标宋_GBK" w:hAnsi="方正小标宋_GBK" w:eastAsia="方正小标宋_GBK" w:cs="方正小标宋_GBK"/>
          <w:sz w:val="72"/>
          <w:szCs w:val="72"/>
        </w:rPr>
      </w:pPr>
    </w:p>
    <w:p w14:paraId="6FB6F211">
      <w:pPr>
        <w:pStyle w:val="12"/>
        <w:jc w:val="center"/>
        <w:rPr>
          <w:rFonts w:hint="eastAsia" w:ascii="方正小标宋_GBK" w:hAnsi="方正小标宋_GBK" w:eastAsia="方正小标宋_GBK" w:cs="方正小标宋_GBK"/>
          <w:sz w:val="72"/>
          <w:szCs w:val="72"/>
        </w:rPr>
      </w:pPr>
    </w:p>
    <w:p w14:paraId="3A01B6B0">
      <w:pPr>
        <w:pStyle w:val="12"/>
        <w:jc w:val="center"/>
        <w:rPr>
          <w:rFonts w:hint="eastAsia" w:ascii="方正小标宋_GBK" w:hAnsi="方正小标宋_GBK" w:eastAsia="方正小标宋_GBK" w:cs="方正小标宋_GBK"/>
          <w:sz w:val="72"/>
          <w:szCs w:val="72"/>
        </w:rPr>
      </w:pPr>
    </w:p>
    <w:p w14:paraId="475C1000">
      <w:pPr>
        <w:pStyle w:val="12"/>
        <w:jc w:val="center"/>
        <w:rPr>
          <w:rFonts w:hint="eastAsia" w:ascii="方正小标宋_GBK" w:hAnsi="方正小标宋_GBK" w:eastAsia="方正小标宋_GBK" w:cs="方正小标宋_GBK"/>
          <w:sz w:val="72"/>
          <w:szCs w:val="72"/>
        </w:rPr>
      </w:pPr>
    </w:p>
    <w:p w14:paraId="6A5A782C">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793F6BC2">
      <w:pPr>
        <w:jc w:val="left"/>
        <w:rPr>
          <w:rFonts w:hint="eastAsia" w:ascii="仿宋_GB2312" w:hAnsi="仿宋_GB2312" w:eastAsia="仿宋_GB2312" w:cs="仿宋_GB2312"/>
          <w:color w:val="000000"/>
          <w:kern w:val="0"/>
          <w:sz w:val="32"/>
          <w:szCs w:val="32"/>
        </w:rPr>
      </w:pP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2623CBDC">
      <w:pPr>
        <w:pStyle w:val="13"/>
        <w:numPr>
          <w:ilvl w:val="0"/>
          <w:numId w:val="0"/>
        </w:numPr>
        <w:spacing w:beforeLines="0" w:afterLines="0" w:line="610" w:lineRule="exact"/>
        <w:ind w:firstLine="64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三、财政拨款收入：指本级财政当年拨付的资金。</w:t>
      </w:r>
    </w:p>
    <w:p w14:paraId="6A4BB73B">
      <w:pPr>
        <w:pStyle w:val="13"/>
        <w:numPr>
          <w:ilvl w:val="0"/>
          <w:numId w:val="0"/>
        </w:numPr>
        <w:spacing w:beforeLines="0" w:afterLines="0" w:line="610" w:lineRule="exact"/>
        <w:ind w:firstLine="64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四、政府采购 ：是指国家各级政府为从事日常的政务活动或为了满足公共服务的目的，利用国家财政性资金和政府借款购买货物、工程和服务的行为。</w:t>
      </w:r>
    </w:p>
    <w:p w14:paraId="37838870">
      <w:pPr>
        <w:pStyle w:val="13"/>
        <w:numPr>
          <w:ilvl w:val="0"/>
          <w:numId w:val="0"/>
        </w:numPr>
        <w:spacing w:beforeLines="0" w:afterLines="0" w:line="610" w:lineRule="exact"/>
        <w:ind w:firstLine="64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五、基本支出：指保障机构正常运转、完成支日常工作任务而发生的人员支出和公用支出。</w:t>
      </w:r>
    </w:p>
    <w:p w14:paraId="22CB69AC">
      <w:pPr>
        <w:pStyle w:val="13"/>
        <w:numPr>
          <w:ilvl w:val="0"/>
          <w:numId w:val="0"/>
        </w:numPr>
        <w:spacing w:beforeLines="0" w:afterLines="0" w:line="610" w:lineRule="exact"/>
        <w:ind w:firstLine="64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六、项目支出：指在基本支出之外为完成特定行政任务和事业发展目标所发生的支出。</w:t>
      </w:r>
    </w:p>
    <w:p w14:paraId="7B8BABF4">
      <w:pPr>
        <w:pStyle w:val="3"/>
        <w:ind w:left="0" w:leftChars="0" w:firstLine="0" w:firstLineChars="0"/>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2"/>
        <w:jc w:val="both"/>
        <w:rPr>
          <w:rFonts w:hint="eastAsia" w:ascii="方正小标宋_GBK" w:hAnsi="方正小标宋_GBK" w:eastAsia="方正小标宋_GBK" w:cs="方正小标宋_GBK"/>
          <w:sz w:val="72"/>
          <w:szCs w:val="72"/>
        </w:rPr>
      </w:pPr>
    </w:p>
    <w:p w14:paraId="0C1858E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2"/>
        <w:jc w:val="both"/>
        <w:rPr>
          <w:rFonts w:hint="eastAsia" w:ascii="方正小标宋_GBK" w:hAnsi="方正小标宋_GBK" w:eastAsia="方正小标宋_GBK" w:cs="方正小标宋_GBK"/>
          <w:sz w:val="70"/>
          <w:szCs w:val="70"/>
          <w:lang w:eastAsia="zh-CN"/>
        </w:rPr>
      </w:pPr>
    </w:p>
    <w:p w14:paraId="490142D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E3CBC331"/>
    <w:multiLevelType w:val="singleLevel"/>
    <w:tmpl w:val="E3CBC331"/>
    <w:lvl w:ilvl="0" w:tentative="0">
      <w:start w:val="3"/>
      <w:numFmt w:val="decimal"/>
      <w:lvlText w:val="%1."/>
      <w:lvlJc w:val="left"/>
      <w:pPr>
        <w:tabs>
          <w:tab w:val="left" w:pos="312"/>
        </w:tabs>
      </w:pPr>
    </w:lvl>
  </w:abstractNum>
  <w:abstractNum w:abstractNumId="2">
    <w:nsid w:val="FC2D9614"/>
    <w:multiLevelType w:val="singleLevel"/>
    <w:tmpl w:val="FC2D9614"/>
    <w:lvl w:ilvl="0" w:tentative="0">
      <w:start w:val="11"/>
      <w:numFmt w:val="decimal"/>
      <w:suff w:val="nothing"/>
      <w:lvlText w:val="%1、"/>
      <w:lvlJc w:val="left"/>
    </w:lvl>
  </w:abstractNum>
  <w:abstractNum w:abstractNumId="3">
    <w:nsid w:val="05CEA2F9"/>
    <w:multiLevelType w:val="singleLevel"/>
    <w:tmpl w:val="05CEA2F9"/>
    <w:lvl w:ilvl="0" w:tentative="0">
      <w:start w:val="8"/>
      <w:numFmt w:val="chineseCounting"/>
      <w:suff w:val="nothing"/>
      <w:lvlText w:val="%1、"/>
      <w:lvlJc w:val="left"/>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11944E2C"/>
    <w:rsid w:val="12583BA5"/>
    <w:rsid w:val="13BA5B9C"/>
    <w:rsid w:val="1D97DEFF"/>
    <w:rsid w:val="1DFF72E5"/>
    <w:rsid w:val="1EFC6F07"/>
    <w:rsid w:val="1F0527A6"/>
    <w:rsid w:val="22AC03C2"/>
    <w:rsid w:val="283B15FE"/>
    <w:rsid w:val="2FDF85B8"/>
    <w:rsid w:val="2FFFEE04"/>
    <w:rsid w:val="31C95635"/>
    <w:rsid w:val="3313777F"/>
    <w:rsid w:val="34DF85B0"/>
    <w:rsid w:val="3B8F36BC"/>
    <w:rsid w:val="3D0F4003"/>
    <w:rsid w:val="43EB5BA5"/>
    <w:rsid w:val="491FF225"/>
    <w:rsid w:val="4EC310A1"/>
    <w:rsid w:val="4FFD214C"/>
    <w:rsid w:val="5352765A"/>
    <w:rsid w:val="54406946"/>
    <w:rsid w:val="573B709A"/>
    <w:rsid w:val="5777D4F5"/>
    <w:rsid w:val="57F22B6F"/>
    <w:rsid w:val="59DD8326"/>
    <w:rsid w:val="5DEF592A"/>
    <w:rsid w:val="5FC6BB1E"/>
    <w:rsid w:val="5FF720F1"/>
    <w:rsid w:val="622964C1"/>
    <w:rsid w:val="67FF5C0B"/>
    <w:rsid w:val="6BAA4A2F"/>
    <w:rsid w:val="6DDEC5C0"/>
    <w:rsid w:val="6EFC0924"/>
    <w:rsid w:val="6FB74722"/>
    <w:rsid w:val="6FEF8B7E"/>
    <w:rsid w:val="717FE77F"/>
    <w:rsid w:val="71A6591B"/>
    <w:rsid w:val="737D59BA"/>
    <w:rsid w:val="737F32B1"/>
    <w:rsid w:val="73BD3FCA"/>
    <w:rsid w:val="776BDA01"/>
    <w:rsid w:val="77C37683"/>
    <w:rsid w:val="79BF4DD7"/>
    <w:rsid w:val="79FF515B"/>
    <w:rsid w:val="7DFBFF20"/>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4509</Words>
  <Characters>4862</Characters>
  <Lines>63</Lines>
  <Paragraphs>18</Paragraphs>
  <TotalTime>0</TotalTime>
  <ScaleCrop>false</ScaleCrop>
  <LinksUpToDate>false</LinksUpToDate>
  <CharactersWithSpaces>4888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用友岳阳新启航沈毅</cp:lastModifiedBy>
  <cp:lastPrinted>2024-08-11T02:20:00Z</cp:lastPrinted>
  <dcterms:modified xsi:type="dcterms:W3CDTF">2025-09-28T08:48:47Z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DEF215D2082A40A9A54C3FEEDDEB2C1F_13</vt:lpwstr>
  </property>
  <property fmtid="{D5CDD505-2E9C-101B-9397-08002B2CF9AE}" pid="4" name="KSOTemplateDocerSaveRecord">
    <vt:lpwstr>eyJoZGlkIjoiYjUzMmE1NWMzMDhjNzY2M2ZiYTBkMGEyMDZmZjExMGYiLCJ1c2VySWQiOiI1OTk0MTI0OTEifQ==</vt:lpwstr>
  </property>
</Properties>
</file>