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B6DCFF1">
      <w:pPr>
        <w:pStyle w:val="14"/>
        <w:jc w:val="center"/>
        <w:rPr>
          <w:sz w:val="56"/>
          <w:szCs w:val="56"/>
        </w:rPr>
      </w:pPr>
    </w:p>
    <w:p w14:paraId="3BDF5AB8">
      <w:pPr>
        <w:pStyle w:val="14"/>
        <w:jc w:val="center"/>
        <w:rPr>
          <w:sz w:val="56"/>
          <w:szCs w:val="56"/>
        </w:rPr>
      </w:pPr>
    </w:p>
    <w:p w14:paraId="60CA4575">
      <w:pPr>
        <w:pStyle w:val="14"/>
        <w:jc w:val="center"/>
        <w:rPr>
          <w:sz w:val="84"/>
          <w:szCs w:val="84"/>
        </w:rPr>
      </w:pPr>
    </w:p>
    <w:p w14:paraId="215EB31D">
      <w:pPr>
        <w:pStyle w:val="14"/>
        <w:jc w:val="center"/>
        <w:rPr>
          <w:sz w:val="84"/>
          <w:szCs w:val="84"/>
        </w:rPr>
      </w:pPr>
    </w:p>
    <w:p w14:paraId="376C8602">
      <w:pPr>
        <w:pStyle w:val="14"/>
        <w:jc w:val="center"/>
        <w:rPr>
          <w:rFonts w:hint="eastAsia" w:ascii="方正小标宋_GBK" w:hAnsi="方正小标宋_GBK" w:eastAsia="方正小标宋_GBK" w:cs="方正小标宋_GBK"/>
          <w:sz w:val="84"/>
          <w:szCs w:val="84"/>
          <w:lang w:eastAsia="zh-CN"/>
        </w:rPr>
      </w:pPr>
      <w:r>
        <w:rPr>
          <w:rFonts w:hint="eastAsia" w:ascii="方正小标宋_GBK" w:hAnsi="方正小标宋_GBK" w:eastAsia="方正小标宋_GBK" w:cs="方正小标宋_GBK"/>
          <w:sz w:val="84"/>
          <w:szCs w:val="84"/>
          <w:lang w:eastAsia="zh-CN"/>
        </w:rPr>
        <w:t>202</w:t>
      </w:r>
      <w:r>
        <w:rPr>
          <w:rFonts w:hint="eastAsia" w:ascii="方正小标宋_GBK" w:hAnsi="方正小标宋_GBK" w:eastAsia="方正小标宋_GBK" w:cs="方正小标宋_GBK"/>
          <w:sz w:val="84"/>
          <w:szCs w:val="84"/>
          <w:lang w:val="en-US" w:eastAsia="zh-CN"/>
        </w:rPr>
        <w:t>4</w:t>
      </w:r>
      <w:r>
        <w:rPr>
          <w:rFonts w:hint="eastAsia" w:ascii="方正小标宋_GBK" w:hAnsi="方正小标宋_GBK" w:eastAsia="方正小标宋_GBK" w:cs="方正小标宋_GBK"/>
          <w:sz w:val="84"/>
          <w:szCs w:val="84"/>
          <w:lang w:eastAsia="zh-CN"/>
        </w:rPr>
        <w:t>年度</w:t>
      </w:r>
    </w:p>
    <w:p w14:paraId="55F18147">
      <w:pPr>
        <w:pStyle w:val="14"/>
        <w:jc w:val="center"/>
        <w:rPr>
          <w:rFonts w:hint="eastAsia" w:ascii="方正小标宋_GBK" w:hAnsi="方正小标宋_GBK" w:eastAsia="方正小标宋_GBK" w:cs="方正小标宋_GBK"/>
          <w:sz w:val="84"/>
          <w:szCs w:val="84"/>
          <w:lang w:eastAsia="zh-CN"/>
        </w:rPr>
      </w:pPr>
      <w:r>
        <w:rPr>
          <w:rFonts w:hint="eastAsia" w:ascii="方正小标宋_GBK" w:hAnsi="方正小标宋_GBK" w:eastAsia="方正小标宋_GBK" w:cs="方正小标宋_GBK"/>
          <w:sz w:val="84"/>
          <w:szCs w:val="84"/>
          <w:lang w:eastAsia="zh-CN"/>
        </w:rPr>
        <w:t>岳阳市巴陵戏传承研究院</w:t>
      </w:r>
    </w:p>
    <w:p w14:paraId="6934EBE9">
      <w:pPr>
        <w:pStyle w:val="14"/>
        <w:jc w:val="center"/>
        <w:rPr>
          <w:rFonts w:hint="eastAsia" w:ascii="方正小标宋_GBK" w:hAnsi="方正小标宋_GBK" w:eastAsia="方正小标宋_GBK" w:cs="方正小标宋_GBK"/>
          <w:sz w:val="84"/>
          <w:szCs w:val="84"/>
        </w:rPr>
      </w:pPr>
      <w:r>
        <w:rPr>
          <w:rFonts w:hint="eastAsia" w:ascii="方正小标宋_GBK" w:hAnsi="方正小标宋_GBK" w:eastAsia="方正小标宋_GBK" w:cs="方正小标宋_GBK"/>
          <w:sz w:val="84"/>
          <w:szCs w:val="84"/>
        </w:rPr>
        <w:t>部门决算</w:t>
      </w:r>
    </w:p>
    <w:p w14:paraId="3A699C16">
      <w:pPr>
        <w:pStyle w:val="14"/>
        <w:jc w:val="center"/>
        <w:rPr>
          <w:rFonts w:hint="eastAsia" w:ascii="方正小标宋_GBK" w:hAnsi="方正小标宋_GBK" w:eastAsia="方正小标宋_GBK" w:cs="方正小标宋_GBK"/>
          <w:sz w:val="56"/>
          <w:szCs w:val="56"/>
        </w:rPr>
      </w:pPr>
    </w:p>
    <w:p w14:paraId="72C8FB58">
      <w:pPr>
        <w:pStyle w:val="14"/>
        <w:jc w:val="center"/>
        <w:rPr>
          <w:sz w:val="56"/>
          <w:szCs w:val="56"/>
        </w:rPr>
      </w:pPr>
    </w:p>
    <w:p w14:paraId="25018D25">
      <w:pPr>
        <w:pStyle w:val="14"/>
        <w:jc w:val="center"/>
        <w:rPr>
          <w:sz w:val="56"/>
          <w:szCs w:val="56"/>
        </w:rPr>
      </w:pPr>
    </w:p>
    <w:p w14:paraId="5EE73A38">
      <w:pPr>
        <w:pStyle w:val="14"/>
        <w:jc w:val="center"/>
        <w:rPr>
          <w:sz w:val="56"/>
          <w:szCs w:val="56"/>
        </w:rPr>
      </w:pPr>
    </w:p>
    <w:p w14:paraId="297571C5">
      <w:pPr>
        <w:pStyle w:val="14"/>
        <w:jc w:val="center"/>
        <w:rPr>
          <w:sz w:val="32"/>
          <w:szCs w:val="32"/>
        </w:rPr>
      </w:pPr>
    </w:p>
    <w:p w14:paraId="08493D1E">
      <w:pPr>
        <w:pStyle w:val="14"/>
        <w:jc w:val="center"/>
        <w:rPr>
          <w:sz w:val="32"/>
          <w:szCs w:val="32"/>
        </w:rPr>
      </w:pPr>
    </w:p>
    <w:p w14:paraId="5BD6E8BD">
      <w:pPr>
        <w:pStyle w:val="14"/>
        <w:jc w:val="center"/>
        <w:rPr>
          <w:sz w:val="32"/>
          <w:szCs w:val="32"/>
        </w:rPr>
      </w:pPr>
    </w:p>
    <w:p w14:paraId="1062A3B4">
      <w:pPr>
        <w:pStyle w:val="14"/>
        <w:jc w:val="center"/>
        <w:rPr>
          <w:sz w:val="32"/>
          <w:szCs w:val="32"/>
        </w:rPr>
      </w:pPr>
    </w:p>
    <w:p w14:paraId="24F3309B">
      <w:pPr>
        <w:pStyle w:val="14"/>
        <w:keepNext w:val="0"/>
        <w:keepLines w:val="0"/>
        <w:pageBreakBefore w:val="0"/>
        <w:widowControl w:val="0"/>
        <w:kinsoku/>
        <w:wordWrap/>
        <w:overflowPunct/>
        <w:topLinePunct w:val="0"/>
        <w:autoSpaceDE w:val="0"/>
        <w:autoSpaceDN w:val="0"/>
        <w:bidi w:val="0"/>
        <w:adjustRightInd w:val="0"/>
        <w:snapToGrid/>
        <w:spacing w:line="480" w:lineRule="exact"/>
        <w:jc w:val="center"/>
        <w:textAlignment w:val="auto"/>
        <w:rPr>
          <w:b/>
          <w:sz w:val="36"/>
          <w:szCs w:val="28"/>
        </w:rPr>
      </w:pPr>
      <w:r>
        <w:rPr>
          <w:rFonts w:hint="eastAsia"/>
          <w:b/>
          <w:sz w:val="36"/>
          <w:szCs w:val="28"/>
        </w:rPr>
        <w:t>目</w:t>
      </w:r>
      <w:r>
        <w:rPr>
          <w:rFonts w:hint="eastAsia"/>
          <w:b/>
          <w:sz w:val="36"/>
          <w:szCs w:val="28"/>
          <w:lang w:val="en-US" w:eastAsia="zh-CN"/>
        </w:rPr>
        <w:t xml:space="preserve">  </w:t>
      </w:r>
      <w:r>
        <w:rPr>
          <w:rFonts w:hint="eastAsia"/>
          <w:b/>
          <w:sz w:val="36"/>
          <w:szCs w:val="28"/>
        </w:rPr>
        <w:t>录</w:t>
      </w:r>
    </w:p>
    <w:p w14:paraId="6CBD0C22">
      <w:pPr>
        <w:pStyle w:val="14"/>
        <w:keepNext w:val="0"/>
        <w:keepLines w:val="0"/>
        <w:pageBreakBefore w:val="0"/>
        <w:widowControl w:val="0"/>
        <w:kinsoku/>
        <w:wordWrap/>
        <w:overflowPunct/>
        <w:topLinePunct w:val="0"/>
        <w:autoSpaceDE w:val="0"/>
        <w:autoSpaceDN w:val="0"/>
        <w:bidi w:val="0"/>
        <w:adjustRightInd w:val="0"/>
        <w:snapToGrid/>
        <w:spacing w:line="480" w:lineRule="exact"/>
        <w:textAlignment w:val="auto"/>
        <w:rPr>
          <w:rFonts w:hint="eastAsia" w:ascii="黑体" w:hAnsi="黑体" w:eastAsia="黑体" w:cs="黑体"/>
          <w:b w:val="0"/>
          <w:bCs/>
          <w:sz w:val="28"/>
          <w:szCs w:val="28"/>
        </w:rPr>
      </w:pPr>
      <w:r>
        <w:rPr>
          <w:rFonts w:hint="eastAsia" w:ascii="黑体" w:hAnsi="黑体" w:eastAsia="黑体" w:cs="黑体"/>
          <w:b w:val="0"/>
          <w:bCs/>
          <w:sz w:val="28"/>
          <w:szCs w:val="28"/>
        </w:rPr>
        <w:t>第一部分</w:t>
      </w:r>
      <w:r>
        <w:rPr>
          <w:rFonts w:hint="eastAsia" w:ascii="黑体" w:hAnsi="黑体" w:eastAsia="黑体" w:cs="黑体"/>
          <w:b w:val="0"/>
          <w:bCs/>
          <w:sz w:val="28"/>
          <w:szCs w:val="28"/>
          <w:lang w:val="en-US" w:eastAsia="zh-CN"/>
        </w:rPr>
        <w:t xml:space="preserve"> </w:t>
      </w:r>
      <w:r>
        <w:rPr>
          <w:rFonts w:hint="eastAsia" w:hAnsi="黑体" w:cs="黑体"/>
          <w:b w:val="0"/>
          <w:bCs/>
          <w:sz w:val="28"/>
          <w:szCs w:val="28"/>
          <w:lang w:val="en-US" w:eastAsia="zh-CN"/>
        </w:rPr>
        <w:t>岳阳市巴陵戏传承研究院</w:t>
      </w:r>
      <w:r>
        <w:rPr>
          <w:rFonts w:hint="eastAsia" w:ascii="黑体" w:hAnsi="黑体" w:eastAsia="黑体" w:cs="黑体"/>
          <w:b w:val="0"/>
          <w:bCs/>
          <w:sz w:val="28"/>
          <w:szCs w:val="28"/>
        </w:rPr>
        <w:t>概况</w:t>
      </w:r>
    </w:p>
    <w:p w14:paraId="060CB1DC">
      <w:pPr>
        <w:pStyle w:val="14"/>
        <w:keepNext w:val="0"/>
        <w:keepLines w:val="0"/>
        <w:pageBreakBefore w:val="0"/>
        <w:widowControl w:val="0"/>
        <w:kinsoku/>
        <w:wordWrap/>
        <w:overflowPunct/>
        <w:topLinePunct w:val="0"/>
        <w:autoSpaceDE w:val="0"/>
        <w:autoSpaceDN w:val="0"/>
        <w:bidi w:val="0"/>
        <w:adjustRightInd w:val="0"/>
        <w:snapToGrid/>
        <w:spacing w:line="480" w:lineRule="exact"/>
        <w:ind w:firstLine="1260" w:firstLineChars="450"/>
        <w:textAlignment w:val="auto"/>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一、部门职责</w:t>
      </w:r>
    </w:p>
    <w:p w14:paraId="315E49DA">
      <w:pPr>
        <w:pStyle w:val="14"/>
        <w:keepNext w:val="0"/>
        <w:keepLines w:val="0"/>
        <w:pageBreakBefore w:val="0"/>
        <w:widowControl w:val="0"/>
        <w:kinsoku/>
        <w:wordWrap/>
        <w:overflowPunct/>
        <w:topLinePunct w:val="0"/>
        <w:autoSpaceDE w:val="0"/>
        <w:autoSpaceDN w:val="0"/>
        <w:bidi w:val="0"/>
        <w:adjustRightInd w:val="0"/>
        <w:snapToGrid/>
        <w:spacing w:line="480" w:lineRule="exact"/>
        <w:ind w:firstLine="1260" w:firstLineChars="450"/>
        <w:textAlignment w:val="auto"/>
        <w:rPr>
          <w:rFonts w:hint="eastAsia" w:ascii="仿宋_GB2312" w:hAnsi="仿宋_GB2312" w:eastAsia="仿宋_GB2312" w:cs="仿宋_GB2312"/>
          <w:sz w:val="28"/>
          <w:szCs w:val="28"/>
          <w:lang w:eastAsia="zh-CN"/>
        </w:rPr>
      </w:pPr>
      <w:r>
        <w:rPr>
          <w:rFonts w:hint="eastAsia" w:ascii="仿宋_GB2312" w:hAnsi="仿宋_GB2312" w:eastAsia="仿宋_GB2312" w:cs="仿宋_GB2312"/>
          <w:sz w:val="28"/>
          <w:szCs w:val="28"/>
        </w:rPr>
        <w:t>二、机构设置</w:t>
      </w:r>
      <w:r>
        <w:rPr>
          <w:rFonts w:hint="eastAsia" w:ascii="仿宋_GB2312" w:hAnsi="仿宋_GB2312" w:eastAsia="仿宋_GB2312" w:cs="仿宋_GB2312"/>
          <w:sz w:val="28"/>
          <w:szCs w:val="28"/>
          <w:lang w:eastAsia="zh-CN"/>
        </w:rPr>
        <w:t>及决算单位构成</w:t>
      </w:r>
    </w:p>
    <w:p w14:paraId="3CE431DD">
      <w:pPr>
        <w:pStyle w:val="14"/>
        <w:keepNext w:val="0"/>
        <w:keepLines w:val="0"/>
        <w:pageBreakBefore w:val="0"/>
        <w:widowControl w:val="0"/>
        <w:kinsoku/>
        <w:wordWrap/>
        <w:overflowPunct/>
        <w:topLinePunct w:val="0"/>
        <w:autoSpaceDE w:val="0"/>
        <w:autoSpaceDN w:val="0"/>
        <w:bidi w:val="0"/>
        <w:adjustRightInd w:val="0"/>
        <w:snapToGrid/>
        <w:spacing w:line="480" w:lineRule="exact"/>
        <w:textAlignment w:val="auto"/>
        <w:rPr>
          <w:rFonts w:hint="eastAsia" w:ascii="黑体" w:hAnsi="黑体" w:eastAsia="黑体" w:cs="黑体"/>
          <w:b w:val="0"/>
          <w:bCs/>
          <w:sz w:val="28"/>
          <w:szCs w:val="28"/>
        </w:rPr>
      </w:pPr>
      <w:r>
        <w:rPr>
          <w:rFonts w:hint="eastAsia" w:ascii="黑体" w:hAnsi="黑体" w:eastAsia="黑体" w:cs="黑体"/>
          <w:b w:val="0"/>
          <w:bCs/>
          <w:sz w:val="28"/>
          <w:szCs w:val="28"/>
        </w:rPr>
        <w:t>第二部分</w:t>
      </w:r>
      <w:r>
        <w:rPr>
          <w:rFonts w:hint="eastAsia" w:ascii="黑体" w:hAnsi="黑体" w:eastAsia="黑体" w:cs="黑体"/>
          <w:b w:val="0"/>
          <w:bCs/>
          <w:sz w:val="28"/>
          <w:szCs w:val="28"/>
          <w:lang w:val="en-US" w:eastAsia="zh-CN"/>
        </w:rPr>
        <w:t xml:space="preserve"> </w:t>
      </w:r>
      <w:r>
        <w:rPr>
          <w:rFonts w:hint="eastAsia" w:ascii="黑体" w:hAnsi="黑体" w:eastAsia="黑体" w:cs="黑体"/>
          <w:b w:val="0"/>
          <w:bCs/>
          <w:sz w:val="28"/>
          <w:szCs w:val="28"/>
        </w:rPr>
        <w:t>部门决算表</w:t>
      </w:r>
    </w:p>
    <w:p w14:paraId="4B1DE222">
      <w:pPr>
        <w:pStyle w:val="14"/>
        <w:keepNext w:val="0"/>
        <w:keepLines w:val="0"/>
        <w:pageBreakBefore w:val="0"/>
        <w:widowControl w:val="0"/>
        <w:kinsoku/>
        <w:wordWrap/>
        <w:overflowPunct/>
        <w:topLinePunct w:val="0"/>
        <w:autoSpaceDE w:val="0"/>
        <w:autoSpaceDN w:val="0"/>
        <w:bidi w:val="0"/>
        <w:adjustRightInd w:val="0"/>
        <w:snapToGrid/>
        <w:spacing w:line="480" w:lineRule="exact"/>
        <w:ind w:firstLine="1260" w:firstLineChars="450"/>
        <w:textAlignment w:val="auto"/>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一、收入支出决算总表</w:t>
      </w:r>
    </w:p>
    <w:p w14:paraId="28DAEA9B">
      <w:pPr>
        <w:pStyle w:val="14"/>
        <w:keepNext w:val="0"/>
        <w:keepLines w:val="0"/>
        <w:pageBreakBefore w:val="0"/>
        <w:widowControl w:val="0"/>
        <w:kinsoku/>
        <w:wordWrap/>
        <w:overflowPunct/>
        <w:topLinePunct w:val="0"/>
        <w:autoSpaceDE w:val="0"/>
        <w:autoSpaceDN w:val="0"/>
        <w:bidi w:val="0"/>
        <w:adjustRightInd w:val="0"/>
        <w:snapToGrid/>
        <w:spacing w:line="480" w:lineRule="exact"/>
        <w:ind w:firstLine="1260" w:firstLineChars="450"/>
        <w:textAlignment w:val="auto"/>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二、收入决算表</w:t>
      </w:r>
    </w:p>
    <w:p w14:paraId="4189E141">
      <w:pPr>
        <w:pStyle w:val="14"/>
        <w:keepNext w:val="0"/>
        <w:keepLines w:val="0"/>
        <w:pageBreakBefore w:val="0"/>
        <w:widowControl w:val="0"/>
        <w:kinsoku/>
        <w:wordWrap/>
        <w:overflowPunct/>
        <w:topLinePunct w:val="0"/>
        <w:autoSpaceDE w:val="0"/>
        <w:autoSpaceDN w:val="0"/>
        <w:bidi w:val="0"/>
        <w:adjustRightInd w:val="0"/>
        <w:snapToGrid/>
        <w:spacing w:line="480" w:lineRule="exact"/>
        <w:ind w:firstLine="1260" w:firstLineChars="450"/>
        <w:textAlignment w:val="auto"/>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三、支出决算表</w:t>
      </w:r>
    </w:p>
    <w:p w14:paraId="0621647E">
      <w:pPr>
        <w:pStyle w:val="14"/>
        <w:keepNext w:val="0"/>
        <w:keepLines w:val="0"/>
        <w:pageBreakBefore w:val="0"/>
        <w:widowControl w:val="0"/>
        <w:kinsoku/>
        <w:wordWrap/>
        <w:overflowPunct/>
        <w:topLinePunct w:val="0"/>
        <w:autoSpaceDE w:val="0"/>
        <w:autoSpaceDN w:val="0"/>
        <w:bidi w:val="0"/>
        <w:adjustRightInd w:val="0"/>
        <w:snapToGrid/>
        <w:spacing w:line="480" w:lineRule="exact"/>
        <w:ind w:firstLine="1260" w:firstLineChars="450"/>
        <w:textAlignment w:val="auto"/>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四、财政拨款收入支出决算总表</w:t>
      </w:r>
    </w:p>
    <w:p w14:paraId="28E0B171">
      <w:pPr>
        <w:pStyle w:val="14"/>
        <w:keepNext w:val="0"/>
        <w:keepLines w:val="0"/>
        <w:pageBreakBefore w:val="0"/>
        <w:widowControl w:val="0"/>
        <w:kinsoku/>
        <w:wordWrap/>
        <w:overflowPunct/>
        <w:topLinePunct w:val="0"/>
        <w:autoSpaceDE w:val="0"/>
        <w:autoSpaceDN w:val="0"/>
        <w:bidi w:val="0"/>
        <w:adjustRightInd w:val="0"/>
        <w:snapToGrid/>
        <w:spacing w:line="480" w:lineRule="exact"/>
        <w:ind w:firstLine="1260" w:firstLineChars="450"/>
        <w:textAlignment w:val="auto"/>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五、一般公共预算财政拨款支出决算表</w:t>
      </w:r>
    </w:p>
    <w:p w14:paraId="0A1DA969">
      <w:pPr>
        <w:pStyle w:val="14"/>
        <w:keepNext w:val="0"/>
        <w:keepLines w:val="0"/>
        <w:pageBreakBefore w:val="0"/>
        <w:widowControl w:val="0"/>
        <w:kinsoku/>
        <w:wordWrap/>
        <w:overflowPunct/>
        <w:topLinePunct w:val="0"/>
        <w:autoSpaceDE w:val="0"/>
        <w:autoSpaceDN w:val="0"/>
        <w:bidi w:val="0"/>
        <w:adjustRightInd w:val="0"/>
        <w:snapToGrid/>
        <w:spacing w:line="480" w:lineRule="exact"/>
        <w:ind w:firstLine="1260" w:firstLineChars="450"/>
        <w:textAlignment w:val="auto"/>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六、一般公共预算财政拨款基本支出决算明细表</w:t>
      </w:r>
    </w:p>
    <w:p w14:paraId="62E9A333">
      <w:pPr>
        <w:pStyle w:val="14"/>
        <w:keepNext w:val="0"/>
        <w:keepLines w:val="0"/>
        <w:pageBreakBefore w:val="0"/>
        <w:widowControl w:val="0"/>
        <w:kinsoku/>
        <w:wordWrap/>
        <w:overflowPunct/>
        <w:topLinePunct w:val="0"/>
        <w:autoSpaceDE w:val="0"/>
        <w:autoSpaceDN w:val="0"/>
        <w:bidi w:val="0"/>
        <w:adjustRightInd w:val="0"/>
        <w:snapToGrid/>
        <w:spacing w:line="480" w:lineRule="exact"/>
        <w:ind w:firstLine="1260" w:firstLineChars="450"/>
        <w:textAlignment w:val="auto"/>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七、政府性基金预算财政拨款收入支出决算表</w:t>
      </w:r>
    </w:p>
    <w:p w14:paraId="316661B6">
      <w:pPr>
        <w:pStyle w:val="14"/>
        <w:keepNext w:val="0"/>
        <w:keepLines w:val="0"/>
        <w:pageBreakBefore w:val="0"/>
        <w:widowControl w:val="0"/>
        <w:kinsoku/>
        <w:wordWrap/>
        <w:overflowPunct/>
        <w:topLinePunct w:val="0"/>
        <w:autoSpaceDE w:val="0"/>
        <w:autoSpaceDN w:val="0"/>
        <w:bidi w:val="0"/>
        <w:adjustRightInd w:val="0"/>
        <w:snapToGrid/>
        <w:spacing w:line="480" w:lineRule="exact"/>
        <w:ind w:firstLine="1260" w:firstLineChars="450"/>
        <w:textAlignment w:val="auto"/>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八、国有资本经营预算财政拨款支出决算表</w:t>
      </w:r>
    </w:p>
    <w:p w14:paraId="23827588">
      <w:pPr>
        <w:pStyle w:val="14"/>
        <w:keepNext w:val="0"/>
        <w:keepLines w:val="0"/>
        <w:pageBreakBefore w:val="0"/>
        <w:widowControl w:val="0"/>
        <w:kinsoku/>
        <w:wordWrap/>
        <w:overflowPunct/>
        <w:topLinePunct w:val="0"/>
        <w:autoSpaceDE w:val="0"/>
        <w:autoSpaceDN w:val="0"/>
        <w:bidi w:val="0"/>
        <w:adjustRightInd w:val="0"/>
        <w:snapToGrid/>
        <w:spacing w:line="480" w:lineRule="exact"/>
        <w:ind w:firstLine="1260" w:firstLineChars="450"/>
        <w:textAlignment w:val="auto"/>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九、财政拨款“三公”经费支出决算表</w:t>
      </w:r>
    </w:p>
    <w:p w14:paraId="69B4707F">
      <w:pPr>
        <w:pStyle w:val="14"/>
        <w:keepNext w:val="0"/>
        <w:keepLines w:val="0"/>
        <w:pageBreakBefore w:val="0"/>
        <w:widowControl w:val="0"/>
        <w:kinsoku/>
        <w:wordWrap/>
        <w:overflowPunct/>
        <w:topLinePunct w:val="0"/>
        <w:autoSpaceDE w:val="0"/>
        <w:autoSpaceDN w:val="0"/>
        <w:bidi w:val="0"/>
        <w:adjustRightInd w:val="0"/>
        <w:snapToGrid/>
        <w:spacing w:line="480" w:lineRule="exact"/>
        <w:textAlignment w:val="auto"/>
        <w:rPr>
          <w:rFonts w:hint="eastAsia" w:ascii="黑体" w:hAnsi="黑体" w:eastAsia="黑体" w:cs="黑体"/>
          <w:b w:val="0"/>
          <w:bCs/>
          <w:sz w:val="28"/>
          <w:szCs w:val="28"/>
        </w:rPr>
      </w:pPr>
      <w:r>
        <w:rPr>
          <w:rFonts w:hint="eastAsia" w:ascii="黑体" w:hAnsi="黑体" w:eastAsia="黑体" w:cs="黑体"/>
          <w:b w:val="0"/>
          <w:bCs/>
          <w:sz w:val="28"/>
          <w:szCs w:val="28"/>
        </w:rPr>
        <w:t>第三部分</w:t>
      </w:r>
      <w:r>
        <w:rPr>
          <w:rFonts w:hint="eastAsia" w:ascii="黑体" w:hAnsi="黑体" w:eastAsia="黑体" w:cs="黑体"/>
          <w:b w:val="0"/>
          <w:bCs/>
          <w:sz w:val="28"/>
          <w:szCs w:val="28"/>
          <w:lang w:val="en-US" w:eastAsia="zh-CN"/>
        </w:rPr>
        <w:t xml:space="preserve"> </w:t>
      </w:r>
      <w:r>
        <w:rPr>
          <w:rFonts w:hint="eastAsia" w:ascii="黑体" w:hAnsi="黑体" w:eastAsia="黑体" w:cs="黑体"/>
          <w:b w:val="0"/>
          <w:bCs/>
          <w:sz w:val="28"/>
          <w:szCs w:val="28"/>
        </w:rPr>
        <w:t>部门决算情况说明</w:t>
      </w:r>
    </w:p>
    <w:p w14:paraId="30D2819C">
      <w:pPr>
        <w:pStyle w:val="14"/>
        <w:keepNext w:val="0"/>
        <w:keepLines w:val="0"/>
        <w:pageBreakBefore w:val="0"/>
        <w:widowControl w:val="0"/>
        <w:kinsoku/>
        <w:wordWrap/>
        <w:overflowPunct/>
        <w:topLinePunct w:val="0"/>
        <w:autoSpaceDE w:val="0"/>
        <w:autoSpaceDN w:val="0"/>
        <w:bidi w:val="0"/>
        <w:adjustRightInd w:val="0"/>
        <w:snapToGrid/>
        <w:spacing w:line="480" w:lineRule="exact"/>
        <w:ind w:firstLine="1260" w:firstLineChars="450"/>
        <w:textAlignment w:val="auto"/>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一、收入支出决算总体情况说明</w:t>
      </w:r>
    </w:p>
    <w:p w14:paraId="2F99AFEC">
      <w:pPr>
        <w:pStyle w:val="14"/>
        <w:keepNext w:val="0"/>
        <w:keepLines w:val="0"/>
        <w:pageBreakBefore w:val="0"/>
        <w:widowControl w:val="0"/>
        <w:kinsoku/>
        <w:wordWrap/>
        <w:overflowPunct/>
        <w:topLinePunct w:val="0"/>
        <w:autoSpaceDE w:val="0"/>
        <w:autoSpaceDN w:val="0"/>
        <w:bidi w:val="0"/>
        <w:adjustRightInd w:val="0"/>
        <w:snapToGrid/>
        <w:spacing w:line="480" w:lineRule="exact"/>
        <w:ind w:firstLine="1260" w:firstLineChars="450"/>
        <w:textAlignment w:val="auto"/>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二、收入决算情况说明</w:t>
      </w:r>
    </w:p>
    <w:p w14:paraId="69796A82">
      <w:pPr>
        <w:pStyle w:val="14"/>
        <w:keepNext w:val="0"/>
        <w:keepLines w:val="0"/>
        <w:pageBreakBefore w:val="0"/>
        <w:widowControl w:val="0"/>
        <w:kinsoku/>
        <w:wordWrap/>
        <w:overflowPunct/>
        <w:topLinePunct w:val="0"/>
        <w:autoSpaceDE w:val="0"/>
        <w:autoSpaceDN w:val="0"/>
        <w:bidi w:val="0"/>
        <w:adjustRightInd w:val="0"/>
        <w:snapToGrid/>
        <w:spacing w:line="480" w:lineRule="exact"/>
        <w:ind w:firstLine="1260" w:firstLineChars="450"/>
        <w:textAlignment w:val="auto"/>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三、支出决算情况说明</w:t>
      </w:r>
    </w:p>
    <w:p w14:paraId="42F5763D">
      <w:pPr>
        <w:pStyle w:val="14"/>
        <w:keepNext w:val="0"/>
        <w:keepLines w:val="0"/>
        <w:pageBreakBefore w:val="0"/>
        <w:widowControl w:val="0"/>
        <w:kinsoku/>
        <w:wordWrap/>
        <w:overflowPunct/>
        <w:topLinePunct w:val="0"/>
        <w:autoSpaceDE w:val="0"/>
        <w:autoSpaceDN w:val="0"/>
        <w:bidi w:val="0"/>
        <w:adjustRightInd w:val="0"/>
        <w:snapToGrid/>
        <w:spacing w:line="480" w:lineRule="exact"/>
        <w:ind w:firstLine="1260" w:firstLineChars="450"/>
        <w:textAlignment w:val="auto"/>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四、财政拨款收入支出决算总体情况说明</w:t>
      </w:r>
    </w:p>
    <w:p w14:paraId="4551B6B2">
      <w:pPr>
        <w:pStyle w:val="14"/>
        <w:keepNext w:val="0"/>
        <w:keepLines w:val="0"/>
        <w:pageBreakBefore w:val="0"/>
        <w:widowControl w:val="0"/>
        <w:kinsoku/>
        <w:wordWrap/>
        <w:overflowPunct/>
        <w:topLinePunct w:val="0"/>
        <w:autoSpaceDE w:val="0"/>
        <w:autoSpaceDN w:val="0"/>
        <w:bidi w:val="0"/>
        <w:adjustRightInd w:val="0"/>
        <w:snapToGrid/>
        <w:spacing w:line="480" w:lineRule="exact"/>
        <w:ind w:firstLine="1260" w:firstLineChars="450"/>
        <w:textAlignment w:val="auto"/>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五、一般公共预算财政拨款支出决算情况说明</w:t>
      </w:r>
    </w:p>
    <w:p w14:paraId="0BC2CE30">
      <w:pPr>
        <w:pStyle w:val="14"/>
        <w:keepNext w:val="0"/>
        <w:keepLines w:val="0"/>
        <w:pageBreakBefore w:val="0"/>
        <w:widowControl w:val="0"/>
        <w:kinsoku/>
        <w:wordWrap/>
        <w:overflowPunct/>
        <w:topLinePunct w:val="0"/>
        <w:autoSpaceDE w:val="0"/>
        <w:autoSpaceDN w:val="0"/>
        <w:bidi w:val="0"/>
        <w:adjustRightInd w:val="0"/>
        <w:snapToGrid/>
        <w:spacing w:line="480" w:lineRule="exact"/>
        <w:ind w:firstLine="1260" w:firstLineChars="450"/>
        <w:textAlignment w:val="auto"/>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六、一般公共预算财政拨款基本支出决算情况说明</w:t>
      </w:r>
    </w:p>
    <w:p w14:paraId="11D85543">
      <w:pPr>
        <w:pStyle w:val="14"/>
        <w:keepNext w:val="0"/>
        <w:keepLines w:val="0"/>
        <w:pageBreakBefore w:val="0"/>
        <w:widowControl w:val="0"/>
        <w:kinsoku/>
        <w:wordWrap/>
        <w:overflowPunct/>
        <w:topLinePunct w:val="0"/>
        <w:autoSpaceDE w:val="0"/>
        <w:autoSpaceDN w:val="0"/>
        <w:bidi w:val="0"/>
        <w:adjustRightInd w:val="0"/>
        <w:snapToGrid/>
        <w:spacing w:line="480" w:lineRule="exact"/>
        <w:ind w:firstLine="1260" w:firstLineChars="450"/>
        <w:textAlignment w:val="auto"/>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七、政府性基金预算收入支出决算情况</w:t>
      </w:r>
    </w:p>
    <w:p w14:paraId="5F6B554B">
      <w:pPr>
        <w:pStyle w:val="14"/>
        <w:keepNext w:val="0"/>
        <w:keepLines w:val="0"/>
        <w:pageBreakBefore w:val="0"/>
        <w:widowControl w:val="0"/>
        <w:kinsoku/>
        <w:wordWrap/>
        <w:overflowPunct/>
        <w:topLinePunct w:val="0"/>
        <w:autoSpaceDE w:val="0"/>
        <w:autoSpaceDN w:val="0"/>
        <w:bidi w:val="0"/>
        <w:adjustRightInd w:val="0"/>
        <w:snapToGrid/>
        <w:spacing w:line="480" w:lineRule="exact"/>
        <w:ind w:firstLine="1260" w:firstLineChars="450"/>
        <w:textAlignment w:val="auto"/>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八、国有资本经营预算财政拨款支出决算</w:t>
      </w:r>
      <w:r>
        <w:rPr>
          <w:rFonts w:hint="eastAsia" w:ascii="仿宋_GB2312" w:hAnsi="仿宋_GB2312" w:eastAsia="仿宋_GB2312" w:cs="仿宋_GB2312"/>
          <w:sz w:val="28"/>
          <w:szCs w:val="28"/>
          <w:lang w:eastAsia="zh-CN"/>
        </w:rPr>
        <w:t>情况</w:t>
      </w:r>
    </w:p>
    <w:p w14:paraId="71D9102A">
      <w:pPr>
        <w:pStyle w:val="14"/>
        <w:keepNext w:val="0"/>
        <w:keepLines w:val="0"/>
        <w:pageBreakBefore w:val="0"/>
        <w:widowControl w:val="0"/>
        <w:kinsoku/>
        <w:wordWrap/>
        <w:overflowPunct/>
        <w:topLinePunct w:val="0"/>
        <w:autoSpaceDE w:val="0"/>
        <w:autoSpaceDN w:val="0"/>
        <w:bidi w:val="0"/>
        <w:adjustRightInd w:val="0"/>
        <w:snapToGrid/>
        <w:spacing w:line="480" w:lineRule="exact"/>
        <w:ind w:firstLine="1260" w:firstLineChars="450"/>
        <w:textAlignment w:val="auto"/>
        <w:rPr>
          <w:rFonts w:hint="eastAsia" w:ascii="仿宋_GB2312" w:hAnsi="仿宋_GB2312" w:eastAsia="仿宋_GB2312" w:cs="仿宋_GB2312"/>
          <w:sz w:val="28"/>
          <w:szCs w:val="28"/>
          <w:lang w:eastAsia="zh-CN"/>
        </w:rPr>
      </w:pPr>
      <w:r>
        <w:rPr>
          <w:rFonts w:hint="eastAsia" w:ascii="仿宋_GB2312" w:hAnsi="仿宋_GB2312" w:eastAsia="仿宋_GB2312" w:cs="仿宋_GB2312"/>
          <w:sz w:val="28"/>
          <w:szCs w:val="28"/>
        </w:rPr>
        <w:t>九、财政拨款三公经费支出决算情况说明</w:t>
      </w:r>
    </w:p>
    <w:p w14:paraId="371B64F5">
      <w:pPr>
        <w:pStyle w:val="14"/>
        <w:keepNext w:val="0"/>
        <w:keepLines w:val="0"/>
        <w:pageBreakBefore w:val="0"/>
        <w:widowControl w:val="0"/>
        <w:kinsoku/>
        <w:wordWrap/>
        <w:overflowPunct/>
        <w:topLinePunct w:val="0"/>
        <w:autoSpaceDE w:val="0"/>
        <w:autoSpaceDN w:val="0"/>
        <w:bidi w:val="0"/>
        <w:adjustRightInd w:val="0"/>
        <w:snapToGrid/>
        <w:spacing w:line="480" w:lineRule="exact"/>
        <w:ind w:firstLine="1260" w:firstLineChars="450"/>
        <w:textAlignment w:val="auto"/>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十、关于机关运行经费支出说明</w:t>
      </w:r>
    </w:p>
    <w:p w14:paraId="1624E73C">
      <w:pPr>
        <w:pStyle w:val="14"/>
        <w:keepNext w:val="0"/>
        <w:keepLines w:val="0"/>
        <w:pageBreakBefore w:val="0"/>
        <w:widowControl w:val="0"/>
        <w:kinsoku/>
        <w:wordWrap/>
        <w:overflowPunct/>
        <w:topLinePunct w:val="0"/>
        <w:autoSpaceDE w:val="0"/>
        <w:autoSpaceDN w:val="0"/>
        <w:bidi w:val="0"/>
        <w:adjustRightInd w:val="0"/>
        <w:snapToGrid/>
        <w:spacing w:line="480" w:lineRule="exact"/>
        <w:ind w:firstLine="1260" w:firstLineChars="450"/>
        <w:textAlignment w:val="auto"/>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十一、一般性支出情况说明</w:t>
      </w:r>
    </w:p>
    <w:p w14:paraId="6C86A3EF">
      <w:pPr>
        <w:pStyle w:val="14"/>
        <w:keepNext w:val="0"/>
        <w:keepLines w:val="0"/>
        <w:pageBreakBefore w:val="0"/>
        <w:widowControl w:val="0"/>
        <w:kinsoku/>
        <w:wordWrap/>
        <w:overflowPunct/>
        <w:topLinePunct w:val="0"/>
        <w:autoSpaceDE w:val="0"/>
        <w:autoSpaceDN w:val="0"/>
        <w:bidi w:val="0"/>
        <w:adjustRightInd w:val="0"/>
        <w:snapToGrid/>
        <w:spacing w:line="480" w:lineRule="exact"/>
        <w:ind w:firstLine="1260" w:firstLineChars="450"/>
        <w:textAlignment w:val="auto"/>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十二、关于政府采购支出说明</w:t>
      </w:r>
    </w:p>
    <w:p w14:paraId="5E15A642">
      <w:pPr>
        <w:pStyle w:val="14"/>
        <w:keepNext w:val="0"/>
        <w:keepLines w:val="0"/>
        <w:pageBreakBefore w:val="0"/>
        <w:widowControl w:val="0"/>
        <w:kinsoku/>
        <w:wordWrap/>
        <w:overflowPunct/>
        <w:topLinePunct w:val="0"/>
        <w:autoSpaceDE w:val="0"/>
        <w:autoSpaceDN w:val="0"/>
        <w:bidi w:val="0"/>
        <w:adjustRightInd w:val="0"/>
        <w:snapToGrid/>
        <w:spacing w:line="480" w:lineRule="exact"/>
        <w:ind w:firstLine="1260" w:firstLineChars="450"/>
        <w:textAlignment w:val="auto"/>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十三、关于国有资产占用情况说明</w:t>
      </w:r>
    </w:p>
    <w:p w14:paraId="5BD7D26C">
      <w:pPr>
        <w:pStyle w:val="14"/>
        <w:keepNext w:val="0"/>
        <w:keepLines w:val="0"/>
        <w:pageBreakBefore w:val="0"/>
        <w:widowControl w:val="0"/>
        <w:kinsoku/>
        <w:wordWrap/>
        <w:overflowPunct/>
        <w:topLinePunct w:val="0"/>
        <w:autoSpaceDE w:val="0"/>
        <w:autoSpaceDN w:val="0"/>
        <w:bidi w:val="0"/>
        <w:adjustRightInd w:val="0"/>
        <w:snapToGrid/>
        <w:spacing w:line="480" w:lineRule="exact"/>
        <w:ind w:firstLine="1260" w:firstLineChars="450"/>
        <w:textAlignment w:val="auto"/>
        <w:rPr>
          <w:rFonts w:hint="eastAsia" w:ascii="仿宋_GB2312" w:hAnsi="仿宋_GB2312" w:eastAsia="仿宋_GB2312" w:cs="仿宋_GB2312"/>
          <w:sz w:val="28"/>
          <w:szCs w:val="28"/>
        </w:rPr>
      </w:pPr>
      <w:r>
        <w:rPr>
          <w:rFonts w:hint="eastAsia" w:ascii="仿宋_GB2312" w:hAnsi="仿宋_GB2312" w:eastAsia="仿宋_GB2312" w:cs="仿宋_GB2312"/>
          <w:sz w:val="28"/>
          <w:szCs w:val="28"/>
          <w:lang w:val="en-US" w:eastAsia="zh-CN"/>
        </w:rPr>
        <w:t>十四、</w:t>
      </w:r>
      <w:r>
        <w:rPr>
          <w:rFonts w:hint="eastAsia" w:ascii="仿宋_GB2312" w:hAnsi="仿宋_GB2312" w:eastAsia="仿宋_GB2312" w:cs="仿宋_GB2312"/>
          <w:sz w:val="28"/>
          <w:szCs w:val="28"/>
        </w:rPr>
        <w:t>关于</w:t>
      </w:r>
      <w:r>
        <w:rPr>
          <w:rFonts w:hint="default" w:ascii="仿宋_GB2312" w:hAnsi="仿宋_GB2312" w:eastAsia="仿宋_GB2312" w:cs="仿宋_GB2312"/>
          <w:sz w:val="28"/>
          <w:szCs w:val="28"/>
        </w:rPr>
        <w:t>202</w:t>
      </w:r>
      <w:r>
        <w:rPr>
          <w:rFonts w:hint="eastAsia" w:ascii="仿宋_GB2312" w:hAnsi="仿宋_GB2312" w:eastAsia="仿宋_GB2312" w:cs="仿宋_GB2312"/>
          <w:sz w:val="28"/>
          <w:szCs w:val="28"/>
          <w:lang w:val="en-US" w:eastAsia="zh-CN"/>
        </w:rPr>
        <w:t>4</w:t>
      </w:r>
      <w:r>
        <w:rPr>
          <w:rFonts w:hint="eastAsia" w:ascii="仿宋_GB2312" w:hAnsi="仿宋_GB2312" w:eastAsia="仿宋_GB2312" w:cs="仿宋_GB2312"/>
          <w:sz w:val="28"/>
          <w:szCs w:val="28"/>
        </w:rPr>
        <w:t>年度</w:t>
      </w:r>
      <w:r>
        <w:rPr>
          <w:rFonts w:hint="eastAsia" w:ascii="仿宋_GB2312" w:hAnsi="仿宋_GB2312" w:eastAsia="仿宋_GB2312" w:cs="仿宋_GB2312"/>
          <w:sz w:val="28"/>
          <w:szCs w:val="28"/>
          <w:lang w:eastAsia="zh-CN"/>
        </w:rPr>
        <w:t>预算</w:t>
      </w:r>
      <w:r>
        <w:rPr>
          <w:rFonts w:hint="eastAsia" w:ascii="仿宋_GB2312" w:hAnsi="仿宋_GB2312" w:eastAsia="仿宋_GB2312" w:cs="仿宋_GB2312"/>
          <w:sz w:val="28"/>
          <w:szCs w:val="28"/>
        </w:rPr>
        <w:t>绩效</w:t>
      </w:r>
      <w:r>
        <w:rPr>
          <w:rFonts w:hint="eastAsia" w:ascii="仿宋_GB2312" w:hAnsi="仿宋_GB2312" w:eastAsia="仿宋_GB2312" w:cs="仿宋_GB2312"/>
          <w:sz w:val="28"/>
          <w:szCs w:val="28"/>
          <w:lang w:eastAsia="zh-CN"/>
        </w:rPr>
        <w:t>管理</w:t>
      </w:r>
      <w:r>
        <w:rPr>
          <w:rFonts w:hint="eastAsia" w:ascii="仿宋_GB2312" w:hAnsi="仿宋_GB2312" w:eastAsia="仿宋_GB2312" w:cs="仿宋_GB2312"/>
          <w:sz w:val="28"/>
          <w:szCs w:val="28"/>
        </w:rPr>
        <w:t>情况的说明</w:t>
      </w:r>
    </w:p>
    <w:p w14:paraId="51852483">
      <w:pPr>
        <w:pStyle w:val="14"/>
        <w:keepNext w:val="0"/>
        <w:keepLines w:val="0"/>
        <w:pageBreakBefore w:val="0"/>
        <w:widowControl w:val="0"/>
        <w:kinsoku/>
        <w:wordWrap/>
        <w:overflowPunct/>
        <w:topLinePunct w:val="0"/>
        <w:autoSpaceDE w:val="0"/>
        <w:autoSpaceDN w:val="0"/>
        <w:bidi w:val="0"/>
        <w:adjustRightInd w:val="0"/>
        <w:snapToGrid/>
        <w:spacing w:line="480" w:lineRule="exact"/>
        <w:textAlignment w:val="auto"/>
        <w:rPr>
          <w:rFonts w:hint="eastAsia" w:ascii="黑体" w:hAnsi="黑体" w:eastAsia="黑体" w:cs="黑体"/>
          <w:b w:val="0"/>
          <w:bCs/>
          <w:sz w:val="28"/>
          <w:szCs w:val="28"/>
        </w:rPr>
      </w:pPr>
      <w:r>
        <w:rPr>
          <w:rFonts w:hint="eastAsia" w:ascii="黑体" w:hAnsi="黑体" w:eastAsia="黑体" w:cs="黑体"/>
          <w:b w:val="0"/>
          <w:bCs/>
          <w:sz w:val="28"/>
          <w:szCs w:val="28"/>
        </w:rPr>
        <w:t>第四部分</w:t>
      </w:r>
      <w:r>
        <w:rPr>
          <w:rFonts w:hint="eastAsia" w:ascii="黑体" w:hAnsi="黑体" w:eastAsia="黑体" w:cs="黑体"/>
          <w:b w:val="0"/>
          <w:bCs/>
          <w:sz w:val="28"/>
          <w:szCs w:val="28"/>
          <w:lang w:val="en-US" w:eastAsia="zh-CN"/>
        </w:rPr>
        <w:t xml:space="preserve"> </w:t>
      </w:r>
      <w:r>
        <w:rPr>
          <w:rFonts w:hint="eastAsia" w:ascii="黑体" w:hAnsi="黑体" w:eastAsia="黑体" w:cs="黑体"/>
          <w:b w:val="0"/>
          <w:bCs/>
          <w:sz w:val="28"/>
          <w:szCs w:val="28"/>
        </w:rPr>
        <w:t>名词解释</w:t>
      </w:r>
    </w:p>
    <w:p w14:paraId="7D866A9C">
      <w:pPr>
        <w:pStyle w:val="14"/>
        <w:keepNext w:val="0"/>
        <w:keepLines w:val="0"/>
        <w:pageBreakBefore w:val="0"/>
        <w:widowControl w:val="0"/>
        <w:kinsoku/>
        <w:wordWrap/>
        <w:overflowPunct/>
        <w:topLinePunct w:val="0"/>
        <w:autoSpaceDE w:val="0"/>
        <w:autoSpaceDN w:val="0"/>
        <w:bidi w:val="0"/>
        <w:adjustRightInd w:val="0"/>
        <w:snapToGrid/>
        <w:spacing w:line="480" w:lineRule="exact"/>
        <w:textAlignment w:val="auto"/>
        <w:rPr>
          <w:rFonts w:hint="eastAsia" w:ascii="黑体" w:hAnsi="黑体" w:eastAsia="黑体" w:cs="黑体"/>
          <w:b w:val="0"/>
          <w:bCs/>
          <w:sz w:val="28"/>
          <w:szCs w:val="28"/>
          <w:lang w:eastAsia="zh-CN"/>
        </w:rPr>
      </w:pPr>
      <w:r>
        <w:rPr>
          <w:rFonts w:hint="eastAsia" w:ascii="黑体" w:hAnsi="黑体" w:eastAsia="黑体" w:cs="黑体"/>
          <w:b w:val="0"/>
          <w:bCs/>
          <w:sz w:val="28"/>
          <w:szCs w:val="28"/>
        </w:rPr>
        <w:t>第</w:t>
      </w:r>
      <w:r>
        <w:rPr>
          <w:rFonts w:hint="eastAsia" w:hAnsi="黑体" w:cs="黑体"/>
          <w:b w:val="0"/>
          <w:bCs/>
          <w:sz w:val="28"/>
          <w:szCs w:val="28"/>
          <w:lang w:eastAsia="zh-CN"/>
        </w:rPr>
        <w:t>五</w:t>
      </w:r>
      <w:r>
        <w:rPr>
          <w:rFonts w:hint="eastAsia" w:ascii="黑体" w:hAnsi="黑体" w:eastAsia="黑体" w:cs="黑体"/>
          <w:b w:val="0"/>
          <w:bCs/>
          <w:sz w:val="28"/>
          <w:szCs w:val="28"/>
        </w:rPr>
        <w:t>部分</w:t>
      </w:r>
      <w:r>
        <w:rPr>
          <w:rFonts w:hint="eastAsia" w:ascii="黑体" w:hAnsi="黑体" w:eastAsia="黑体" w:cs="黑体"/>
          <w:b w:val="0"/>
          <w:bCs/>
          <w:sz w:val="28"/>
          <w:szCs w:val="28"/>
          <w:lang w:val="en-US" w:eastAsia="zh-CN"/>
        </w:rPr>
        <w:t xml:space="preserve"> </w:t>
      </w:r>
      <w:r>
        <w:rPr>
          <w:rFonts w:hint="eastAsia" w:hAnsi="黑体" w:cs="黑体"/>
          <w:b w:val="0"/>
          <w:bCs/>
          <w:sz w:val="28"/>
          <w:szCs w:val="28"/>
          <w:lang w:eastAsia="zh-CN"/>
        </w:rPr>
        <w:t>附件</w:t>
      </w:r>
    </w:p>
    <w:p w14:paraId="1BC20020">
      <w:pPr>
        <w:pStyle w:val="14"/>
        <w:jc w:val="center"/>
        <w:rPr>
          <w:rFonts w:hint="eastAsia" w:ascii="方正小标宋_GBK" w:hAnsi="方正小标宋_GBK" w:eastAsia="方正小标宋_GBK" w:cs="方正小标宋_GBK"/>
          <w:sz w:val="84"/>
          <w:szCs w:val="84"/>
        </w:rPr>
        <w:sectPr>
          <w:pgSz w:w="11906" w:h="16838"/>
          <w:pgMar w:top="720" w:right="720" w:bottom="720" w:left="720" w:header="851" w:footer="992" w:gutter="0"/>
          <w:cols w:space="425" w:num="1"/>
          <w:docGrid w:type="linesAndChars" w:linePitch="312" w:charSpace="0"/>
        </w:sectPr>
      </w:pPr>
    </w:p>
    <w:p w14:paraId="4F4865B7">
      <w:pPr>
        <w:pStyle w:val="14"/>
        <w:jc w:val="center"/>
        <w:rPr>
          <w:rFonts w:hint="eastAsia" w:ascii="方正小标宋_GBK" w:hAnsi="方正小标宋_GBK" w:eastAsia="方正小标宋_GBK" w:cs="方正小标宋_GBK"/>
          <w:sz w:val="84"/>
          <w:szCs w:val="84"/>
        </w:rPr>
      </w:pPr>
    </w:p>
    <w:p w14:paraId="34E3175D">
      <w:pPr>
        <w:pStyle w:val="14"/>
        <w:jc w:val="center"/>
        <w:rPr>
          <w:rFonts w:hint="eastAsia" w:ascii="方正小标宋_GBK" w:hAnsi="方正小标宋_GBK" w:eastAsia="方正小标宋_GBK" w:cs="方正小标宋_GBK"/>
          <w:sz w:val="84"/>
          <w:szCs w:val="84"/>
        </w:rPr>
      </w:pPr>
    </w:p>
    <w:p w14:paraId="0DEEC249">
      <w:pPr>
        <w:pStyle w:val="14"/>
        <w:jc w:val="center"/>
        <w:rPr>
          <w:rFonts w:hint="eastAsia" w:ascii="方正小标宋_GBK" w:hAnsi="方正小标宋_GBK" w:eastAsia="方正小标宋_GBK" w:cs="方正小标宋_GBK"/>
          <w:sz w:val="84"/>
          <w:szCs w:val="84"/>
        </w:rPr>
      </w:pPr>
      <w:r>
        <w:rPr>
          <w:rFonts w:hint="eastAsia" w:ascii="方正小标宋_GBK" w:hAnsi="方正小标宋_GBK" w:eastAsia="方正小标宋_GBK" w:cs="方正小标宋_GBK"/>
          <w:sz w:val="84"/>
          <w:szCs w:val="84"/>
        </w:rPr>
        <w:t xml:space="preserve">第一部分 </w:t>
      </w:r>
    </w:p>
    <w:p w14:paraId="5C6A94F8">
      <w:pPr>
        <w:pStyle w:val="14"/>
        <w:jc w:val="center"/>
        <w:rPr>
          <w:rFonts w:hint="eastAsia" w:ascii="方正小标宋_GBK" w:hAnsi="方正小标宋_GBK" w:eastAsia="方正小标宋_GBK" w:cs="方正小标宋_GBK"/>
          <w:sz w:val="32"/>
          <w:szCs w:val="32"/>
        </w:rPr>
      </w:pPr>
    </w:p>
    <w:p w14:paraId="5DF20C57">
      <w:pPr>
        <w:jc w:val="center"/>
        <w:rPr>
          <w:rFonts w:hint="eastAsia" w:ascii="方正小标宋_GBK" w:hAnsi="方正小标宋_GBK" w:eastAsia="方正小标宋_GBK" w:cs="方正小标宋_GBK"/>
          <w:sz w:val="84"/>
          <w:szCs w:val="84"/>
          <w:lang w:eastAsia="zh-CN"/>
        </w:rPr>
      </w:pPr>
      <w:r>
        <w:rPr>
          <w:rFonts w:hint="eastAsia" w:ascii="方正小标宋_GBK" w:hAnsi="方正小标宋_GBK" w:eastAsia="方正小标宋_GBK" w:cs="方正小标宋_GBK"/>
          <w:sz w:val="84"/>
          <w:szCs w:val="84"/>
          <w:lang w:eastAsia="zh-CN"/>
        </w:rPr>
        <w:t>岳阳市巴陵戏传承研究院</w:t>
      </w:r>
    </w:p>
    <w:p w14:paraId="5EF69A9D">
      <w:pPr>
        <w:jc w:val="center"/>
        <w:rPr>
          <w:rFonts w:hint="eastAsia" w:ascii="方正小标宋_GBK" w:hAnsi="方正小标宋_GBK" w:eastAsia="方正小标宋_GBK" w:cs="方正小标宋_GBK"/>
          <w:sz w:val="84"/>
          <w:szCs w:val="84"/>
        </w:rPr>
      </w:pPr>
      <w:r>
        <w:rPr>
          <w:rFonts w:hint="eastAsia" w:ascii="方正小标宋_GBK" w:hAnsi="方正小标宋_GBK" w:eastAsia="方正小标宋_GBK" w:cs="方正小标宋_GBK"/>
          <w:sz w:val="84"/>
          <w:szCs w:val="84"/>
        </w:rPr>
        <w:t>概</w:t>
      </w:r>
      <w:r>
        <w:rPr>
          <w:rFonts w:hint="eastAsia" w:ascii="方正小标宋_GBK" w:hAnsi="方正小标宋_GBK" w:eastAsia="方正小标宋_GBK" w:cs="方正小标宋_GBK"/>
          <w:sz w:val="84"/>
          <w:szCs w:val="84"/>
          <w:lang w:val="en-US" w:eastAsia="zh-CN"/>
        </w:rPr>
        <w:t xml:space="preserve"> </w:t>
      </w:r>
      <w:r>
        <w:rPr>
          <w:rFonts w:hint="eastAsia" w:ascii="方正小标宋_GBK" w:hAnsi="方正小标宋_GBK" w:eastAsia="方正小标宋_GBK" w:cs="方正小标宋_GBK"/>
          <w:sz w:val="84"/>
          <w:szCs w:val="84"/>
        </w:rPr>
        <w:t>况</w:t>
      </w:r>
    </w:p>
    <w:p w14:paraId="77A0C778">
      <w:pPr>
        <w:pStyle w:val="9"/>
        <w:rPr>
          <w:rFonts w:hint="eastAsia" w:ascii="方正小标宋_GBK" w:hAnsi="方正小标宋_GBK" w:eastAsia="方正小标宋_GBK" w:cs="方正小标宋_GBK"/>
          <w:sz w:val="84"/>
          <w:szCs w:val="84"/>
        </w:rPr>
      </w:pPr>
    </w:p>
    <w:p w14:paraId="397AC3FB">
      <w:pPr>
        <w:pStyle w:val="5"/>
        <w:rPr>
          <w:rFonts w:hint="eastAsia" w:ascii="方正小标宋_GBK" w:hAnsi="方正小标宋_GBK" w:eastAsia="方正小标宋_GBK" w:cs="方正小标宋_GBK"/>
          <w:sz w:val="84"/>
          <w:szCs w:val="84"/>
        </w:rPr>
      </w:pPr>
    </w:p>
    <w:p w14:paraId="13F2C40A">
      <w:pPr>
        <w:rPr>
          <w:rFonts w:hint="eastAsia" w:ascii="方正小标宋_GBK" w:hAnsi="方正小标宋_GBK" w:eastAsia="方正小标宋_GBK" w:cs="方正小标宋_GBK"/>
          <w:sz w:val="84"/>
          <w:szCs w:val="84"/>
        </w:rPr>
      </w:pPr>
    </w:p>
    <w:p w14:paraId="14E75B33">
      <w:pPr>
        <w:pStyle w:val="15"/>
        <w:keepNext w:val="0"/>
        <w:keepLines w:val="0"/>
        <w:pageBreakBefore w:val="0"/>
        <w:numPr>
          <w:ilvl w:val="0"/>
          <w:numId w:val="0"/>
        </w:numPr>
        <w:kinsoku/>
        <w:wordWrap/>
        <w:overflowPunct/>
        <w:topLinePunct w:val="0"/>
        <w:autoSpaceDE/>
        <w:autoSpaceDN/>
        <w:bidi w:val="0"/>
        <w:adjustRightInd/>
        <w:snapToGrid/>
        <w:spacing w:line="240" w:lineRule="auto"/>
        <w:ind w:left="720" w:leftChars="0" w:hanging="720" w:firstLineChars="0"/>
        <w:jc w:val="left"/>
        <w:textAlignment w:val="auto"/>
        <w:rPr>
          <w:rFonts w:hint="default" w:ascii="黑体" w:hAnsi="黑体" w:eastAsia="黑体" w:cs="黑体"/>
          <w:b w:val="0"/>
          <w:bCs w:val="0"/>
          <w:kern w:val="2"/>
          <w:sz w:val="32"/>
          <w:szCs w:val="32"/>
          <w:lang w:val="en-US" w:eastAsia="zh-CN" w:bidi="ar-SA"/>
        </w:rPr>
      </w:pPr>
    </w:p>
    <w:p w14:paraId="0C278A1B">
      <w:pPr>
        <w:pStyle w:val="15"/>
        <w:keepNext w:val="0"/>
        <w:keepLines w:val="0"/>
        <w:pageBreakBefore w:val="0"/>
        <w:numPr>
          <w:ilvl w:val="0"/>
          <w:numId w:val="0"/>
        </w:numPr>
        <w:kinsoku/>
        <w:wordWrap/>
        <w:overflowPunct/>
        <w:topLinePunct w:val="0"/>
        <w:autoSpaceDE/>
        <w:autoSpaceDN/>
        <w:bidi w:val="0"/>
        <w:adjustRightInd/>
        <w:snapToGrid/>
        <w:spacing w:line="240" w:lineRule="auto"/>
        <w:ind w:left="720" w:leftChars="0" w:hanging="720" w:firstLineChars="0"/>
        <w:jc w:val="left"/>
        <w:textAlignment w:val="auto"/>
        <w:rPr>
          <w:rFonts w:hint="default" w:ascii="黑体" w:hAnsi="黑体" w:eastAsia="黑体" w:cs="黑体"/>
          <w:b w:val="0"/>
          <w:bCs w:val="0"/>
          <w:kern w:val="2"/>
          <w:sz w:val="32"/>
          <w:szCs w:val="32"/>
          <w:lang w:val="en-US" w:eastAsia="zh-CN" w:bidi="ar-SA"/>
        </w:rPr>
        <w:sectPr>
          <w:pgSz w:w="11906" w:h="16838"/>
          <w:pgMar w:top="720" w:right="720" w:bottom="720" w:left="720" w:header="851" w:footer="992" w:gutter="0"/>
          <w:cols w:space="425" w:num="1"/>
          <w:docGrid w:type="linesAndChars" w:linePitch="312" w:charSpace="0"/>
        </w:sectPr>
      </w:pPr>
    </w:p>
    <w:p w14:paraId="55E857AF">
      <w:pPr>
        <w:pStyle w:val="15"/>
        <w:keepNext w:val="0"/>
        <w:keepLines w:val="0"/>
        <w:pageBreakBefore w:val="0"/>
        <w:numPr>
          <w:ilvl w:val="0"/>
          <w:numId w:val="0"/>
        </w:numPr>
        <w:kinsoku/>
        <w:wordWrap/>
        <w:overflowPunct/>
        <w:topLinePunct w:val="0"/>
        <w:autoSpaceDE/>
        <w:autoSpaceDN/>
        <w:bidi w:val="0"/>
        <w:adjustRightInd/>
        <w:snapToGrid/>
        <w:spacing w:line="240" w:lineRule="auto"/>
        <w:ind w:left="720" w:leftChars="0" w:hanging="720" w:firstLineChars="0"/>
        <w:jc w:val="both"/>
        <w:textAlignment w:val="auto"/>
        <w:rPr>
          <w:rFonts w:hint="eastAsia" w:ascii="黑体" w:hAnsi="黑体" w:eastAsia="黑体" w:cs="黑体"/>
          <w:b w:val="0"/>
          <w:bCs w:val="0"/>
          <w:sz w:val="32"/>
          <w:szCs w:val="32"/>
        </w:rPr>
      </w:pPr>
      <w:r>
        <w:rPr>
          <w:rFonts w:hint="default" w:ascii="黑体" w:hAnsi="黑体" w:eastAsia="黑体" w:cs="黑体"/>
          <w:b w:val="0"/>
          <w:bCs w:val="0"/>
          <w:kern w:val="2"/>
          <w:sz w:val="32"/>
          <w:szCs w:val="32"/>
          <w:lang w:val="en-US" w:eastAsia="zh-CN" w:bidi="ar-SA"/>
        </w:rPr>
        <w:t>一、</w:t>
      </w:r>
      <w:r>
        <w:rPr>
          <w:rFonts w:hint="eastAsia" w:ascii="黑体" w:hAnsi="黑体" w:eastAsia="黑体" w:cs="黑体"/>
          <w:b w:val="0"/>
          <w:bCs w:val="0"/>
          <w:sz w:val="32"/>
          <w:szCs w:val="32"/>
        </w:rPr>
        <w:t>部门职责</w:t>
      </w:r>
    </w:p>
    <w:p w14:paraId="1A9FE771">
      <w:pPr>
        <w:widowControl/>
        <w:spacing w:line="240" w:lineRule="auto"/>
        <w:ind w:firstLine="640" w:firstLineChars="200"/>
        <w:jc w:val="both"/>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1.承担相关文艺政策宣传、公共服务工作；</w:t>
      </w:r>
    </w:p>
    <w:p w14:paraId="10B29B9C">
      <w:pPr>
        <w:widowControl/>
        <w:spacing w:line="240" w:lineRule="auto"/>
        <w:ind w:firstLine="640" w:firstLineChars="200"/>
        <w:jc w:val="both"/>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2.承担我市对外文化艺术交流活动和艺术普及工作；</w:t>
      </w:r>
    </w:p>
    <w:p w14:paraId="0417C80E">
      <w:pPr>
        <w:widowControl/>
        <w:spacing w:line="240" w:lineRule="auto"/>
        <w:ind w:firstLine="640" w:firstLineChars="200"/>
        <w:jc w:val="both"/>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3.承担国家级非物质文化遗产保护项目巴陵戏的挖掘、整理、保护、传承、研究工作；承担岳阳地方文艺形态发掘、整理和研究工作；</w:t>
      </w:r>
    </w:p>
    <w:p w14:paraId="5C9DB9F2">
      <w:pPr>
        <w:widowControl/>
        <w:spacing w:line="240" w:lineRule="auto"/>
        <w:ind w:firstLine="640" w:firstLineChars="200"/>
        <w:jc w:val="both"/>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4.承担巴陵戏、花鼓戏、歌舞、民乐等剧（节）目创作生产演出工作；</w:t>
      </w:r>
    </w:p>
    <w:p w14:paraId="3B2ABBC6">
      <w:pPr>
        <w:widowControl/>
        <w:spacing w:line="240" w:lineRule="auto"/>
        <w:ind w:firstLine="640" w:firstLineChars="200"/>
        <w:jc w:val="both"/>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5.承担全市重点剧（节）目的咨询、论证、辅导、推介工作；</w:t>
      </w:r>
    </w:p>
    <w:p w14:paraId="4203BA7B">
      <w:pPr>
        <w:widowControl/>
        <w:spacing w:line="240" w:lineRule="auto"/>
        <w:ind w:firstLine="640" w:firstLineChars="200"/>
        <w:jc w:val="both"/>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6.承担艺术课题的研究和艺术理论成果编辑出版工作；</w:t>
      </w:r>
    </w:p>
    <w:p w14:paraId="31201A44">
      <w:pPr>
        <w:widowControl/>
        <w:spacing w:line="240" w:lineRule="auto"/>
        <w:ind w:firstLine="640" w:firstLineChars="200"/>
        <w:jc w:val="both"/>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7.承担市直送戏曲进乡村、进社区、进厂矿、进学校等公益性演出工作；</w:t>
      </w:r>
    </w:p>
    <w:p w14:paraId="6379AC7E">
      <w:pPr>
        <w:widowControl/>
        <w:spacing w:line="240" w:lineRule="auto"/>
        <w:ind w:firstLine="640" w:firstLineChars="200"/>
        <w:jc w:val="both"/>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8.承担“一元剧场”惠民演出工作；</w:t>
      </w:r>
    </w:p>
    <w:p w14:paraId="730BB63C">
      <w:pPr>
        <w:widowControl/>
        <w:spacing w:line="240" w:lineRule="auto"/>
        <w:ind w:firstLine="640" w:firstLineChars="200"/>
        <w:jc w:val="both"/>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9.完成市文化旅游广电局交办的其他工作任务。</w:t>
      </w:r>
    </w:p>
    <w:p w14:paraId="2DC82B10">
      <w:pPr>
        <w:keepNext w:val="0"/>
        <w:keepLines w:val="0"/>
        <w:pageBreakBefore w:val="0"/>
        <w:widowControl/>
        <w:numPr>
          <w:ilvl w:val="0"/>
          <w:numId w:val="0"/>
        </w:numPr>
        <w:kinsoku/>
        <w:wordWrap/>
        <w:overflowPunct/>
        <w:topLinePunct w:val="0"/>
        <w:autoSpaceDE/>
        <w:autoSpaceDN/>
        <w:bidi w:val="0"/>
        <w:adjustRightInd/>
        <w:snapToGrid/>
        <w:spacing w:line="240" w:lineRule="auto"/>
        <w:jc w:val="both"/>
        <w:textAlignment w:val="auto"/>
        <w:rPr>
          <w:rFonts w:hint="eastAsia" w:ascii="黑体" w:hAnsi="黑体" w:eastAsia="黑体" w:cs="黑体"/>
          <w:b w:val="0"/>
          <w:bCs/>
          <w:kern w:val="0"/>
          <w:sz w:val="32"/>
          <w:szCs w:val="32"/>
        </w:rPr>
      </w:pPr>
      <w:r>
        <w:rPr>
          <w:rFonts w:hint="eastAsia" w:ascii="黑体" w:hAnsi="黑体" w:eastAsia="黑体" w:cs="黑体"/>
          <w:b w:val="0"/>
          <w:bCs/>
          <w:kern w:val="0"/>
          <w:sz w:val="32"/>
          <w:szCs w:val="32"/>
        </w:rPr>
        <w:t>二、机构设置及决算单位构成</w:t>
      </w:r>
    </w:p>
    <w:p w14:paraId="607E3B26">
      <w:pPr>
        <w:widowControl/>
        <w:spacing w:line="240" w:lineRule="auto"/>
        <w:ind w:firstLine="640" w:firstLineChars="200"/>
        <w:jc w:val="both"/>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（一）内设机构设置。巴陵戏传承研究院内设机构包括：综合部、巴陵戏剧室、花鼓戏剧室、民乐队、歌舞工作室、舞美工作室、宣传普教室、艺术研究室、后勤保障部9个部室。</w:t>
      </w:r>
    </w:p>
    <w:p w14:paraId="5818F9A6">
      <w:pPr>
        <w:widowControl/>
        <w:spacing w:line="240" w:lineRule="auto"/>
        <w:ind w:firstLine="640" w:firstLineChars="200"/>
        <w:jc w:val="both"/>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（二）决算单位构成。本单位无独立核算的下属单位，2024年部门决算汇总公开单位仅包括岳阳市巴陵戏传承研究院本级。</w:t>
      </w:r>
    </w:p>
    <w:p w14:paraId="1A174866">
      <w:pPr>
        <w:ind w:firstLine="800" w:firstLineChars="250"/>
        <w:jc w:val="left"/>
        <w:rPr>
          <w:rFonts w:hint="eastAsia" w:ascii="Times New Roman" w:hAnsi="Times New Roman" w:eastAsia="仿宋_GB2312" w:cs="仿宋_GB2312"/>
          <w:bCs/>
          <w:kern w:val="0"/>
          <w:sz w:val="32"/>
          <w:szCs w:val="32"/>
        </w:rPr>
      </w:pPr>
    </w:p>
    <w:p w14:paraId="00EC3399">
      <w:pPr>
        <w:pStyle w:val="14"/>
        <w:jc w:val="both"/>
        <w:rPr>
          <w:rFonts w:hint="eastAsia" w:ascii="方正小标宋_GBK" w:hAnsi="方正小标宋_GBK" w:eastAsia="方正小标宋_GBK" w:cs="方正小标宋_GBK"/>
          <w:sz w:val="84"/>
          <w:szCs w:val="84"/>
        </w:rPr>
      </w:pPr>
    </w:p>
    <w:p w14:paraId="37E462CE">
      <w:pPr>
        <w:pStyle w:val="14"/>
        <w:jc w:val="both"/>
        <w:rPr>
          <w:rFonts w:hint="eastAsia" w:ascii="方正小标宋_GBK" w:hAnsi="方正小标宋_GBK" w:eastAsia="方正小标宋_GBK" w:cs="方正小标宋_GBK"/>
          <w:sz w:val="84"/>
          <w:szCs w:val="84"/>
        </w:rPr>
      </w:pPr>
    </w:p>
    <w:p w14:paraId="476B39A9">
      <w:pPr>
        <w:pStyle w:val="14"/>
        <w:jc w:val="both"/>
        <w:rPr>
          <w:rFonts w:hint="eastAsia" w:ascii="方正小标宋_GBK" w:hAnsi="方正小标宋_GBK" w:eastAsia="方正小标宋_GBK" w:cs="方正小标宋_GBK"/>
          <w:sz w:val="84"/>
          <w:szCs w:val="84"/>
        </w:rPr>
      </w:pPr>
    </w:p>
    <w:p w14:paraId="2B49F2B7">
      <w:pPr>
        <w:pStyle w:val="14"/>
        <w:jc w:val="center"/>
        <w:rPr>
          <w:rFonts w:hint="eastAsia" w:ascii="方正小标宋_GBK" w:hAnsi="方正小标宋_GBK" w:eastAsia="方正小标宋_GBK" w:cs="方正小标宋_GBK"/>
          <w:sz w:val="84"/>
          <w:szCs w:val="84"/>
        </w:rPr>
      </w:pPr>
    </w:p>
    <w:p w14:paraId="661BBFC8">
      <w:pPr>
        <w:pStyle w:val="14"/>
        <w:jc w:val="center"/>
        <w:rPr>
          <w:rFonts w:hint="eastAsia" w:ascii="方正小标宋_GBK" w:hAnsi="方正小标宋_GBK" w:eastAsia="方正小标宋_GBK" w:cs="方正小标宋_GBK"/>
          <w:sz w:val="84"/>
          <w:szCs w:val="84"/>
        </w:rPr>
      </w:pPr>
      <w:r>
        <w:rPr>
          <w:rFonts w:hint="eastAsia" w:ascii="方正小标宋_GBK" w:hAnsi="方正小标宋_GBK" w:eastAsia="方正小标宋_GBK" w:cs="方正小标宋_GBK"/>
          <w:sz w:val="84"/>
          <w:szCs w:val="84"/>
        </w:rPr>
        <w:t>第二部分</w:t>
      </w:r>
    </w:p>
    <w:p w14:paraId="5FB02ED5">
      <w:pPr>
        <w:pStyle w:val="14"/>
        <w:jc w:val="center"/>
        <w:rPr>
          <w:rFonts w:hint="eastAsia" w:ascii="方正小标宋_GBK" w:hAnsi="方正小标宋_GBK" w:eastAsia="方正小标宋_GBK" w:cs="方正小标宋_GBK"/>
          <w:sz w:val="32"/>
          <w:szCs w:val="32"/>
        </w:rPr>
      </w:pPr>
    </w:p>
    <w:p w14:paraId="3860F185">
      <w:pPr>
        <w:pStyle w:val="14"/>
        <w:jc w:val="center"/>
        <w:rPr>
          <w:rFonts w:hint="eastAsia" w:ascii="方正小标宋_GBK" w:hAnsi="方正小标宋_GBK" w:eastAsia="方正小标宋_GBK" w:cs="方正小标宋_GBK"/>
          <w:sz w:val="84"/>
          <w:szCs w:val="84"/>
        </w:rPr>
      </w:pPr>
      <w:r>
        <w:rPr>
          <w:rFonts w:hint="eastAsia" w:ascii="方正小标宋_GBK" w:hAnsi="方正小标宋_GBK" w:eastAsia="方正小标宋_GBK" w:cs="方正小标宋_GBK"/>
          <w:sz w:val="84"/>
          <w:szCs w:val="84"/>
        </w:rPr>
        <w:t>部门决算表</w:t>
      </w:r>
    </w:p>
    <w:p w14:paraId="325AF5B5">
      <w:pPr>
        <w:pStyle w:val="14"/>
        <w:jc w:val="center"/>
        <w:rPr>
          <w:rFonts w:hint="eastAsia" w:ascii="仿宋_GB2312" w:hAnsi="仿宋_GB2312" w:eastAsia="仿宋_GB2312" w:cs="仿宋_GB2312"/>
          <w:b w:val="0"/>
          <w:bCs w:val="0"/>
          <w:sz w:val="72"/>
          <w:szCs w:val="72"/>
          <w:lang w:eastAsia="zh-CN"/>
        </w:rPr>
      </w:pPr>
    </w:p>
    <w:p w14:paraId="0568D1B8">
      <w:pPr>
        <w:pStyle w:val="14"/>
        <w:jc w:val="center"/>
        <w:rPr>
          <w:rFonts w:hint="eastAsia" w:ascii="仿宋_GB2312" w:hAnsi="仿宋_GB2312" w:eastAsia="仿宋_GB2312" w:cs="仿宋_GB2312"/>
          <w:b w:val="0"/>
          <w:bCs w:val="0"/>
          <w:sz w:val="72"/>
          <w:szCs w:val="72"/>
          <w:lang w:eastAsia="zh-CN"/>
        </w:rPr>
      </w:pPr>
    </w:p>
    <w:p w14:paraId="5C65B646">
      <w:pPr>
        <w:pStyle w:val="14"/>
        <w:jc w:val="center"/>
        <w:rPr>
          <w:rFonts w:hint="eastAsia" w:ascii="仿宋_GB2312" w:hAnsi="仿宋_GB2312" w:eastAsia="仿宋_GB2312" w:cs="仿宋_GB2312"/>
          <w:b w:val="0"/>
          <w:bCs w:val="0"/>
          <w:sz w:val="72"/>
          <w:szCs w:val="72"/>
          <w:lang w:eastAsia="zh-CN"/>
        </w:rPr>
      </w:pPr>
    </w:p>
    <w:p w14:paraId="62EA5E89">
      <w:pPr>
        <w:pStyle w:val="14"/>
        <w:jc w:val="center"/>
        <w:rPr>
          <w:rFonts w:hint="eastAsia" w:ascii="仿宋_GB2312" w:hAnsi="仿宋_GB2312" w:eastAsia="仿宋_GB2312" w:cs="仿宋_GB2312"/>
          <w:b w:val="0"/>
          <w:bCs w:val="0"/>
          <w:sz w:val="72"/>
          <w:szCs w:val="72"/>
          <w:lang w:eastAsia="zh-CN"/>
        </w:rPr>
        <w:sectPr>
          <w:pgSz w:w="11906" w:h="16838"/>
          <w:pgMar w:top="720" w:right="720" w:bottom="720" w:left="720" w:header="851" w:footer="992" w:gutter="0"/>
          <w:cols w:space="425" w:num="1"/>
          <w:docGrid w:type="linesAndChars" w:linePitch="312" w:charSpace="0"/>
        </w:sectPr>
      </w:pPr>
    </w:p>
    <w:p w14:paraId="42AC617D">
      <w:pPr>
        <w:pStyle w:val="14"/>
        <w:jc w:val="center"/>
        <w:rPr>
          <w:rFonts w:hint="eastAsia" w:ascii="宋体" w:hAnsi="宋体" w:eastAsia="宋体" w:cs="宋体"/>
          <w:b/>
          <w:bCs w:val="0"/>
          <w:color w:val="auto"/>
          <w:kern w:val="0"/>
          <w:sz w:val="32"/>
          <w:szCs w:val="32"/>
          <w:lang w:val="en-US" w:eastAsia="zh-CN" w:bidi="ar-SA"/>
        </w:rPr>
      </w:pPr>
      <w:r>
        <w:rPr>
          <w:rFonts w:hint="eastAsia" w:ascii="宋体" w:hAnsi="宋体" w:eastAsia="宋体" w:cs="宋体"/>
          <w:b/>
          <w:bCs w:val="0"/>
          <w:color w:val="auto"/>
          <w:kern w:val="0"/>
          <w:sz w:val="32"/>
          <w:szCs w:val="32"/>
          <w:lang w:val="en-US" w:eastAsia="zh-CN" w:bidi="ar-SA"/>
        </w:rPr>
        <w:t>收入支出决算总表</w:t>
      </w:r>
    </w:p>
    <w:p w14:paraId="70CAAEA7">
      <w:pPr>
        <w:pStyle w:val="14"/>
        <w:jc w:val="center"/>
        <w:rPr>
          <w:rFonts w:hint="eastAsia" w:ascii="仿宋_GB2312" w:hAnsi="仿宋_GB2312" w:eastAsia="仿宋_GB2312" w:cs="仿宋_GB2312"/>
          <w:b/>
          <w:bCs/>
          <w:sz w:val="72"/>
          <w:szCs w:val="72"/>
          <w:lang w:eastAsia="zh-CN"/>
        </w:rPr>
        <w:sectPr>
          <w:pgSz w:w="11906" w:h="16838"/>
          <w:pgMar w:top="720" w:right="720" w:bottom="720" w:left="720" w:header="851" w:footer="992" w:gutter="0"/>
          <w:cols w:space="425" w:num="1"/>
          <w:docGrid w:type="linesAndChars" w:linePitch="312" w:charSpace="0"/>
        </w:sectPr>
      </w:pPr>
      <w:r>
        <w:rPr>
          <w:rFonts w:hint="eastAsia" w:ascii="仿宋_GB2312" w:hAnsi="仿宋_GB2312" w:eastAsia="仿宋_GB2312" w:cs="仿宋_GB2312"/>
          <w:b/>
          <w:bCs/>
          <w:sz w:val="72"/>
          <w:szCs w:val="72"/>
          <w:lang w:eastAsia="zh-CN"/>
        </w:rPr>
        <w:drawing>
          <wp:inline distT="0" distB="0" distL="114300" distR="114300">
            <wp:extent cx="6645275" cy="7021830"/>
            <wp:effectExtent l="0" t="0" r="0" b="0"/>
            <wp:docPr id="10" name="图片 10" descr="岳阳市巴陵戏传承研究院_2024年决算公开报表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岳阳市巴陵戏传承研究院_2024年决算公开报表_01"/>
                    <pic:cNvPicPr>
                      <a:picLocks noChangeAspect="1"/>
                    </pic:cNvPicPr>
                  </pic:nvPicPr>
                  <pic:blipFill>
                    <a:blip r:embed="rId4"/>
                    <a:srcRect t="10810" b="14479"/>
                    <a:stretch>
                      <a:fillRect/>
                    </a:stretch>
                  </pic:blipFill>
                  <pic:spPr>
                    <a:xfrm>
                      <a:off x="0" y="0"/>
                      <a:ext cx="6645275" cy="7021830"/>
                    </a:xfrm>
                    <a:prstGeom prst="rect">
                      <a:avLst/>
                    </a:prstGeom>
                  </pic:spPr>
                </pic:pic>
              </a:graphicData>
            </a:graphic>
          </wp:inline>
        </w:drawing>
      </w:r>
    </w:p>
    <w:p w14:paraId="0CE71CE1">
      <w:pPr>
        <w:pStyle w:val="14"/>
        <w:jc w:val="center"/>
        <w:rPr>
          <w:rFonts w:hint="eastAsia" w:ascii="宋体" w:hAnsi="宋体" w:eastAsia="宋体" w:cs="宋体"/>
          <w:b/>
          <w:bCs w:val="0"/>
          <w:color w:val="auto"/>
          <w:kern w:val="0"/>
          <w:sz w:val="32"/>
          <w:szCs w:val="32"/>
          <w:lang w:val="en-US" w:eastAsia="zh-CN" w:bidi="ar-SA"/>
        </w:rPr>
      </w:pPr>
      <w:r>
        <w:rPr>
          <w:rFonts w:hint="eastAsia" w:ascii="宋体" w:hAnsi="宋体" w:eastAsia="宋体" w:cs="宋体"/>
          <w:b/>
          <w:bCs w:val="0"/>
          <w:color w:val="auto"/>
          <w:kern w:val="0"/>
          <w:sz w:val="32"/>
          <w:szCs w:val="32"/>
          <w:lang w:val="en-US" w:eastAsia="zh-CN" w:bidi="ar-SA"/>
        </w:rPr>
        <w:t>收入决算表</w:t>
      </w:r>
    </w:p>
    <w:p w14:paraId="33A6473E">
      <w:pPr>
        <w:pStyle w:val="14"/>
        <w:jc w:val="center"/>
        <w:rPr>
          <w:rFonts w:hint="default" w:ascii="宋体" w:hAnsi="宋体" w:eastAsia="宋体" w:cs="宋体"/>
          <w:b/>
          <w:bCs w:val="0"/>
          <w:color w:val="auto"/>
          <w:kern w:val="0"/>
          <w:sz w:val="32"/>
          <w:szCs w:val="32"/>
          <w:lang w:val="en-US" w:eastAsia="zh-CN" w:bidi="ar-SA"/>
        </w:rPr>
        <w:sectPr>
          <w:pgSz w:w="16838" w:h="11906" w:orient="landscape"/>
          <w:pgMar w:top="720" w:right="720" w:bottom="720" w:left="720" w:header="851" w:footer="992" w:gutter="0"/>
          <w:cols w:space="425" w:num="1"/>
          <w:docGrid w:type="linesAndChars" w:linePitch="312" w:charSpace="0"/>
        </w:sectPr>
      </w:pPr>
      <w:r>
        <w:rPr>
          <w:rFonts w:hint="default" w:ascii="宋体" w:hAnsi="宋体" w:eastAsia="宋体" w:cs="宋体"/>
          <w:b/>
          <w:bCs w:val="0"/>
          <w:color w:val="auto"/>
          <w:kern w:val="0"/>
          <w:sz w:val="32"/>
          <w:szCs w:val="32"/>
          <w:lang w:val="en-US" w:eastAsia="zh-CN" w:bidi="ar-SA"/>
        </w:rPr>
        <w:drawing>
          <wp:inline distT="0" distB="0" distL="114300" distR="114300">
            <wp:extent cx="8516620" cy="5909310"/>
            <wp:effectExtent l="0" t="0" r="0" b="0"/>
            <wp:docPr id="12" name="图片 12" descr="岳阳市巴陵戏传承研究院_2024年决算公开报表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岳阳市巴陵戏传承研究院_2024年决算公开报表_02"/>
                    <pic:cNvPicPr>
                      <a:picLocks noChangeAspect="1"/>
                    </pic:cNvPicPr>
                  </pic:nvPicPr>
                  <pic:blipFill>
                    <a:blip r:embed="rId5"/>
                    <a:srcRect l="3757" t="5762" r="5628" b="5313"/>
                    <a:stretch>
                      <a:fillRect/>
                    </a:stretch>
                  </pic:blipFill>
                  <pic:spPr>
                    <a:xfrm>
                      <a:off x="0" y="0"/>
                      <a:ext cx="8516620" cy="5909310"/>
                    </a:xfrm>
                    <a:prstGeom prst="rect">
                      <a:avLst/>
                    </a:prstGeom>
                  </pic:spPr>
                </pic:pic>
              </a:graphicData>
            </a:graphic>
          </wp:inline>
        </w:drawing>
      </w:r>
    </w:p>
    <w:p w14:paraId="5BD3FAEE">
      <w:pPr>
        <w:pStyle w:val="14"/>
        <w:jc w:val="center"/>
        <w:rPr>
          <w:rFonts w:hint="default" w:ascii="宋体" w:hAnsi="宋体" w:eastAsia="宋体" w:cs="宋体"/>
          <w:b/>
          <w:bCs w:val="0"/>
          <w:color w:val="auto"/>
          <w:kern w:val="0"/>
          <w:sz w:val="32"/>
          <w:szCs w:val="32"/>
          <w:lang w:val="en-US" w:eastAsia="zh-CN" w:bidi="ar-SA"/>
        </w:rPr>
      </w:pPr>
      <w:r>
        <w:rPr>
          <w:rFonts w:hint="eastAsia" w:ascii="宋体" w:hAnsi="宋体" w:eastAsia="宋体" w:cs="宋体"/>
          <w:b/>
          <w:bCs w:val="0"/>
          <w:color w:val="auto"/>
          <w:kern w:val="0"/>
          <w:sz w:val="32"/>
          <w:szCs w:val="32"/>
          <w:lang w:val="en-US" w:eastAsia="zh-CN" w:bidi="ar-SA"/>
        </w:rPr>
        <w:t>支出决算表</w:t>
      </w:r>
    </w:p>
    <w:p w14:paraId="61535B23">
      <w:pPr>
        <w:pStyle w:val="14"/>
        <w:jc w:val="center"/>
        <w:rPr>
          <w:rFonts w:hint="default" w:ascii="宋体" w:hAnsi="宋体" w:eastAsia="宋体" w:cs="宋体"/>
          <w:b/>
          <w:bCs w:val="0"/>
          <w:color w:val="auto"/>
          <w:kern w:val="0"/>
          <w:sz w:val="32"/>
          <w:szCs w:val="32"/>
          <w:lang w:val="en-US" w:eastAsia="zh-CN" w:bidi="ar-SA"/>
        </w:rPr>
        <w:sectPr>
          <w:pgSz w:w="16838" w:h="11906" w:orient="landscape"/>
          <w:pgMar w:top="720" w:right="720" w:bottom="720" w:left="720" w:header="851" w:footer="992" w:gutter="0"/>
          <w:cols w:space="425" w:num="1"/>
          <w:docGrid w:type="linesAndChars" w:linePitch="312" w:charSpace="0"/>
        </w:sectPr>
      </w:pPr>
      <w:r>
        <w:rPr>
          <w:rFonts w:hint="default" w:ascii="宋体" w:hAnsi="宋体" w:eastAsia="宋体" w:cs="宋体"/>
          <w:b/>
          <w:bCs w:val="0"/>
          <w:color w:val="auto"/>
          <w:kern w:val="0"/>
          <w:sz w:val="32"/>
          <w:szCs w:val="32"/>
          <w:lang w:val="en-US" w:eastAsia="zh-CN" w:bidi="ar-SA"/>
        </w:rPr>
        <w:drawing>
          <wp:inline distT="0" distB="0" distL="114300" distR="114300">
            <wp:extent cx="8062595" cy="5939790"/>
            <wp:effectExtent l="0" t="0" r="0" b="0"/>
            <wp:docPr id="13" name="图片 13" descr="岳阳市巴陵戏传承研究院_2024年决算公开报表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岳阳市巴陵戏传承研究院_2024年决算公开报表_03"/>
                    <pic:cNvPicPr>
                      <a:picLocks noChangeAspect="1"/>
                    </pic:cNvPicPr>
                  </pic:nvPicPr>
                  <pic:blipFill>
                    <a:blip r:embed="rId6"/>
                    <a:srcRect l="4628" t="5619" r="9587" b="4998"/>
                    <a:stretch>
                      <a:fillRect/>
                    </a:stretch>
                  </pic:blipFill>
                  <pic:spPr>
                    <a:xfrm>
                      <a:off x="0" y="0"/>
                      <a:ext cx="8062595" cy="5939790"/>
                    </a:xfrm>
                    <a:prstGeom prst="rect">
                      <a:avLst/>
                    </a:prstGeom>
                  </pic:spPr>
                </pic:pic>
              </a:graphicData>
            </a:graphic>
          </wp:inline>
        </w:drawing>
      </w:r>
    </w:p>
    <w:p w14:paraId="5193753D">
      <w:pPr>
        <w:pStyle w:val="14"/>
        <w:jc w:val="center"/>
        <w:rPr>
          <w:rFonts w:hint="default" w:ascii="宋体" w:hAnsi="宋体" w:eastAsia="宋体" w:cs="宋体"/>
          <w:b/>
          <w:bCs w:val="0"/>
          <w:color w:val="auto"/>
          <w:kern w:val="0"/>
          <w:sz w:val="32"/>
          <w:szCs w:val="32"/>
          <w:lang w:val="en-US" w:eastAsia="zh-CN" w:bidi="ar-SA"/>
        </w:rPr>
      </w:pPr>
      <w:r>
        <w:rPr>
          <w:rFonts w:hint="eastAsia" w:ascii="宋体" w:hAnsi="宋体" w:eastAsia="宋体" w:cs="宋体"/>
          <w:b/>
          <w:bCs w:val="0"/>
          <w:color w:val="auto"/>
          <w:kern w:val="0"/>
          <w:sz w:val="32"/>
          <w:szCs w:val="32"/>
          <w:lang w:val="en-US" w:eastAsia="zh-CN" w:bidi="ar-SA"/>
        </w:rPr>
        <w:t>财政拨款收入支出决算总表</w:t>
      </w:r>
    </w:p>
    <w:p w14:paraId="04F063B4">
      <w:pPr>
        <w:pStyle w:val="14"/>
        <w:jc w:val="center"/>
        <w:rPr>
          <w:rFonts w:hint="default" w:ascii="宋体" w:hAnsi="宋体" w:eastAsia="宋体" w:cs="宋体"/>
          <w:b/>
          <w:bCs w:val="0"/>
          <w:color w:val="auto"/>
          <w:kern w:val="0"/>
          <w:sz w:val="32"/>
          <w:szCs w:val="32"/>
          <w:lang w:val="en-US" w:eastAsia="zh-CN" w:bidi="ar-SA"/>
        </w:rPr>
        <w:sectPr>
          <w:pgSz w:w="16838" w:h="11906" w:orient="landscape"/>
          <w:pgMar w:top="720" w:right="720" w:bottom="720" w:left="720" w:header="851" w:footer="992" w:gutter="0"/>
          <w:cols w:space="425" w:num="1"/>
          <w:docGrid w:type="linesAndChars" w:linePitch="312" w:charSpace="0"/>
        </w:sectPr>
      </w:pPr>
      <w:r>
        <w:rPr>
          <w:rFonts w:hint="default" w:ascii="宋体" w:hAnsi="宋体" w:eastAsia="宋体" w:cs="宋体"/>
          <w:b/>
          <w:bCs w:val="0"/>
          <w:color w:val="auto"/>
          <w:kern w:val="0"/>
          <w:sz w:val="32"/>
          <w:szCs w:val="32"/>
          <w:lang w:val="en-US" w:eastAsia="zh-CN" w:bidi="ar-SA"/>
        </w:rPr>
        <w:drawing>
          <wp:inline distT="0" distB="0" distL="114300" distR="114300">
            <wp:extent cx="9398635" cy="5898515"/>
            <wp:effectExtent l="0" t="0" r="0" b="0"/>
            <wp:docPr id="14" name="图片 14" descr="岳阳市巴陵戏传承研究院_2024年决算公开报表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岳阳市巴陵戏传承研究院_2024年决算公开报表_04"/>
                    <pic:cNvPicPr>
                      <a:picLocks noChangeAspect="1"/>
                    </pic:cNvPicPr>
                  </pic:nvPicPr>
                  <pic:blipFill>
                    <a:blip r:embed="rId7"/>
                    <a:srcRect t="6020" b="5217"/>
                    <a:stretch>
                      <a:fillRect/>
                    </a:stretch>
                  </pic:blipFill>
                  <pic:spPr>
                    <a:xfrm>
                      <a:off x="0" y="0"/>
                      <a:ext cx="9398635" cy="5898515"/>
                    </a:xfrm>
                    <a:prstGeom prst="rect">
                      <a:avLst/>
                    </a:prstGeom>
                  </pic:spPr>
                </pic:pic>
              </a:graphicData>
            </a:graphic>
          </wp:inline>
        </w:drawing>
      </w:r>
    </w:p>
    <w:p w14:paraId="4B72152A">
      <w:pPr>
        <w:pStyle w:val="14"/>
        <w:jc w:val="center"/>
        <w:rPr>
          <w:rFonts w:hint="default" w:ascii="宋体" w:hAnsi="宋体" w:eastAsia="宋体" w:cs="宋体"/>
          <w:b/>
          <w:bCs w:val="0"/>
          <w:color w:val="auto"/>
          <w:kern w:val="0"/>
          <w:sz w:val="32"/>
          <w:szCs w:val="32"/>
          <w:lang w:val="en-US" w:eastAsia="zh-CN" w:bidi="ar-SA"/>
        </w:rPr>
      </w:pPr>
      <w:r>
        <w:rPr>
          <w:rFonts w:hint="eastAsia" w:ascii="宋体" w:hAnsi="宋体" w:eastAsia="宋体" w:cs="宋体"/>
          <w:b/>
          <w:bCs w:val="0"/>
          <w:color w:val="auto"/>
          <w:kern w:val="0"/>
          <w:sz w:val="32"/>
          <w:szCs w:val="32"/>
          <w:lang w:val="en-US" w:eastAsia="zh-CN" w:bidi="ar-SA"/>
        </w:rPr>
        <w:t>一般公共预算财政拨款支出决算表</w:t>
      </w:r>
    </w:p>
    <w:p w14:paraId="2459C366">
      <w:pPr>
        <w:pStyle w:val="14"/>
        <w:jc w:val="center"/>
        <w:rPr>
          <w:rFonts w:hint="eastAsia" w:ascii="仿宋_GB2312" w:hAnsi="仿宋_GB2312" w:eastAsia="仿宋_GB2312" w:cs="仿宋_GB2312"/>
          <w:b/>
          <w:bCs/>
          <w:sz w:val="72"/>
          <w:szCs w:val="72"/>
          <w:lang w:eastAsia="zh-CN"/>
        </w:rPr>
        <w:sectPr>
          <w:pgSz w:w="11906" w:h="16838"/>
          <w:pgMar w:top="720" w:right="720" w:bottom="720" w:left="720" w:header="851" w:footer="992" w:gutter="0"/>
          <w:cols w:space="425" w:num="1"/>
          <w:docGrid w:type="linesAndChars" w:linePitch="312" w:charSpace="0"/>
        </w:sectPr>
      </w:pPr>
      <w:r>
        <w:rPr>
          <w:rFonts w:hint="eastAsia" w:ascii="仿宋_GB2312" w:hAnsi="仿宋_GB2312" w:eastAsia="仿宋_GB2312" w:cs="仿宋_GB2312"/>
          <w:b/>
          <w:bCs/>
          <w:sz w:val="72"/>
          <w:szCs w:val="72"/>
          <w:lang w:eastAsia="zh-CN"/>
        </w:rPr>
        <w:drawing>
          <wp:inline distT="0" distB="0" distL="114300" distR="114300">
            <wp:extent cx="6645275" cy="6351270"/>
            <wp:effectExtent l="0" t="0" r="0" b="0"/>
            <wp:docPr id="15" name="图片 15" descr="岳阳市巴陵戏传承研究院_2024年决算公开报表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岳阳市巴陵戏传承研究院_2024年决算公开报表_05"/>
                    <pic:cNvPicPr>
                      <a:picLocks noChangeAspect="1"/>
                    </pic:cNvPicPr>
                  </pic:nvPicPr>
                  <pic:blipFill>
                    <a:blip r:embed="rId8"/>
                    <a:srcRect t="11020" b="21404"/>
                    <a:stretch>
                      <a:fillRect/>
                    </a:stretch>
                  </pic:blipFill>
                  <pic:spPr>
                    <a:xfrm>
                      <a:off x="0" y="0"/>
                      <a:ext cx="6645275" cy="6351270"/>
                    </a:xfrm>
                    <a:prstGeom prst="rect">
                      <a:avLst/>
                    </a:prstGeom>
                  </pic:spPr>
                </pic:pic>
              </a:graphicData>
            </a:graphic>
          </wp:inline>
        </w:drawing>
      </w:r>
    </w:p>
    <w:p w14:paraId="20BACCAD">
      <w:pPr>
        <w:pStyle w:val="14"/>
        <w:jc w:val="center"/>
        <w:rPr>
          <w:rFonts w:hint="default" w:ascii="宋体" w:hAnsi="宋体" w:eastAsia="宋体" w:cs="宋体"/>
          <w:b/>
          <w:bCs w:val="0"/>
          <w:color w:val="auto"/>
          <w:kern w:val="0"/>
          <w:sz w:val="32"/>
          <w:szCs w:val="32"/>
          <w:lang w:val="en-US" w:eastAsia="zh-CN" w:bidi="ar-SA"/>
        </w:rPr>
      </w:pPr>
      <w:r>
        <w:rPr>
          <w:rFonts w:hint="eastAsia" w:ascii="宋体" w:hAnsi="宋体" w:eastAsia="宋体" w:cs="宋体"/>
          <w:b/>
          <w:bCs w:val="0"/>
          <w:color w:val="auto"/>
          <w:kern w:val="0"/>
          <w:sz w:val="32"/>
          <w:szCs w:val="32"/>
          <w:lang w:val="en-US" w:eastAsia="zh-CN" w:bidi="ar-SA"/>
        </w:rPr>
        <w:t>一般公共预算财政拨款基本支出决算明细表</w:t>
      </w:r>
    </w:p>
    <w:p w14:paraId="2912C423">
      <w:pPr>
        <w:pStyle w:val="14"/>
        <w:jc w:val="center"/>
        <w:rPr>
          <w:rFonts w:hint="eastAsia" w:ascii="仿宋_GB2312" w:hAnsi="仿宋_GB2312" w:eastAsia="仿宋_GB2312" w:cs="仿宋_GB2312"/>
          <w:b/>
          <w:bCs/>
          <w:sz w:val="72"/>
          <w:szCs w:val="72"/>
          <w:lang w:eastAsia="zh-CN"/>
        </w:rPr>
        <w:sectPr>
          <w:pgSz w:w="16838" w:h="11906" w:orient="landscape"/>
          <w:pgMar w:top="720" w:right="720" w:bottom="720" w:left="720" w:header="851" w:footer="992" w:gutter="0"/>
          <w:cols w:space="425" w:num="1"/>
          <w:docGrid w:type="linesAndChars" w:linePitch="312" w:charSpace="0"/>
        </w:sectPr>
      </w:pPr>
      <w:r>
        <w:rPr>
          <w:rFonts w:hint="eastAsia" w:ascii="仿宋_GB2312" w:hAnsi="仿宋_GB2312" w:eastAsia="仿宋_GB2312" w:cs="仿宋_GB2312"/>
          <w:b/>
          <w:bCs/>
          <w:sz w:val="72"/>
          <w:szCs w:val="72"/>
          <w:lang w:eastAsia="zh-CN"/>
        </w:rPr>
        <w:drawing>
          <wp:inline distT="0" distB="0" distL="114300" distR="114300">
            <wp:extent cx="8001635" cy="5325110"/>
            <wp:effectExtent l="0" t="0" r="0" b="0"/>
            <wp:docPr id="16" name="图片 16" descr="岳阳市巴陵戏传承研究院_2024年决算公开报表_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岳阳市巴陵戏传承研究院_2024年决算公开报表_06"/>
                    <pic:cNvPicPr>
                      <a:picLocks noChangeAspect="1"/>
                    </pic:cNvPicPr>
                  </pic:nvPicPr>
                  <pic:blipFill>
                    <a:blip r:embed="rId9"/>
                    <a:srcRect l="3986" t="10511" r="10878" b="9355"/>
                    <a:stretch>
                      <a:fillRect/>
                    </a:stretch>
                  </pic:blipFill>
                  <pic:spPr>
                    <a:xfrm>
                      <a:off x="0" y="0"/>
                      <a:ext cx="8001635" cy="5325110"/>
                    </a:xfrm>
                    <a:prstGeom prst="rect">
                      <a:avLst/>
                    </a:prstGeom>
                  </pic:spPr>
                </pic:pic>
              </a:graphicData>
            </a:graphic>
          </wp:inline>
        </w:drawing>
      </w:r>
    </w:p>
    <w:p w14:paraId="2C8CA34F">
      <w:pPr>
        <w:pStyle w:val="14"/>
        <w:jc w:val="center"/>
        <w:rPr>
          <w:rFonts w:hint="default" w:ascii="宋体" w:hAnsi="宋体" w:eastAsia="宋体" w:cs="宋体"/>
          <w:b/>
          <w:bCs w:val="0"/>
          <w:color w:val="auto"/>
          <w:kern w:val="0"/>
          <w:sz w:val="32"/>
          <w:szCs w:val="32"/>
          <w:lang w:val="en-US" w:eastAsia="zh-CN" w:bidi="ar-SA"/>
        </w:rPr>
      </w:pPr>
      <w:r>
        <w:rPr>
          <w:rFonts w:hint="eastAsia" w:ascii="宋体" w:hAnsi="宋体" w:eastAsia="宋体" w:cs="宋体"/>
          <w:b/>
          <w:bCs w:val="0"/>
          <w:color w:val="auto"/>
          <w:kern w:val="0"/>
          <w:sz w:val="32"/>
          <w:szCs w:val="32"/>
          <w:lang w:val="en-US" w:eastAsia="zh-CN" w:bidi="ar-SA"/>
        </w:rPr>
        <w:t>政府性基金预算财政拨款收入支出决算表</w:t>
      </w:r>
    </w:p>
    <w:p w14:paraId="37C106E5">
      <w:pPr>
        <w:pStyle w:val="14"/>
        <w:jc w:val="center"/>
        <w:rPr>
          <w:rFonts w:hint="eastAsia" w:ascii="仿宋_GB2312" w:hAnsi="仿宋_GB2312" w:eastAsia="仿宋_GB2312" w:cs="仿宋_GB2312"/>
          <w:b/>
          <w:bCs/>
          <w:sz w:val="72"/>
          <w:szCs w:val="72"/>
          <w:lang w:eastAsia="zh-CN"/>
        </w:rPr>
      </w:pPr>
      <w:r>
        <w:rPr>
          <w:rFonts w:hint="eastAsia" w:ascii="仿宋_GB2312" w:hAnsi="仿宋_GB2312" w:eastAsia="仿宋_GB2312" w:cs="仿宋_GB2312"/>
          <w:b/>
          <w:bCs/>
          <w:sz w:val="72"/>
          <w:szCs w:val="72"/>
          <w:lang w:eastAsia="zh-CN"/>
        </w:rPr>
        <w:drawing>
          <wp:inline distT="0" distB="0" distL="114300" distR="114300">
            <wp:extent cx="9398635" cy="2931795"/>
            <wp:effectExtent l="0" t="0" r="0" b="0"/>
            <wp:docPr id="17" name="图片 17" descr="岳阳市巴陵戏传承研究院_2024年决算公开报表_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岳阳市巴陵戏传承研究院_2024年决算公开报表_07"/>
                    <pic:cNvPicPr>
                      <a:picLocks noChangeAspect="1"/>
                    </pic:cNvPicPr>
                  </pic:nvPicPr>
                  <pic:blipFill>
                    <a:blip r:embed="rId10"/>
                    <a:srcRect t="15356" b="40526"/>
                    <a:stretch>
                      <a:fillRect/>
                    </a:stretch>
                  </pic:blipFill>
                  <pic:spPr>
                    <a:xfrm>
                      <a:off x="0" y="0"/>
                      <a:ext cx="9398635" cy="2931795"/>
                    </a:xfrm>
                    <a:prstGeom prst="rect">
                      <a:avLst/>
                    </a:prstGeom>
                  </pic:spPr>
                </pic:pic>
              </a:graphicData>
            </a:graphic>
          </wp:inline>
        </w:drawing>
      </w:r>
    </w:p>
    <w:p w14:paraId="7A7BF73F">
      <w:pPr>
        <w:pStyle w:val="14"/>
        <w:jc w:val="center"/>
        <w:rPr>
          <w:rFonts w:hint="eastAsia" w:ascii="宋体" w:hAnsi="宋体" w:eastAsia="宋体" w:cs="宋体"/>
          <w:b/>
          <w:bCs w:val="0"/>
          <w:color w:val="auto"/>
          <w:kern w:val="0"/>
          <w:sz w:val="32"/>
          <w:szCs w:val="32"/>
          <w:lang w:val="en-US" w:eastAsia="zh-CN" w:bidi="ar-SA"/>
        </w:rPr>
        <w:sectPr>
          <w:pgSz w:w="16838" w:h="11906" w:orient="landscape"/>
          <w:pgMar w:top="720" w:right="720" w:bottom="720" w:left="720" w:header="851" w:footer="992" w:gutter="0"/>
          <w:cols w:space="425" w:num="1"/>
          <w:docGrid w:type="linesAndChars" w:linePitch="312" w:charSpace="0"/>
        </w:sectPr>
      </w:pPr>
    </w:p>
    <w:p w14:paraId="1CDC6E09">
      <w:pPr>
        <w:pStyle w:val="14"/>
        <w:jc w:val="center"/>
        <w:rPr>
          <w:rFonts w:hint="default" w:ascii="宋体" w:hAnsi="宋体" w:eastAsia="宋体" w:cs="宋体"/>
          <w:b/>
          <w:bCs w:val="0"/>
          <w:color w:val="auto"/>
          <w:kern w:val="0"/>
          <w:sz w:val="32"/>
          <w:szCs w:val="32"/>
          <w:lang w:val="en-US" w:eastAsia="zh-CN" w:bidi="ar-SA"/>
        </w:rPr>
        <w:sectPr>
          <w:pgSz w:w="16838" w:h="11906" w:orient="landscape"/>
          <w:pgMar w:top="720" w:right="720" w:bottom="720" w:left="720" w:header="851" w:footer="992" w:gutter="0"/>
          <w:cols w:space="425" w:num="1"/>
          <w:docGrid w:type="linesAndChars" w:linePitch="312" w:charSpace="0"/>
        </w:sectPr>
      </w:pPr>
      <w:r>
        <w:rPr>
          <w:rFonts w:hint="eastAsia" w:ascii="宋体" w:hAnsi="宋体" w:eastAsia="宋体" w:cs="宋体"/>
          <w:b/>
          <w:bCs w:val="0"/>
          <w:color w:val="auto"/>
          <w:kern w:val="0"/>
          <w:sz w:val="32"/>
          <w:szCs w:val="32"/>
          <w:lang w:val="en-US" w:eastAsia="zh-CN" w:bidi="ar-SA"/>
        </w:rPr>
        <w:t>国有资本经营预算财政拨款支出决算表</w:t>
      </w:r>
      <w:r>
        <w:rPr>
          <w:rFonts w:hint="default" w:ascii="宋体" w:hAnsi="宋体" w:eastAsia="宋体" w:cs="宋体"/>
          <w:b/>
          <w:bCs w:val="0"/>
          <w:color w:val="auto"/>
          <w:kern w:val="0"/>
          <w:sz w:val="32"/>
          <w:szCs w:val="32"/>
          <w:lang w:val="en-US" w:eastAsia="zh-CN" w:bidi="ar-SA"/>
        </w:rPr>
        <w:drawing>
          <wp:inline distT="0" distB="0" distL="114300" distR="114300">
            <wp:extent cx="9765030" cy="4991100"/>
            <wp:effectExtent l="0" t="0" r="0" b="0"/>
            <wp:docPr id="1" name="图片 1" descr="岳阳市巴陵戏传承研究院_2024年决算公开报表_20250925152333_Z11 国有资本经营预算财政拨款支出决算表(公开08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岳阳市巴陵戏传承研究院_2024年决算公开报表_20250925152333_Z11 国有资本经营预算财政拨款支出决算表(公开08表)"/>
                    <pic:cNvPicPr>
                      <a:picLocks noChangeAspect="1"/>
                    </pic:cNvPicPr>
                  </pic:nvPicPr>
                  <pic:blipFill>
                    <a:blip r:embed="rId11"/>
                    <a:srcRect t="7653" b="9611"/>
                    <a:stretch>
                      <a:fillRect/>
                    </a:stretch>
                  </pic:blipFill>
                  <pic:spPr>
                    <a:xfrm>
                      <a:off x="0" y="0"/>
                      <a:ext cx="9765030" cy="4991100"/>
                    </a:xfrm>
                    <a:prstGeom prst="rect">
                      <a:avLst/>
                    </a:prstGeom>
                  </pic:spPr>
                </pic:pic>
              </a:graphicData>
            </a:graphic>
          </wp:inline>
        </w:drawing>
      </w:r>
    </w:p>
    <w:p w14:paraId="703319AC">
      <w:pPr>
        <w:pStyle w:val="14"/>
        <w:jc w:val="center"/>
        <w:rPr>
          <w:rFonts w:hint="eastAsia" w:ascii="仿宋_GB2312" w:hAnsi="仿宋_GB2312" w:eastAsia="仿宋_GB2312" w:cs="仿宋_GB2312"/>
          <w:b/>
          <w:bCs/>
          <w:sz w:val="72"/>
          <w:szCs w:val="72"/>
          <w:lang w:eastAsia="zh-CN"/>
        </w:rPr>
        <w:sectPr>
          <w:pgSz w:w="16838" w:h="11906" w:orient="landscape"/>
          <w:pgMar w:top="720" w:right="720" w:bottom="720" w:left="720" w:header="851" w:footer="992" w:gutter="0"/>
          <w:cols w:space="425" w:num="1"/>
          <w:docGrid w:type="linesAndChars" w:linePitch="312" w:charSpace="0"/>
        </w:sectPr>
      </w:pPr>
      <w:r>
        <w:rPr>
          <w:rFonts w:hint="eastAsia" w:ascii="宋体" w:hAnsi="宋体" w:eastAsia="宋体" w:cs="宋体"/>
          <w:b/>
          <w:bCs w:val="0"/>
          <w:color w:val="auto"/>
          <w:kern w:val="0"/>
          <w:sz w:val="32"/>
          <w:szCs w:val="32"/>
          <w:lang w:val="en-US" w:eastAsia="zh-CN" w:bidi="ar-SA"/>
        </w:rPr>
        <w:t>财政拨款“三公”经费支出决算表</w:t>
      </w:r>
      <w:r>
        <w:rPr>
          <w:rFonts w:hint="eastAsia" w:ascii="仿宋_GB2312" w:hAnsi="仿宋_GB2312" w:eastAsia="仿宋_GB2312" w:cs="仿宋_GB2312"/>
          <w:b/>
          <w:bCs/>
          <w:sz w:val="72"/>
          <w:szCs w:val="72"/>
          <w:lang w:eastAsia="zh-CN"/>
        </w:rPr>
        <w:drawing>
          <wp:inline distT="0" distB="0" distL="114300" distR="114300">
            <wp:extent cx="8689975" cy="2261235"/>
            <wp:effectExtent l="0" t="0" r="0" b="0"/>
            <wp:docPr id="19" name="图片 19" descr="岳阳市巴陵戏传承研究院_2024年决算公开报表_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岳阳市巴陵戏传承研究院_2024年决算公开报表_09"/>
                    <pic:cNvPicPr>
                      <a:picLocks noChangeAspect="1"/>
                    </pic:cNvPicPr>
                  </pic:nvPicPr>
                  <pic:blipFill>
                    <a:blip r:embed="rId12"/>
                    <a:srcRect l="3385" t="15299" r="4155" b="50674"/>
                    <a:stretch>
                      <a:fillRect/>
                    </a:stretch>
                  </pic:blipFill>
                  <pic:spPr>
                    <a:xfrm>
                      <a:off x="0" y="0"/>
                      <a:ext cx="8689975" cy="2261235"/>
                    </a:xfrm>
                    <a:prstGeom prst="rect">
                      <a:avLst/>
                    </a:prstGeom>
                  </pic:spPr>
                </pic:pic>
              </a:graphicData>
            </a:graphic>
          </wp:inline>
        </w:drawing>
      </w:r>
    </w:p>
    <w:p w14:paraId="7479FCB4">
      <w:pPr>
        <w:pStyle w:val="14"/>
        <w:jc w:val="center"/>
        <w:rPr>
          <w:rFonts w:hint="eastAsia" w:ascii="方正小标宋_GBK" w:hAnsi="方正小标宋_GBK" w:eastAsia="方正小标宋_GBK" w:cs="方正小标宋_GBK"/>
          <w:sz w:val="84"/>
          <w:szCs w:val="84"/>
        </w:rPr>
      </w:pPr>
    </w:p>
    <w:p w14:paraId="64118AD7">
      <w:pPr>
        <w:pStyle w:val="14"/>
        <w:jc w:val="center"/>
        <w:rPr>
          <w:rFonts w:hint="eastAsia" w:ascii="方正小标宋_GBK" w:hAnsi="方正小标宋_GBK" w:eastAsia="方正小标宋_GBK" w:cs="方正小标宋_GBK"/>
          <w:sz w:val="84"/>
          <w:szCs w:val="84"/>
        </w:rPr>
      </w:pPr>
    </w:p>
    <w:p w14:paraId="7804FBAA">
      <w:pPr>
        <w:pStyle w:val="14"/>
        <w:jc w:val="center"/>
        <w:rPr>
          <w:rFonts w:hint="eastAsia" w:ascii="方正小标宋_GBK" w:hAnsi="方正小标宋_GBK" w:eastAsia="方正小标宋_GBK" w:cs="方正小标宋_GBK"/>
          <w:sz w:val="84"/>
          <w:szCs w:val="84"/>
        </w:rPr>
      </w:pPr>
      <w:r>
        <w:rPr>
          <w:rFonts w:hint="eastAsia" w:ascii="方正小标宋_GBK" w:hAnsi="方正小标宋_GBK" w:eastAsia="方正小标宋_GBK" w:cs="方正小标宋_GBK"/>
          <w:sz w:val="84"/>
          <w:szCs w:val="84"/>
        </w:rPr>
        <w:t>第三部分</w:t>
      </w:r>
    </w:p>
    <w:p w14:paraId="7D53C949">
      <w:pPr>
        <w:pStyle w:val="14"/>
        <w:jc w:val="center"/>
        <w:rPr>
          <w:rFonts w:hint="eastAsia" w:ascii="方正小标宋_GBK" w:hAnsi="方正小标宋_GBK" w:eastAsia="方正小标宋_GBK" w:cs="方正小标宋_GBK"/>
          <w:sz w:val="32"/>
          <w:szCs w:val="32"/>
        </w:rPr>
      </w:pPr>
    </w:p>
    <w:p w14:paraId="4F77A5A6">
      <w:pPr>
        <w:pStyle w:val="14"/>
        <w:jc w:val="center"/>
        <w:rPr>
          <w:rFonts w:hint="eastAsia" w:ascii="方正小标宋_GBK" w:hAnsi="方正小标宋_GBK" w:eastAsia="方正小标宋_GBK" w:cs="方正小标宋_GBK"/>
          <w:sz w:val="84"/>
          <w:szCs w:val="84"/>
        </w:rPr>
      </w:pPr>
      <w:r>
        <w:rPr>
          <w:rFonts w:hint="eastAsia" w:ascii="方正小标宋_GBK" w:hAnsi="方正小标宋_GBK" w:eastAsia="方正小标宋_GBK" w:cs="方正小标宋_GBK"/>
          <w:sz w:val="84"/>
          <w:szCs w:val="84"/>
        </w:rPr>
        <w:t>202</w:t>
      </w:r>
      <w:r>
        <w:rPr>
          <w:rFonts w:hint="eastAsia" w:ascii="方正小标宋_GBK" w:hAnsi="方正小标宋_GBK" w:eastAsia="方正小标宋_GBK" w:cs="方正小标宋_GBK"/>
          <w:sz w:val="84"/>
          <w:szCs w:val="84"/>
          <w:lang w:val="en-US" w:eastAsia="zh-CN"/>
        </w:rPr>
        <w:t>4</w:t>
      </w:r>
      <w:r>
        <w:rPr>
          <w:rFonts w:hint="eastAsia" w:ascii="方正小标宋_GBK" w:hAnsi="方正小标宋_GBK" w:eastAsia="方正小标宋_GBK" w:cs="方正小标宋_GBK"/>
          <w:sz w:val="84"/>
          <w:szCs w:val="84"/>
        </w:rPr>
        <w:t>年度部门决算情况说明</w:t>
      </w:r>
    </w:p>
    <w:p w14:paraId="17862F93">
      <w:pPr>
        <w:pStyle w:val="14"/>
        <w:jc w:val="center"/>
        <w:rPr>
          <w:rFonts w:hint="eastAsia" w:ascii="方正小标宋_GBK" w:hAnsi="方正小标宋_GBK" w:eastAsia="方正小标宋_GBK" w:cs="方正小标宋_GBK"/>
          <w:sz w:val="70"/>
          <w:szCs w:val="70"/>
        </w:rPr>
      </w:pPr>
    </w:p>
    <w:p w14:paraId="6EEC30AB">
      <w:pPr>
        <w:pStyle w:val="14"/>
        <w:jc w:val="center"/>
        <w:rPr>
          <w:rFonts w:hint="eastAsia" w:ascii="方正小标宋_GBK" w:hAnsi="方正小标宋_GBK" w:eastAsia="方正小标宋_GBK" w:cs="方正小标宋_GBK"/>
          <w:sz w:val="70"/>
          <w:szCs w:val="70"/>
        </w:rPr>
      </w:pPr>
    </w:p>
    <w:p w14:paraId="417367C1">
      <w:pPr>
        <w:pStyle w:val="14"/>
        <w:jc w:val="center"/>
        <w:rPr>
          <w:rFonts w:hint="eastAsia" w:ascii="方正小标宋_GBK" w:hAnsi="方正小标宋_GBK" w:eastAsia="方正小标宋_GBK" w:cs="方正小标宋_GBK"/>
          <w:sz w:val="70"/>
          <w:szCs w:val="70"/>
        </w:rPr>
      </w:pPr>
    </w:p>
    <w:p w14:paraId="5EF1049C">
      <w:pPr>
        <w:pStyle w:val="14"/>
        <w:jc w:val="center"/>
        <w:rPr>
          <w:rFonts w:hint="eastAsia" w:ascii="方正小标宋_GBK" w:hAnsi="方正小标宋_GBK" w:eastAsia="方正小标宋_GBK" w:cs="方正小标宋_GBK"/>
          <w:sz w:val="70"/>
          <w:szCs w:val="70"/>
        </w:rPr>
      </w:pPr>
    </w:p>
    <w:p w14:paraId="7E4B3CF9">
      <w:pPr>
        <w:pStyle w:val="14"/>
        <w:jc w:val="center"/>
        <w:rPr>
          <w:rFonts w:hint="eastAsia" w:ascii="方正小标宋_GBK" w:hAnsi="方正小标宋_GBK" w:eastAsia="方正小标宋_GBK" w:cs="方正小标宋_GBK"/>
          <w:sz w:val="70"/>
          <w:szCs w:val="70"/>
        </w:rPr>
      </w:pPr>
    </w:p>
    <w:p w14:paraId="514C0722">
      <w:pPr>
        <w:pStyle w:val="14"/>
        <w:jc w:val="center"/>
        <w:rPr>
          <w:rFonts w:hint="eastAsia" w:ascii="方正小标宋_GBK" w:hAnsi="方正小标宋_GBK" w:eastAsia="方正小标宋_GBK" w:cs="方正小标宋_GBK"/>
          <w:sz w:val="70"/>
          <w:szCs w:val="70"/>
        </w:rPr>
      </w:pPr>
    </w:p>
    <w:p w14:paraId="7DA87182">
      <w:pPr>
        <w:widowControl/>
        <w:spacing w:line="240" w:lineRule="auto"/>
        <w:ind w:firstLine="640" w:firstLineChars="200"/>
        <w:jc w:val="both"/>
        <w:rPr>
          <w:rFonts w:hint="eastAsia" w:ascii="仿宋_GB2312" w:hAnsi="仿宋_GB2312" w:eastAsia="仿宋_GB2312" w:cs="仿宋_GB2312"/>
          <w:sz w:val="32"/>
          <w:szCs w:val="32"/>
        </w:rPr>
        <w:sectPr>
          <w:pgSz w:w="11906" w:h="16838"/>
          <w:pgMar w:top="720" w:right="720" w:bottom="720" w:left="720" w:header="851" w:footer="992" w:gutter="0"/>
          <w:cols w:space="425" w:num="1"/>
          <w:docGrid w:type="linesAndChars" w:linePitch="312" w:charSpace="0"/>
        </w:sectPr>
      </w:pPr>
    </w:p>
    <w:p w14:paraId="111D7AB8">
      <w:pPr>
        <w:widowControl/>
        <w:spacing w:line="240" w:lineRule="auto"/>
        <w:ind w:firstLine="640" w:firstLineChars="200"/>
        <w:jc w:val="both"/>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w:t>
      </w:r>
      <w:r>
        <w:rPr>
          <w:rFonts w:hint="eastAsia" w:ascii="仿宋_GB2312" w:hAnsi="仿宋_GB2312" w:eastAsia="仿宋_GB2312" w:cs="仿宋_GB2312"/>
          <w:sz w:val="32"/>
          <w:szCs w:val="32"/>
          <w:lang w:eastAsia="zh-CN"/>
        </w:rPr>
        <w:t>说明：</w:t>
      </w:r>
      <w:r>
        <w:rPr>
          <w:rFonts w:hint="eastAsia" w:ascii="仿宋_GB2312" w:hAnsi="仿宋_GB2312" w:eastAsia="仿宋_GB2312" w:cs="仿宋_GB2312"/>
          <w:sz w:val="32"/>
          <w:szCs w:val="32"/>
          <w:lang w:val="en-US" w:eastAsia="zh-CN"/>
        </w:rPr>
        <w:t>1、</w:t>
      </w:r>
      <w:r>
        <w:rPr>
          <w:rFonts w:hint="eastAsia" w:ascii="仿宋_GB2312" w:hAnsi="仿宋_GB2312" w:eastAsia="仿宋_GB2312" w:cs="仿宋_GB2312"/>
          <w:sz w:val="32"/>
          <w:szCs w:val="32"/>
        </w:rPr>
        <w:t>由于</w:t>
      </w:r>
      <w:r>
        <w:rPr>
          <w:rFonts w:hint="eastAsia" w:ascii="仿宋_GB2312" w:hAnsi="仿宋_GB2312" w:eastAsia="仿宋_GB2312" w:cs="仿宋_GB2312"/>
          <w:sz w:val="32"/>
          <w:szCs w:val="32"/>
          <w:lang w:eastAsia="zh-CN"/>
        </w:rPr>
        <w:t>部门</w:t>
      </w:r>
      <w:r>
        <w:rPr>
          <w:rFonts w:hint="eastAsia" w:ascii="仿宋_GB2312" w:hAnsi="仿宋_GB2312" w:eastAsia="仿宋_GB2312" w:cs="仿宋_GB2312"/>
          <w:sz w:val="32"/>
          <w:szCs w:val="32"/>
        </w:rPr>
        <w:t>决算编制时</w:t>
      </w:r>
      <w:r>
        <w:rPr>
          <w:rFonts w:hint="eastAsia" w:ascii="仿宋_GB2312" w:hAnsi="仿宋_GB2312" w:eastAsia="仿宋_GB2312" w:cs="仿宋_GB2312"/>
          <w:sz w:val="32"/>
          <w:szCs w:val="32"/>
          <w:lang w:eastAsia="zh-CN"/>
        </w:rPr>
        <w:t>数据</w:t>
      </w:r>
      <w:r>
        <w:rPr>
          <w:rFonts w:hint="eastAsia" w:ascii="仿宋_GB2312" w:hAnsi="仿宋_GB2312" w:eastAsia="仿宋_GB2312" w:cs="仿宋_GB2312"/>
          <w:sz w:val="32"/>
          <w:szCs w:val="32"/>
        </w:rPr>
        <w:t>明细</w:t>
      </w:r>
      <w:r>
        <w:rPr>
          <w:rFonts w:hint="eastAsia" w:ascii="仿宋_GB2312" w:hAnsi="仿宋_GB2312" w:eastAsia="仿宋_GB2312" w:cs="仿宋_GB2312"/>
          <w:sz w:val="32"/>
          <w:szCs w:val="32"/>
          <w:lang w:eastAsia="zh-CN"/>
        </w:rPr>
        <w:t>至“金额单位：元</w:t>
      </w:r>
      <w:r>
        <w:rPr>
          <w:rFonts w:hint="eastAsia" w:ascii="仿宋_GB2312" w:hAnsi="仿宋_GB2312" w:eastAsia="仿宋_GB2312" w:cs="仿宋_GB2312"/>
          <w:sz w:val="32"/>
          <w:szCs w:val="32"/>
        </w:rPr>
        <w:t>”，而</w:t>
      </w:r>
      <w:r>
        <w:rPr>
          <w:rFonts w:hint="eastAsia" w:ascii="仿宋_GB2312" w:hAnsi="仿宋_GB2312" w:eastAsia="仿宋_GB2312" w:cs="仿宋_GB2312"/>
          <w:sz w:val="32"/>
          <w:szCs w:val="32"/>
          <w:lang w:eastAsia="zh-CN"/>
        </w:rPr>
        <w:t>本套部门决算文字说明</w:t>
      </w:r>
      <w:r>
        <w:rPr>
          <w:rFonts w:hint="eastAsia" w:ascii="仿宋_GB2312" w:hAnsi="仿宋_GB2312" w:eastAsia="仿宋_GB2312" w:cs="仿宋_GB2312"/>
          <w:sz w:val="32"/>
          <w:szCs w:val="32"/>
        </w:rPr>
        <w:t>和公开表格</w:t>
      </w:r>
      <w:r>
        <w:rPr>
          <w:rFonts w:hint="eastAsia" w:ascii="仿宋_GB2312" w:hAnsi="仿宋_GB2312" w:eastAsia="仿宋_GB2312" w:cs="仿宋_GB2312"/>
          <w:sz w:val="32"/>
          <w:szCs w:val="32"/>
          <w:lang w:eastAsia="zh-CN"/>
        </w:rPr>
        <w:t>数据</w:t>
      </w:r>
      <w:r>
        <w:rPr>
          <w:rFonts w:hint="eastAsia" w:ascii="仿宋_GB2312" w:hAnsi="仿宋_GB2312" w:eastAsia="仿宋_GB2312" w:cs="仿宋_GB2312"/>
          <w:sz w:val="32"/>
          <w:szCs w:val="32"/>
        </w:rPr>
        <w:t>取数</w:t>
      </w:r>
      <w:r>
        <w:rPr>
          <w:rFonts w:hint="eastAsia" w:ascii="仿宋_GB2312" w:hAnsi="仿宋_GB2312" w:eastAsia="仿宋_GB2312" w:cs="仿宋_GB2312"/>
          <w:sz w:val="32"/>
          <w:szCs w:val="32"/>
          <w:lang w:eastAsia="zh-CN"/>
        </w:rPr>
        <w:t>转换为</w:t>
      </w:r>
      <w:r>
        <w:rPr>
          <w:rFonts w:hint="eastAsia" w:ascii="仿宋_GB2312" w:hAnsi="仿宋_GB2312" w:eastAsia="仿宋_GB2312" w:cs="仿宋_GB2312"/>
          <w:sz w:val="32"/>
          <w:szCs w:val="32"/>
        </w:rPr>
        <w:t>“</w:t>
      </w:r>
      <w:r>
        <w:rPr>
          <w:rFonts w:hint="eastAsia" w:ascii="仿宋_GB2312" w:hAnsi="仿宋_GB2312" w:eastAsia="仿宋_GB2312" w:cs="仿宋_GB2312"/>
          <w:sz w:val="32"/>
          <w:szCs w:val="32"/>
          <w:lang w:eastAsia="zh-CN"/>
        </w:rPr>
        <w:t>金额单位：</w:t>
      </w:r>
      <w:r>
        <w:rPr>
          <w:rFonts w:hint="eastAsia" w:ascii="仿宋_GB2312" w:hAnsi="仿宋_GB2312" w:eastAsia="仿宋_GB2312" w:cs="仿宋_GB2312"/>
          <w:sz w:val="32"/>
          <w:szCs w:val="32"/>
        </w:rPr>
        <w:t>万元”，可能导致</w:t>
      </w:r>
      <w:r>
        <w:rPr>
          <w:rFonts w:hint="eastAsia" w:ascii="仿宋_GB2312" w:hAnsi="仿宋_GB2312" w:eastAsia="仿宋_GB2312" w:cs="仿宋_GB2312"/>
          <w:sz w:val="32"/>
          <w:szCs w:val="32"/>
          <w:lang w:eastAsia="zh-CN"/>
        </w:rPr>
        <w:t>以下文字说明中的各项数据取数以及公开</w:t>
      </w:r>
      <w:r>
        <w:rPr>
          <w:rFonts w:hint="eastAsia" w:ascii="仿宋_GB2312" w:hAnsi="仿宋_GB2312" w:eastAsia="仿宋_GB2312" w:cs="仿宋_GB2312"/>
          <w:sz w:val="32"/>
          <w:szCs w:val="32"/>
        </w:rPr>
        <w:t>表格</w:t>
      </w:r>
      <w:r>
        <w:rPr>
          <w:rFonts w:hint="eastAsia" w:ascii="仿宋_GB2312" w:hAnsi="仿宋_GB2312" w:eastAsia="仿宋_GB2312" w:cs="仿宋_GB2312"/>
          <w:sz w:val="32"/>
          <w:szCs w:val="32"/>
          <w:lang w:eastAsia="zh-CN"/>
        </w:rPr>
        <w:t>中的各项数据取数之间存在</w:t>
      </w:r>
      <w:r>
        <w:rPr>
          <w:rFonts w:hint="eastAsia" w:ascii="仿宋_GB2312" w:hAnsi="仿宋_GB2312" w:eastAsia="仿宋_GB2312" w:cs="仿宋_GB2312"/>
          <w:sz w:val="32"/>
          <w:szCs w:val="32"/>
        </w:rPr>
        <w:t>0.01的尾数差异。</w:t>
      </w:r>
      <w:r>
        <w:rPr>
          <w:rFonts w:hint="eastAsia" w:ascii="仿宋_GB2312" w:hAnsi="仿宋_GB2312" w:eastAsia="仿宋_GB2312" w:cs="仿宋_GB2312"/>
          <w:sz w:val="32"/>
          <w:szCs w:val="32"/>
          <w:lang w:val="en-US" w:eastAsia="zh-CN"/>
        </w:rPr>
        <w:t>2、以下文字说明中，部分科目由于预算数为0，无法计算完成年初预算的百分比，故未描述“</w:t>
      </w:r>
      <w:r>
        <w:rPr>
          <w:rFonts w:hint="eastAsia" w:ascii="仿宋_GB2312" w:hAnsi="仿宋_GB2312" w:eastAsia="仿宋_GB2312" w:cs="仿宋_GB2312"/>
          <w:sz w:val="32"/>
          <w:szCs w:val="32"/>
        </w:rPr>
        <w:t>完成年初预算的XX%</w:t>
      </w:r>
      <w:r>
        <w:rPr>
          <w:rFonts w:hint="eastAsia" w:ascii="仿宋_GB2312" w:hAnsi="仿宋_GB2312" w:eastAsia="仿宋_GB2312" w:cs="仿宋_GB2312"/>
          <w:sz w:val="32"/>
          <w:szCs w:val="32"/>
          <w:lang w:val="en-US" w:eastAsia="zh-CN"/>
        </w:rPr>
        <w:t>”。</w:t>
      </w:r>
      <w:r>
        <w:rPr>
          <w:rFonts w:hint="eastAsia" w:ascii="仿宋_GB2312" w:hAnsi="仿宋_GB2312" w:eastAsia="仿宋_GB2312" w:cs="仿宋_GB2312"/>
          <w:sz w:val="32"/>
          <w:szCs w:val="32"/>
        </w:rPr>
        <w:t>）</w:t>
      </w:r>
    </w:p>
    <w:p w14:paraId="2411C081">
      <w:pPr>
        <w:pStyle w:val="14"/>
        <w:keepNext w:val="0"/>
        <w:keepLines w:val="0"/>
        <w:pageBreakBefore w:val="0"/>
        <w:widowControl w:val="0"/>
        <w:kinsoku/>
        <w:wordWrap/>
        <w:overflowPunct/>
        <w:topLinePunct w:val="0"/>
        <w:bidi w:val="0"/>
        <w:snapToGrid/>
        <w:spacing w:line="240" w:lineRule="auto"/>
        <w:ind w:firstLine="640" w:firstLineChars="200"/>
        <w:jc w:val="both"/>
        <w:textAlignment w:val="auto"/>
        <w:rPr>
          <w:rFonts w:hint="eastAsia" w:ascii="黑体" w:hAnsi="黑体" w:eastAsia="黑体" w:cs="黑体"/>
          <w:b w:val="0"/>
          <w:bCs/>
          <w:sz w:val="32"/>
          <w:szCs w:val="32"/>
        </w:rPr>
      </w:pPr>
      <w:r>
        <w:rPr>
          <w:rFonts w:hint="eastAsia" w:ascii="黑体" w:hAnsi="黑体" w:eastAsia="黑体" w:cs="黑体"/>
          <w:b w:val="0"/>
          <w:bCs/>
          <w:sz w:val="32"/>
          <w:szCs w:val="32"/>
        </w:rPr>
        <w:t>一、收入支出决算总体情况说明</w:t>
      </w:r>
    </w:p>
    <w:p w14:paraId="5CDCBAD6">
      <w:pPr>
        <w:pStyle w:val="14"/>
        <w:keepNext w:val="0"/>
        <w:keepLines w:val="0"/>
        <w:pageBreakBefore w:val="0"/>
        <w:widowControl w:val="0"/>
        <w:kinsoku/>
        <w:wordWrap/>
        <w:overflowPunct/>
        <w:topLinePunct w:val="0"/>
        <w:bidi w:val="0"/>
        <w:snapToGrid/>
        <w:spacing w:line="240" w:lineRule="auto"/>
        <w:ind w:firstLine="640" w:firstLineChars="200"/>
        <w:jc w:val="both"/>
        <w:textAlignment w:val="auto"/>
        <w:rPr>
          <w:rFonts w:hint="eastAsia"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kern w:val="2"/>
          <w:sz w:val="32"/>
          <w:szCs w:val="32"/>
          <w:lang w:val="en-US" w:eastAsia="zh-CN" w:bidi="ar-SA"/>
        </w:rPr>
        <w:t>2024年度收、支总计3151.63万元。与上年相比，减少539.18万元，增减少14.61%，主要是因为2024年度巴陵戏展演中心建设费减少。</w:t>
      </w:r>
    </w:p>
    <w:p w14:paraId="07DA9E3F">
      <w:pPr>
        <w:pStyle w:val="14"/>
        <w:keepNext w:val="0"/>
        <w:keepLines w:val="0"/>
        <w:pageBreakBefore w:val="0"/>
        <w:widowControl w:val="0"/>
        <w:kinsoku/>
        <w:wordWrap/>
        <w:overflowPunct/>
        <w:topLinePunct w:val="0"/>
        <w:bidi w:val="0"/>
        <w:snapToGrid/>
        <w:spacing w:line="240" w:lineRule="auto"/>
        <w:ind w:firstLine="640" w:firstLineChars="200"/>
        <w:jc w:val="both"/>
        <w:textAlignment w:val="auto"/>
        <w:rPr>
          <w:rFonts w:hint="eastAsia" w:ascii="黑体" w:hAnsi="黑体" w:eastAsia="黑体" w:cs="黑体"/>
          <w:b w:val="0"/>
          <w:bCs/>
          <w:sz w:val="32"/>
          <w:szCs w:val="32"/>
        </w:rPr>
      </w:pPr>
      <w:r>
        <w:rPr>
          <w:rFonts w:hint="eastAsia" w:ascii="黑体" w:hAnsi="黑体" w:eastAsia="黑体" w:cs="黑体"/>
          <w:b w:val="0"/>
          <w:bCs/>
          <w:sz w:val="32"/>
          <w:szCs w:val="32"/>
        </w:rPr>
        <w:t>二、收入决算情况说明</w:t>
      </w:r>
    </w:p>
    <w:p w14:paraId="2A53B2AD">
      <w:pPr>
        <w:pStyle w:val="14"/>
        <w:keepNext w:val="0"/>
        <w:keepLines w:val="0"/>
        <w:pageBreakBefore w:val="0"/>
        <w:widowControl w:val="0"/>
        <w:kinsoku/>
        <w:wordWrap/>
        <w:overflowPunct/>
        <w:topLinePunct w:val="0"/>
        <w:bidi w:val="0"/>
        <w:snapToGrid/>
        <w:spacing w:line="240" w:lineRule="auto"/>
        <w:ind w:firstLine="640" w:firstLineChars="200"/>
        <w:jc w:val="both"/>
        <w:textAlignment w:val="auto"/>
        <w:rPr>
          <w:rFonts w:hint="eastAsia"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kern w:val="2"/>
          <w:sz w:val="32"/>
          <w:szCs w:val="32"/>
          <w:lang w:val="en-US" w:eastAsia="zh-CN" w:bidi="ar-SA"/>
        </w:rPr>
        <w:t>2024年度收入合计3143.92万元，其中：财政拨款收入2900.53万元，占92.26%；上级补助收入0万元，占0%；事业收入0万元，占0%；经营收入0万元，占0%；附属单位上缴收入0万元，占0%；其他收入243.39万元，占7.74%。</w:t>
      </w:r>
    </w:p>
    <w:p w14:paraId="2D1A2B4D">
      <w:pPr>
        <w:pStyle w:val="14"/>
        <w:keepNext w:val="0"/>
        <w:keepLines w:val="0"/>
        <w:pageBreakBefore w:val="0"/>
        <w:widowControl w:val="0"/>
        <w:kinsoku/>
        <w:wordWrap/>
        <w:overflowPunct/>
        <w:topLinePunct w:val="0"/>
        <w:bidi w:val="0"/>
        <w:snapToGrid/>
        <w:spacing w:line="240" w:lineRule="auto"/>
        <w:ind w:firstLine="640" w:firstLineChars="200"/>
        <w:jc w:val="both"/>
        <w:textAlignment w:val="auto"/>
        <w:rPr>
          <w:rFonts w:hint="eastAsia" w:ascii="黑体" w:hAnsi="黑体" w:eastAsia="黑体" w:cs="黑体"/>
          <w:b w:val="0"/>
          <w:bCs/>
          <w:sz w:val="32"/>
          <w:szCs w:val="32"/>
        </w:rPr>
      </w:pPr>
      <w:r>
        <w:rPr>
          <w:rFonts w:hint="eastAsia" w:ascii="黑体" w:hAnsi="黑体" w:eastAsia="黑体" w:cs="黑体"/>
          <w:b w:val="0"/>
          <w:bCs/>
          <w:sz w:val="32"/>
          <w:szCs w:val="32"/>
        </w:rPr>
        <w:t>三、支出决算情况说明</w:t>
      </w:r>
    </w:p>
    <w:p w14:paraId="28222937">
      <w:pPr>
        <w:pStyle w:val="14"/>
        <w:keepNext w:val="0"/>
        <w:keepLines w:val="0"/>
        <w:pageBreakBefore w:val="0"/>
        <w:widowControl w:val="0"/>
        <w:kinsoku/>
        <w:wordWrap/>
        <w:overflowPunct/>
        <w:topLinePunct w:val="0"/>
        <w:bidi w:val="0"/>
        <w:snapToGrid/>
        <w:spacing w:line="240" w:lineRule="auto"/>
        <w:ind w:firstLine="640" w:firstLineChars="200"/>
        <w:jc w:val="both"/>
        <w:textAlignment w:val="auto"/>
        <w:rPr>
          <w:rFonts w:hint="eastAsia"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kern w:val="2"/>
          <w:sz w:val="32"/>
          <w:szCs w:val="32"/>
          <w:lang w:val="en-US" w:eastAsia="zh-CN" w:bidi="ar-SA"/>
        </w:rPr>
        <w:t>2024年度支出合计3151.64万元，其中：基本支出2412.4万元，占76.54%；项目支出739.24万元，占23.46%；上缴上级支出0万元，占0%；经营支出0万元，占0%；对附属单位补助支出0万元，占0%。</w:t>
      </w:r>
    </w:p>
    <w:p w14:paraId="69857526">
      <w:pPr>
        <w:pStyle w:val="14"/>
        <w:keepNext w:val="0"/>
        <w:keepLines w:val="0"/>
        <w:pageBreakBefore w:val="0"/>
        <w:widowControl w:val="0"/>
        <w:kinsoku/>
        <w:wordWrap/>
        <w:overflowPunct/>
        <w:topLinePunct w:val="0"/>
        <w:bidi w:val="0"/>
        <w:snapToGrid/>
        <w:spacing w:line="240" w:lineRule="auto"/>
        <w:ind w:firstLine="640" w:firstLineChars="200"/>
        <w:jc w:val="both"/>
        <w:textAlignment w:val="auto"/>
        <w:rPr>
          <w:rFonts w:hint="eastAsia" w:ascii="黑体" w:hAnsi="黑体" w:eastAsia="黑体" w:cs="黑体"/>
          <w:b w:val="0"/>
          <w:bCs/>
          <w:sz w:val="32"/>
          <w:szCs w:val="32"/>
        </w:rPr>
      </w:pPr>
      <w:r>
        <w:rPr>
          <w:rFonts w:hint="eastAsia" w:ascii="黑体" w:hAnsi="黑体" w:eastAsia="黑体" w:cs="黑体"/>
          <w:b w:val="0"/>
          <w:bCs/>
          <w:sz w:val="32"/>
          <w:szCs w:val="32"/>
        </w:rPr>
        <w:t>四、财政拨款收入支出决算总体情况说明</w:t>
      </w:r>
    </w:p>
    <w:p w14:paraId="4ED35F49">
      <w:pPr>
        <w:pStyle w:val="14"/>
        <w:keepNext w:val="0"/>
        <w:keepLines w:val="0"/>
        <w:pageBreakBefore w:val="0"/>
        <w:widowControl w:val="0"/>
        <w:kinsoku/>
        <w:wordWrap/>
        <w:overflowPunct/>
        <w:topLinePunct w:val="0"/>
        <w:bidi w:val="0"/>
        <w:snapToGrid/>
        <w:spacing w:line="240" w:lineRule="auto"/>
        <w:ind w:firstLine="640" w:firstLineChars="200"/>
        <w:jc w:val="both"/>
        <w:textAlignment w:val="auto"/>
        <w:rPr>
          <w:rFonts w:hint="eastAsia"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kern w:val="2"/>
          <w:sz w:val="32"/>
          <w:szCs w:val="32"/>
          <w:lang w:val="en-US" w:eastAsia="zh-CN" w:bidi="ar-SA"/>
        </w:rPr>
        <w:t>2024年度财政拨款收、支总计2900.53万元，与上年相比，减少586.7万元，减少16.82%，主要是因为缩减开支，习惯过紧日子。</w:t>
      </w:r>
    </w:p>
    <w:p w14:paraId="4BB30A62">
      <w:pPr>
        <w:pStyle w:val="14"/>
        <w:keepNext w:val="0"/>
        <w:keepLines w:val="0"/>
        <w:pageBreakBefore w:val="0"/>
        <w:widowControl w:val="0"/>
        <w:kinsoku/>
        <w:wordWrap/>
        <w:overflowPunct/>
        <w:topLinePunct w:val="0"/>
        <w:bidi w:val="0"/>
        <w:snapToGrid/>
        <w:spacing w:line="240" w:lineRule="auto"/>
        <w:ind w:firstLine="640" w:firstLineChars="200"/>
        <w:jc w:val="both"/>
        <w:textAlignment w:val="auto"/>
        <w:rPr>
          <w:rFonts w:hint="eastAsia" w:ascii="黑体" w:hAnsi="黑体" w:eastAsia="黑体" w:cs="黑体"/>
          <w:b w:val="0"/>
          <w:bCs/>
          <w:sz w:val="32"/>
          <w:szCs w:val="32"/>
        </w:rPr>
      </w:pPr>
      <w:r>
        <w:rPr>
          <w:rFonts w:hint="eastAsia" w:ascii="黑体" w:hAnsi="黑体" w:eastAsia="黑体" w:cs="黑体"/>
          <w:b w:val="0"/>
          <w:bCs/>
          <w:sz w:val="32"/>
          <w:szCs w:val="32"/>
        </w:rPr>
        <w:t>五、一般公共预算财政拨款支出决算情况说明</w:t>
      </w:r>
    </w:p>
    <w:p w14:paraId="60232831">
      <w:pPr>
        <w:pStyle w:val="14"/>
        <w:keepNext w:val="0"/>
        <w:keepLines w:val="0"/>
        <w:pageBreakBefore w:val="0"/>
        <w:widowControl w:val="0"/>
        <w:kinsoku/>
        <w:wordWrap/>
        <w:overflowPunct/>
        <w:topLinePunct w:val="0"/>
        <w:bidi w:val="0"/>
        <w:snapToGrid/>
        <w:spacing w:line="240" w:lineRule="auto"/>
        <w:ind w:firstLine="640" w:firstLineChars="200"/>
        <w:jc w:val="both"/>
        <w:textAlignment w:val="auto"/>
        <w:rPr>
          <w:rFonts w:hint="eastAsia" w:ascii="楷体" w:hAnsi="楷体" w:eastAsia="楷体" w:cs="楷体"/>
          <w:color w:val="auto"/>
          <w:kern w:val="2"/>
          <w:sz w:val="32"/>
          <w:szCs w:val="32"/>
          <w:lang w:val="en-US" w:eastAsia="zh-CN" w:bidi="ar-SA"/>
        </w:rPr>
      </w:pPr>
      <w:r>
        <w:rPr>
          <w:rFonts w:hint="eastAsia" w:ascii="楷体" w:hAnsi="楷体" w:eastAsia="楷体" w:cs="楷体"/>
          <w:color w:val="auto"/>
          <w:kern w:val="2"/>
          <w:sz w:val="32"/>
          <w:szCs w:val="32"/>
          <w:lang w:val="en-US" w:eastAsia="zh-CN" w:bidi="ar-SA"/>
        </w:rPr>
        <w:t>（一）一般公共预算财政拨款支出决算总体情况</w:t>
      </w:r>
    </w:p>
    <w:p w14:paraId="76CAEDEF">
      <w:pPr>
        <w:pStyle w:val="14"/>
        <w:keepNext w:val="0"/>
        <w:keepLines w:val="0"/>
        <w:pageBreakBefore w:val="0"/>
        <w:widowControl w:val="0"/>
        <w:kinsoku/>
        <w:wordWrap/>
        <w:overflowPunct/>
        <w:topLinePunct w:val="0"/>
        <w:bidi w:val="0"/>
        <w:snapToGrid/>
        <w:spacing w:line="240" w:lineRule="auto"/>
        <w:ind w:firstLine="800" w:firstLineChars="250"/>
        <w:jc w:val="both"/>
        <w:textAlignment w:val="auto"/>
        <w:rPr>
          <w:rFonts w:hint="eastAsia"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kern w:val="2"/>
          <w:sz w:val="32"/>
          <w:szCs w:val="32"/>
          <w:lang w:val="en-US" w:eastAsia="zh-CN" w:bidi="ar-SA"/>
        </w:rPr>
        <w:t>2024年度财政拨款支出2782.97万元，占本年支出合计的88.3%，与上年相比，财政拨款支出减少105.46万元，减少3.65%，主要是因为缩减开支，习惯过紧日子。</w:t>
      </w:r>
    </w:p>
    <w:p w14:paraId="66C54C85">
      <w:pPr>
        <w:pStyle w:val="14"/>
        <w:keepNext w:val="0"/>
        <w:keepLines w:val="0"/>
        <w:pageBreakBefore w:val="0"/>
        <w:widowControl w:val="0"/>
        <w:kinsoku/>
        <w:wordWrap/>
        <w:overflowPunct/>
        <w:topLinePunct w:val="0"/>
        <w:bidi w:val="0"/>
        <w:snapToGrid/>
        <w:spacing w:line="240" w:lineRule="auto"/>
        <w:ind w:firstLine="640" w:firstLineChars="200"/>
        <w:jc w:val="both"/>
        <w:textAlignment w:val="auto"/>
        <w:rPr>
          <w:rFonts w:hint="eastAsia" w:ascii="楷体" w:hAnsi="楷体" w:eastAsia="楷体" w:cs="楷体"/>
          <w:color w:val="auto"/>
          <w:kern w:val="2"/>
          <w:sz w:val="32"/>
          <w:szCs w:val="32"/>
          <w:lang w:val="en-US" w:eastAsia="zh-CN" w:bidi="ar-SA"/>
        </w:rPr>
      </w:pPr>
      <w:r>
        <w:rPr>
          <w:rFonts w:hint="eastAsia" w:ascii="楷体" w:hAnsi="楷体" w:eastAsia="楷体" w:cs="楷体"/>
          <w:color w:val="auto"/>
          <w:kern w:val="2"/>
          <w:sz w:val="32"/>
          <w:szCs w:val="32"/>
          <w:lang w:val="en-US" w:eastAsia="zh-CN" w:bidi="ar-SA"/>
        </w:rPr>
        <w:t>（二）一般公共预算财政拨款支出决算结构情况</w:t>
      </w:r>
    </w:p>
    <w:p w14:paraId="6EDF1BA3">
      <w:pPr>
        <w:pStyle w:val="14"/>
        <w:spacing w:line="240" w:lineRule="auto"/>
        <w:ind w:firstLine="640" w:firstLineChars="200"/>
        <w:jc w:val="both"/>
        <w:rPr>
          <w:rFonts w:hint="default"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kern w:val="2"/>
          <w:sz w:val="32"/>
          <w:szCs w:val="32"/>
          <w:lang w:val="en-US" w:eastAsia="zh-CN" w:bidi="ar-SA"/>
        </w:rPr>
        <w:t>2024年度财政拨款支出2782.97万元，主要用于以下方面：一般公共服务（类）支出5万元，占0.18%，其中：宣传事务支出5万元；文化旅游体育与传媒支出1859.98万元，占66.83%，其中：艺术表演团体支出1558.88万元，其他文化和旅游支出246.1万元，其他文化旅游体育与传媒支出55万元；社会保障和就业支出467.96万元，占16.82%；其中：事业单位离退休支出248.72万元，机关事业单位养老保险缴费支出182.53万元，其他优抚支出20.49万元，其他残疾人事业支出12.94万元，其他社会保障和就业支出3.28万元；卫生健康支出128.15万元，占4.6%，其中：事业单位医疗支出128.15万元；节能环保支出190.31万元，占6.84%，其中水体支出190.31万元；住房保障支出131.58万元，占4.73%，其中：住房公积金支出131.58万元。</w:t>
      </w:r>
    </w:p>
    <w:p w14:paraId="5CDBADF9">
      <w:pPr>
        <w:pStyle w:val="14"/>
        <w:keepNext w:val="0"/>
        <w:keepLines w:val="0"/>
        <w:pageBreakBefore w:val="0"/>
        <w:widowControl w:val="0"/>
        <w:kinsoku/>
        <w:wordWrap/>
        <w:overflowPunct/>
        <w:topLinePunct w:val="0"/>
        <w:bidi w:val="0"/>
        <w:snapToGrid/>
        <w:spacing w:line="240" w:lineRule="auto"/>
        <w:ind w:firstLine="640" w:firstLineChars="200"/>
        <w:jc w:val="both"/>
        <w:textAlignment w:val="auto"/>
        <w:rPr>
          <w:rFonts w:hint="eastAsia" w:ascii="楷体" w:hAnsi="楷体" w:eastAsia="楷体" w:cs="楷体"/>
          <w:color w:val="auto"/>
          <w:kern w:val="2"/>
          <w:sz w:val="32"/>
          <w:szCs w:val="32"/>
          <w:lang w:val="en-US" w:eastAsia="zh-CN" w:bidi="ar-SA"/>
        </w:rPr>
      </w:pPr>
      <w:r>
        <w:rPr>
          <w:rFonts w:hint="eastAsia" w:ascii="楷体" w:hAnsi="楷体" w:eastAsia="楷体" w:cs="楷体"/>
          <w:color w:val="auto"/>
          <w:kern w:val="2"/>
          <w:sz w:val="32"/>
          <w:szCs w:val="32"/>
          <w:lang w:val="en-US" w:eastAsia="zh-CN" w:bidi="ar-SA"/>
        </w:rPr>
        <w:t>（三）一般公共预算财政拨款支出决算具体情况</w:t>
      </w:r>
    </w:p>
    <w:p w14:paraId="5B07DAE0">
      <w:pPr>
        <w:pStyle w:val="14"/>
        <w:keepNext w:val="0"/>
        <w:keepLines w:val="0"/>
        <w:pageBreakBefore w:val="0"/>
        <w:widowControl w:val="0"/>
        <w:kinsoku/>
        <w:wordWrap/>
        <w:overflowPunct/>
        <w:topLinePunct w:val="0"/>
        <w:bidi w:val="0"/>
        <w:snapToGrid/>
        <w:spacing w:line="240" w:lineRule="auto"/>
        <w:ind w:firstLine="800" w:firstLineChars="250"/>
        <w:jc w:val="both"/>
        <w:textAlignment w:val="auto"/>
        <w:rPr>
          <w:rFonts w:hint="eastAsia"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kern w:val="2"/>
          <w:sz w:val="32"/>
          <w:szCs w:val="32"/>
          <w:lang w:val="en-US" w:eastAsia="zh-CN" w:bidi="ar-SA"/>
        </w:rPr>
        <w:t>2024年度财政拨款支出年初预算数为2057.62万元，支出决算数为2782.97万元，完成年初预算的135.25%，其中：</w:t>
      </w:r>
    </w:p>
    <w:p w14:paraId="20CC40D7">
      <w:pPr>
        <w:pStyle w:val="14"/>
        <w:spacing w:line="240" w:lineRule="auto"/>
        <w:ind w:firstLine="640" w:firstLineChars="200"/>
        <w:jc w:val="both"/>
        <w:rPr>
          <w:rFonts w:hint="eastAsia"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kern w:val="2"/>
          <w:sz w:val="32"/>
          <w:szCs w:val="32"/>
          <w:lang w:val="en-US" w:eastAsia="zh-CN" w:bidi="ar-SA"/>
        </w:rPr>
        <w:t>1.一般公共服务（类）宣传事务（款）其他宣传事务支出（项）。</w:t>
      </w:r>
    </w:p>
    <w:p w14:paraId="4E776608">
      <w:pPr>
        <w:pStyle w:val="14"/>
        <w:spacing w:line="240" w:lineRule="auto"/>
        <w:ind w:firstLine="640" w:firstLineChars="200"/>
        <w:jc w:val="both"/>
        <w:rPr>
          <w:rFonts w:hint="eastAsia"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kern w:val="2"/>
          <w:sz w:val="32"/>
          <w:szCs w:val="32"/>
          <w:lang w:val="en-US" w:eastAsia="zh-CN" w:bidi="ar-SA"/>
        </w:rPr>
        <w:t>年初预算为0万元，支出决算为5万元，由于预算数为0，无法计算百分比。决算数大于年初预算数的主要原因是：上年结余收入弥补了日常公用经费。</w:t>
      </w:r>
    </w:p>
    <w:p w14:paraId="67F06E36">
      <w:pPr>
        <w:pStyle w:val="14"/>
        <w:spacing w:line="240" w:lineRule="auto"/>
        <w:ind w:firstLine="640" w:firstLineChars="200"/>
        <w:jc w:val="both"/>
        <w:rPr>
          <w:rFonts w:hint="eastAsia"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kern w:val="2"/>
          <w:sz w:val="32"/>
          <w:szCs w:val="32"/>
          <w:lang w:val="en-US" w:eastAsia="zh-CN" w:bidi="ar-SA"/>
        </w:rPr>
        <w:t>2.文化旅游体育与传媒支出（类）文化和旅游（款）艺术表演团体（项）。</w:t>
      </w:r>
    </w:p>
    <w:p w14:paraId="4103DC38">
      <w:pPr>
        <w:pStyle w:val="14"/>
        <w:spacing w:line="240" w:lineRule="auto"/>
        <w:ind w:firstLine="640" w:firstLineChars="200"/>
        <w:jc w:val="both"/>
        <w:rPr>
          <w:rFonts w:hint="eastAsia"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kern w:val="2"/>
          <w:sz w:val="32"/>
          <w:szCs w:val="32"/>
          <w:lang w:val="en-US" w:eastAsia="zh-CN" w:bidi="ar-SA"/>
        </w:rPr>
        <w:t>年初预算为1394.9万元，支出决算为1558.88万元，完成年初预算的111.76%，决算数大于年初预算数的原因是上年结余收入弥补了日常公用经费。</w:t>
      </w:r>
    </w:p>
    <w:p w14:paraId="4AC869DF">
      <w:pPr>
        <w:pStyle w:val="14"/>
        <w:spacing w:line="240" w:lineRule="auto"/>
        <w:ind w:firstLine="640" w:firstLineChars="200"/>
        <w:jc w:val="both"/>
        <w:rPr>
          <w:rFonts w:hint="eastAsia"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kern w:val="2"/>
          <w:sz w:val="32"/>
          <w:szCs w:val="32"/>
          <w:lang w:val="en-US" w:eastAsia="zh-CN" w:bidi="ar-SA"/>
        </w:rPr>
        <w:t>3.文化旅游体育与传媒支出（类）文化和旅游（款）其他文化和旅游支出（项）。</w:t>
      </w:r>
    </w:p>
    <w:p w14:paraId="23FFBCD7">
      <w:pPr>
        <w:pStyle w:val="14"/>
        <w:keepNext w:val="0"/>
        <w:keepLines w:val="0"/>
        <w:pageBreakBefore w:val="0"/>
        <w:widowControl w:val="0"/>
        <w:kinsoku/>
        <w:wordWrap/>
        <w:overflowPunct/>
        <w:topLinePunct w:val="0"/>
        <w:bidi w:val="0"/>
        <w:snapToGrid/>
        <w:spacing w:line="240" w:lineRule="auto"/>
        <w:ind w:firstLine="640" w:firstLineChars="200"/>
        <w:jc w:val="both"/>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年初预算为0万元，支出决算为246.10万元，由于预算数为0，无法计算百分比。决算数大于年初预算数的主要原因是：上年结转收入弥补了日常公用经费。</w:t>
      </w:r>
    </w:p>
    <w:p w14:paraId="4FDDBEDC">
      <w:pPr>
        <w:pStyle w:val="14"/>
        <w:keepNext w:val="0"/>
        <w:keepLines w:val="0"/>
        <w:pageBreakBefore w:val="0"/>
        <w:widowControl w:val="0"/>
        <w:kinsoku/>
        <w:wordWrap/>
        <w:overflowPunct/>
        <w:topLinePunct w:val="0"/>
        <w:bidi w:val="0"/>
        <w:snapToGrid/>
        <w:spacing w:line="240" w:lineRule="auto"/>
        <w:ind w:firstLine="640" w:firstLineChars="200"/>
        <w:jc w:val="both"/>
        <w:textAlignment w:val="auto"/>
        <w:rPr>
          <w:rFonts w:hint="default"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4.文化旅游体育与传媒支出（类）其他文化旅游体育与传媒支出（款）其他文化旅游体育与传媒支出（项）。</w:t>
      </w:r>
    </w:p>
    <w:p w14:paraId="0F9D51FE">
      <w:pPr>
        <w:pStyle w:val="14"/>
        <w:keepNext w:val="0"/>
        <w:keepLines w:val="0"/>
        <w:pageBreakBefore w:val="0"/>
        <w:widowControl w:val="0"/>
        <w:kinsoku/>
        <w:wordWrap/>
        <w:overflowPunct/>
        <w:topLinePunct w:val="0"/>
        <w:bidi w:val="0"/>
        <w:snapToGrid/>
        <w:spacing w:line="240" w:lineRule="auto"/>
        <w:ind w:firstLine="640" w:firstLineChars="200"/>
        <w:jc w:val="both"/>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年初预算为0万元，支出决算为55万元，由于预算数为0，无法计算百分比。决算</w:t>
      </w:r>
      <w:r>
        <w:rPr>
          <w:rFonts w:hint="eastAsia" w:ascii="仿宋_GB2312" w:hAnsi="仿宋_GB2312" w:eastAsia="仿宋_GB2312" w:cs="仿宋_GB2312"/>
          <w:color w:val="auto"/>
          <w:kern w:val="2"/>
          <w:sz w:val="32"/>
          <w:szCs w:val="32"/>
          <w:lang w:val="en-US" w:eastAsia="zh-CN" w:bidi="ar-SA"/>
        </w:rPr>
        <w:t>数大于年初预算数的主要原因是：上年结转收入弥补了日常公用经费。</w:t>
      </w:r>
    </w:p>
    <w:p w14:paraId="57197D34">
      <w:pPr>
        <w:pStyle w:val="14"/>
        <w:keepNext w:val="0"/>
        <w:keepLines w:val="0"/>
        <w:pageBreakBefore w:val="0"/>
        <w:widowControl w:val="0"/>
        <w:kinsoku/>
        <w:wordWrap/>
        <w:overflowPunct/>
        <w:topLinePunct w:val="0"/>
        <w:bidi w:val="0"/>
        <w:snapToGrid/>
        <w:spacing w:line="240" w:lineRule="auto"/>
        <w:ind w:firstLine="640" w:firstLineChars="200"/>
        <w:jc w:val="both"/>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5.社会保障和就业支出（类）行政事业单位养老支出（款）事业单位离退休支出（项）。</w:t>
      </w:r>
    </w:p>
    <w:p w14:paraId="1FEC0A8E">
      <w:pPr>
        <w:pStyle w:val="14"/>
        <w:keepNext w:val="0"/>
        <w:keepLines w:val="0"/>
        <w:pageBreakBefore w:val="0"/>
        <w:widowControl w:val="0"/>
        <w:kinsoku/>
        <w:wordWrap/>
        <w:overflowPunct/>
        <w:topLinePunct w:val="0"/>
        <w:bidi w:val="0"/>
        <w:snapToGrid/>
        <w:spacing w:line="240" w:lineRule="auto"/>
        <w:ind w:firstLine="640" w:firstLineChars="200"/>
        <w:jc w:val="both"/>
        <w:textAlignment w:val="auto"/>
        <w:rPr>
          <w:rFonts w:hint="default"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年初预算为204.24万元，支出决算为248.72万元，完成年初预算的121.78%，决算数大于年初预算数的主要原因是：退休人员的基础绩效奖年初是按人平2万预拨的。</w:t>
      </w:r>
    </w:p>
    <w:p w14:paraId="4E8F5988">
      <w:pPr>
        <w:pStyle w:val="14"/>
        <w:keepNext w:val="0"/>
        <w:keepLines w:val="0"/>
        <w:pageBreakBefore w:val="0"/>
        <w:widowControl w:val="0"/>
        <w:kinsoku/>
        <w:wordWrap/>
        <w:overflowPunct/>
        <w:topLinePunct w:val="0"/>
        <w:bidi w:val="0"/>
        <w:snapToGrid/>
        <w:spacing w:line="240" w:lineRule="auto"/>
        <w:ind w:firstLine="640" w:firstLineChars="200"/>
        <w:jc w:val="both"/>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6.社会保障和就业支出（类）行政事业单位养老支出（款）机关事业单位基本养老保险缴费支出（项）。</w:t>
      </w:r>
    </w:p>
    <w:p w14:paraId="28121BB6">
      <w:pPr>
        <w:pStyle w:val="14"/>
        <w:keepNext w:val="0"/>
        <w:keepLines w:val="0"/>
        <w:pageBreakBefore w:val="0"/>
        <w:widowControl w:val="0"/>
        <w:kinsoku/>
        <w:wordWrap/>
        <w:overflowPunct/>
        <w:topLinePunct w:val="0"/>
        <w:bidi w:val="0"/>
        <w:snapToGrid/>
        <w:spacing w:line="240" w:lineRule="auto"/>
        <w:ind w:firstLine="640" w:firstLineChars="200"/>
        <w:jc w:val="both"/>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年初预算为182.53万元，支出决算为182.53万元，完成年初预算的100%，决算数等于年初预算数。决算数等于年初预算数的主要原因是单位用其他资金弥补了异动人员的单位基本养老保险缴费支出。</w:t>
      </w:r>
    </w:p>
    <w:p w14:paraId="1C2EFA4F">
      <w:pPr>
        <w:pStyle w:val="14"/>
        <w:keepNext w:val="0"/>
        <w:keepLines w:val="0"/>
        <w:pageBreakBefore w:val="0"/>
        <w:widowControl w:val="0"/>
        <w:kinsoku/>
        <w:wordWrap/>
        <w:overflowPunct/>
        <w:topLinePunct w:val="0"/>
        <w:bidi w:val="0"/>
        <w:snapToGrid/>
        <w:spacing w:line="240" w:lineRule="auto"/>
        <w:ind w:firstLine="640" w:firstLineChars="200"/>
        <w:jc w:val="both"/>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7.社会保障和就业支出（类）抚恤（款）其他优抚支出（项）。</w:t>
      </w:r>
    </w:p>
    <w:p w14:paraId="1E636352">
      <w:pPr>
        <w:pStyle w:val="14"/>
        <w:keepNext w:val="0"/>
        <w:keepLines w:val="0"/>
        <w:pageBreakBefore w:val="0"/>
        <w:widowControl w:val="0"/>
        <w:kinsoku/>
        <w:wordWrap/>
        <w:overflowPunct/>
        <w:topLinePunct w:val="0"/>
        <w:bidi w:val="0"/>
        <w:snapToGrid/>
        <w:spacing w:line="240" w:lineRule="auto"/>
        <w:ind w:firstLine="640" w:firstLineChars="200"/>
        <w:jc w:val="both"/>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年初预算为0万元，支出决算为20.49万元，由于预算数为0，无法计算百分比。决算数大于年初预算数的原因是财政无法将此项支出列入预算。</w:t>
      </w:r>
    </w:p>
    <w:p w14:paraId="227E0BBA">
      <w:pPr>
        <w:pStyle w:val="14"/>
        <w:keepNext w:val="0"/>
        <w:keepLines w:val="0"/>
        <w:pageBreakBefore w:val="0"/>
        <w:widowControl w:val="0"/>
        <w:kinsoku/>
        <w:wordWrap/>
        <w:overflowPunct/>
        <w:topLinePunct w:val="0"/>
        <w:bidi w:val="0"/>
        <w:snapToGrid/>
        <w:spacing w:line="240" w:lineRule="auto"/>
        <w:ind w:firstLine="640" w:firstLineChars="200"/>
        <w:jc w:val="both"/>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8.社会保障和就业支出（类）残疾人事业（款）其他残疾人事业支出（项）。</w:t>
      </w:r>
    </w:p>
    <w:p w14:paraId="50CA51F6">
      <w:pPr>
        <w:pStyle w:val="14"/>
        <w:keepNext w:val="0"/>
        <w:keepLines w:val="0"/>
        <w:pageBreakBefore w:val="0"/>
        <w:widowControl w:val="0"/>
        <w:kinsoku/>
        <w:wordWrap/>
        <w:overflowPunct/>
        <w:topLinePunct w:val="0"/>
        <w:bidi w:val="0"/>
        <w:snapToGrid/>
        <w:spacing w:line="240" w:lineRule="auto"/>
        <w:ind w:firstLine="640" w:firstLineChars="200"/>
        <w:jc w:val="both"/>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年初预算为12.94万元，支出决算为20.49万元，完成年初预算的158.35%，决算数大于年初预算数的主要原因是：本年有人员增加。</w:t>
      </w:r>
    </w:p>
    <w:p w14:paraId="6223DAB7">
      <w:pPr>
        <w:pStyle w:val="14"/>
        <w:keepNext w:val="0"/>
        <w:keepLines w:val="0"/>
        <w:pageBreakBefore w:val="0"/>
        <w:widowControl w:val="0"/>
        <w:kinsoku/>
        <w:wordWrap/>
        <w:overflowPunct/>
        <w:topLinePunct w:val="0"/>
        <w:bidi w:val="0"/>
        <w:snapToGrid/>
        <w:spacing w:line="240" w:lineRule="auto"/>
        <w:ind w:firstLine="640" w:firstLineChars="200"/>
        <w:jc w:val="both"/>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9.社会保障和就业支出（类）其他社会保障和就业支出（款）其他社会保障和就业支出（项）。</w:t>
      </w:r>
    </w:p>
    <w:p w14:paraId="1360F8FF">
      <w:pPr>
        <w:pStyle w:val="14"/>
        <w:keepNext w:val="0"/>
        <w:keepLines w:val="0"/>
        <w:pageBreakBefore w:val="0"/>
        <w:widowControl w:val="0"/>
        <w:kinsoku/>
        <w:wordWrap/>
        <w:overflowPunct/>
        <w:topLinePunct w:val="0"/>
        <w:bidi w:val="0"/>
        <w:snapToGrid/>
        <w:spacing w:line="240" w:lineRule="auto"/>
        <w:ind w:firstLine="640" w:firstLineChars="200"/>
        <w:jc w:val="both"/>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年初预算为3.28万元，支出决算为3.28万元，决算数等于年初预算数的主要原因是单位用其他资金弥补了异动人员的其他社会保障支出。</w:t>
      </w:r>
    </w:p>
    <w:p w14:paraId="1B02BA25">
      <w:pPr>
        <w:pStyle w:val="14"/>
        <w:keepNext w:val="0"/>
        <w:keepLines w:val="0"/>
        <w:pageBreakBefore w:val="0"/>
        <w:widowControl w:val="0"/>
        <w:kinsoku/>
        <w:wordWrap/>
        <w:overflowPunct/>
        <w:topLinePunct w:val="0"/>
        <w:bidi w:val="0"/>
        <w:snapToGrid/>
        <w:spacing w:line="240" w:lineRule="auto"/>
        <w:ind w:firstLine="640" w:firstLineChars="200"/>
        <w:jc w:val="both"/>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10.卫生健康支出（类）行政事业单位医疗（款）事业单位医疗（项）。</w:t>
      </w:r>
    </w:p>
    <w:p w14:paraId="0BDD3ED4">
      <w:pPr>
        <w:pStyle w:val="14"/>
        <w:keepNext w:val="0"/>
        <w:keepLines w:val="0"/>
        <w:pageBreakBefore w:val="0"/>
        <w:widowControl w:val="0"/>
        <w:kinsoku/>
        <w:wordWrap/>
        <w:overflowPunct/>
        <w:topLinePunct w:val="0"/>
        <w:bidi w:val="0"/>
        <w:snapToGrid/>
        <w:spacing w:line="240" w:lineRule="auto"/>
        <w:ind w:firstLine="640" w:firstLineChars="200"/>
        <w:jc w:val="both"/>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年初预算为128.15万元，支出决算为128.15万元，完成年初预算的100%，决算数等于年初预算数的主要原因是：单位用其他资金弥补了异动人员的单位医疗保险费支出。</w:t>
      </w:r>
    </w:p>
    <w:p w14:paraId="3A81BE9D">
      <w:pPr>
        <w:pStyle w:val="14"/>
        <w:keepNext w:val="0"/>
        <w:keepLines w:val="0"/>
        <w:pageBreakBefore w:val="0"/>
        <w:widowControl w:val="0"/>
        <w:kinsoku/>
        <w:wordWrap/>
        <w:overflowPunct/>
        <w:topLinePunct w:val="0"/>
        <w:bidi w:val="0"/>
        <w:snapToGrid/>
        <w:spacing w:line="240" w:lineRule="auto"/>
        <w:ind w:firstLine="640" w:firstLineChars="200"/>
        <w:jc w:val="both"/>
        <w:textAlignment w:val="auto"/>
        <w:rPr>
          <w:rFonts w:hint="default"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11.节能环保支出（类）污染防治（款）水体（项）。</w:t>
      </w:r>
    </w:p>
    <w:p w14:paraId="3E727A35">
      <w:pPr>
        <w:pStyle w:val="14"/>
        <w:keepNext w:val="0"/>
        <w:keepLines w:val="0"/>
        <w:pageBreakBefore w:val="0"/>
        <w:widowControl w:val="0"/>
        <w:kinsoku/>
        <w:wordWrap/>
        <w:overflowPunct/>
        <w:topLinePunct w:val="0"/>
        <w:bidi w:val="0"/>
        <w:snapToGrid/>
        <w:spacing w:line="240" w:lineRule="auto"/>
        <w:ind w:firstLine="640" w:firstLineChars="200"/>
        <w:jc w:val="both"/>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年初预算为0万元，支出决算为190.31万元，由于预算数为0，无法计算百分比。决算数大于年初预算数的主要原因是：这是临时下的专项。</w:t>
      </w:r>
    </w:p>
    <w:p w14:paraId="5B4570D9">
      <w:pPr>
        <w:pStyle w:val="14"/>
        <w:keepNext w:val="0"/>
        <w:keepLines w:val="0"/>
        <w:pageBreakBefore w:val="0"/>
        <w:widowControl w:val="0"/>
        <w:kinsoku/>
        <w:wordWrap/>
        <w:overflowPunct/>
        <w:topLinePunct w:val="0"/>
        <w:bidi w:val="0"/>
        <w:snapToGrid/>
        <w:spacing w:line="240" w:lineRule="auto"/>
        <w:ind w:firstLine="640" w:firstLineChars="200"/>
        <w:jc w:val="both"/>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12.住房保障支出（类）住房改革支出（款）住房公积金（项）。</w:t>
      </w:r>
    </w:p>
    <w:p w14:paraId="3DED557F">
      <w:pPr>
        <w:pStyle w:val="14"/>
        <w:keepNext w:val="0"/>
        <w:keepLines w:val="0"/>
        <w:pageBreakBefore w:val="0"/>
        <w:widowControl w:val="0"/>
        <w:kinsoku/>
        <w:wordWrap/>
        <w:overflowPunct/>
        <w:topLinePunct w:val="0"/>
        <w:bidi w:val="0"/>
        <w:snapToGrid/>
        <w:spacing w:line="240" w:lineRule="auto"/>
        <w:ind w:firstLine="640" w:firstLineChars="200"/>
        <w:jc w:val="both"/>
        <w:textAlignment w:val="auto"/>
        <w:rPr>
          <w:rFonts w:hint="eastAsia"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sz w:val="32"/>
          <w:szCs w:val="32"/>
          <w:lang w:val="en-US" w:eastAsia="zh-CN"/>
        </w:rPr>
        <w:t>年初预算为131.58万元，支出决算为131.58万元，完成年初预算的100%，决算数等于</w:t>
      </w:r>
      <w:r>
        <w:rPr>
          <w:rFonts w:hint="eastAsia" w:ascii="仿宋_GB2312" w:hAnsi="仿宋_GB2312" w:eastAsia="仿宋_GB2312" w:cs="仿宋_GB2312"/>
          <w:color w:val="auto"/>
          <w:kern w:val="2"/>
          <w:sz w:val="32"/>
          <w:szCs w:val="32"/>
          <w:lang w:val="en-US" w:eastAsia="zh-CN" w:bidi="ar-SA"/>
        </w:rPr>
        <w:t>年初预算数的主要原因是：住房公积金单位部分是严格按照比例计提的。</w:t>
      </w:r>
    </w:p>
    <w:p w14:paraId="373E8BA2">
      <w:pPr>
        <w:pStyle w:val="14"/>
        <w:keepNext w:val="0"/>
        <w:keepLines w:val="0"/>
        <w:pageBreakBefore w:val="0"/>
        <w:widowControl w:val="0"/>
        <w:kinsoku/>
        <w:wordWrap/>
        <w:overflowPunct/>
        <w:topLinePunct w:val="0"/>
        <w:bidi w:val="0"/>
        <w:snapToGrid/>
        <w:spacing w:line="240" w:lineRule="auto"/>
        <w:ind w:firstLine="640" w:firstLineChars="200"/>
        <w:jc w:val="both"/>
        <w:textAlignment w:val="auto"/>
        <w:rPr>
          <w:rFonts w:hint="eastAsia" w:ascii="黑体" w:hAnsi="黑体" w:eastAsia="黑体" w:cs="黑体"/>
          <w:b w:val="0"/>
          <w:bCs/>
          <w:sz w:val="32"/>
          <w:szCs w:val="32"/>
          <w:lang w:val="en-US" w:eastAsia="zh-CN"/>
        </w:rPr>
      </w:pPr>
      <w:r>
        <w:rPr>
          <w:rFonts w:hint="eastAsia" w:ascii="黑体" w:hAnsi="黑体" w:eastAsia="黑体" w:cs="黑体"/>
          <w:b w:val="0"/>
          <w:bCs/>
          <w:sz w:val="32"/>
          <w:szCs w:val="32"/>
          <w:lang w:val="en-US" w:eastAsia="zh-CN"/>
        </w:rPr>
        <w:t>六、一般公共预算财政拨款基本支出决算情况说明</w:t>
      </w:r>
    </w:p>
    <w:p w14:paraId="293AEB61">
      <w:pPr>
        <w:pStyle w:val="14"/>
        <w:keepNext w:val="0"/>
        <w:keepLines w:val="0"/>
        <w:pageBreakBefore w:val="0"/>
        <w:widowControl w:val="0"/>
        <w:kinsoku/>
        <w:wordWrap/>
        <w:overflowPunct/>
        <w:topLinePunct w:val="0"/>
        <w:bidi w:val="0"/>
        <w:snapToGrid/>
        <w:spacing w:line="240" w:lineRule="auto"/>
        <w:ind w:firstLine="640" w:firstLineChars="200"/>
        <w:jc w:val="both"/>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2024年度一般公共预算财政拨款基本支出2287.14万元，其中：</w:t>
      </w:r>
    </w:p>
    <w:p w14:paraId="48618E36">
      <w:pPr>
        <w:pStyle w:val="14"/>
        <w:keepNext w:val="0"/>
        <w:keepLines w:val="0"/>
        <w:pageBreakBefore w:val="0"/>
        <w:widowControl w:val="0"/>
        <w:kinsoku/>
        <w:wordWrap/>
        <w:overflowPunct/>
        <w:topLinePunct w:val="0"/>
        <w:bidi w:val="0"/>
        <w:snapToGrid/>
        <w:spacing w:line="240" w:lineRule="auto"/>
        <w:ind w:firstLine="640" w:firstLineChars="200"/>
        <w:jc w:val="both"/>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人员经费2114.62万元，占基本支出的92.46%，主要包括工资福利支出和对个人和家庭的补助。工资福利支出包括基本工资、津贴补贴、奖金、伙食补助费、绩效工资、机关事业单位基本养老保险缴费、职工基本医疗保险缴费、其他社会保障缴费、住房公积金对个人和家庭的补助包括退休费、抚恤金、生活补助、医疗费补助。公用经费172.52万元，占基本支出的7.54%，主要包括办公费、印刷费、咨询费、水费、电费、邮电费、物业管理费、差旅费、维修（护）费、租赁费、公务接待费、专用材料费、劳务费、委托业务费、工会经费、福利费、其他交通费用、其他商品和服务支出、办公设备购置。</w:t>
      </w:r>
    </w:p>
    <w:p w14:paraId="238B2762">
      <w:pPr>
        <w:pStyle w:val="14"/>
        <w:keepNext w:val="0"/>
        <w:keepLines w:val="0"/>
        <w:pageBreakBefore w:val="0"/>
        <w:widowControl w:val="0"/>
        <w:kinsoku/>
        <w:wordWrap/>
        <w:overflowPunct/>
        <w:topLinePunct w:val="0"/>
        <w:bidi w:val="0"/>
        <w:snapToGrid/>
        <w:spacing w:line="240" w:lineRule="auto"/>
        <w:ind w:firstLine="640" w:firstLineChars="200"/>
        <w:jc w:val="both"/>
        <w:textAlignment w:val="auto"/>
        <w:rPr>
          <w:rFonts w:hint="eastAsia" w:ascii="黑体" w:hAnsi="黑体" w:eastAsia="黑体" w:cs="黑体"/>
          <w:b w:val="0"/>
          <w:bCs/>
          <w:sz w:val="32"/>
          <w:szCs w:val="32"/>
        </w:rPr>
      </w:pPr>
      <w:r>
        <w:rPr>
          <w:rFonts w:hint="eastAsia" w:ascii="黑体" w:hAnsi="黑体" w:eastAsia="黑体" w:cs="黑体"/>
          <w:b w:val="0"/>
          <w:bCs/>
          <w:sz w:val="32"/>
          <w:szCs w:val="32"/>
        </w:rPr>
        <w:t>七、政府性基金预算收入支出决算情况</w:t>
      </w:r>
    </w:p>
    <w:p w14:paraId="12592558">
      <w:pPr>
        <w:pStyle w:val="14"/>
        <w:keepNext w:val="0"/>
        <w:keepLines w:val="0"/>
        <w:pageBreakBefore w:val="0"/>
        <w:widowControl w:val="0"/>
        <w:kinsoku/>
        <w:wordWrap/>
        <w:overflowPunct/>
        <w:topLinePunct w:val="0"/>
        <w:bidi w:val="0"/>
        <w:snapToGrid/>
        <w:spacing w:line="240" w:lineRule="auto"/>
        <w:ind w:firstLine="640" w:firstLineChars="200"/>
        <w:jc w:val="both"/>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2024年度政府性基金预算财政拨款收入117.56万元；年初结转和结余X0万元；支出117.56万元，其中基本支出0万元，项目支出117.56万元；年末结转和结余0万元。具体情况如下：</w:t>
      </w:r>
    </w:p>
    <w:p w14:paraId="5325FC7A">
      <w:pPr>
        <w:pStyle w:val="14"/>
        <w:keepNext w:val="0"/>
        <w:keepLines w:val="0"/>
        <w:pageBreakBefore w:val="0"/>
        <w:widowControl w:val="0"/>
        <w:kinsoku/>
        <w:wordWrap/>
        <w:overflowPunct/>
        <w:topLinePunct w:val="0"/>
        <w:bidi w:val="0"/>
        <w:snapToGrid/>
        <w:spacing w:line="240" w:lineRule="auto"/>
        <w:ind w:firstLine="640" w:firstLineChars="200"/>
        <w:jc w:val="both"/>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1.城乡社区支出（类）国有土地使用权出让收入安排的支出（款）其他国有土地使用权出让收入安排的支出（项）。</w:t>
      </w:r>
    </w:p>
    <w:p w14:paraId="1BAE16F6">
      <w:pPr>
        <w:pStyle w:val="14"/>
        <w:keepNext w:val="0"/>
        <w:keepLines w:val="0"/>
        <w:pageBreakBefore w:val="0"/>
        <w:widowControl w:val="0"/>
        <w:kinsoku/>
        <w:wordWrap/>
        <w:overflowPunct/>
        <w:topLinePunct w:val="0"/>
        <w:bidi w:val="0"/>
        <w:snapToGrid/>
        <w:spacing w:line="240" w:lineRule="auto"/>
        <w:ind w:firstLine="640" w:firstLineChars="200"/>
        <w:jc w:val="both"/>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年初预算为0万元，支出决算为117.56万元，由于预算数为0，无法计算百分比。决算数大于年初预算数的主要原因是上年未完的工程项目。</w:t>
      </w:r>
    </w:p>
    <w:p w14:paraId="28BDC771">
      <w:pPr>
        <w:keepNext w:val="0"/>
        <w:keepLines w:val="0"/>
        <w:pageBreakBefore w:val="0"/>
        <w:widowControl w:val="0"/>
        <w:numPr>
          <w:ilvl w:val="0"/>
          <w:numId w:val="0"/>
        </w:numPr>
        <w:kinsoku/>
        <w:wordWrap/>
        <w:overflowPunct/>
        <w:topLinePunct w:val="0"/>
        <w:autoSpaceDE w:val="0"/>
        <w:autoSpaceDN w:val="0"/>
        <w:bidi w:val="0"/>
        <w:adjustRightInd w:val="0"/>
        <w:snapToGrid/>
        <w:spacing w:line="240" w:lineRule="auto"/>
        <w:ind w:firstLine="640" w:firstLineChars="200"/>
        <w:jc w:val="both"/>
        <w:textAlignment w:val="auto"/>
        <w:rPr>
          <w:rFonts w:hint="eastAsia" w:ascii="黑体" w:hAnsi="黑体" w:eastAsia="黑体" w:cs="黑体"/>
          <w:b w:val="0"/>
          <w:bCs/>
          <w:color w:val="000000"/>
          <w:kern w:val="0"/>
          <w:sz w:val="32"/>
          <w:szCs w:val="32"/>
          <w:lang w:val="en-US" w:eastAsia="zh-CN" w:bidi="ar-SA"/>
        </w:rPr>
      </w:pPr>
      <w:r>
        <w:rPr>
          <w:rFonts w:hint="eastAsia" w:ascii="黑体" w:hAnsi="黑体" w:eastAsia="黑体" w:cs="黑体"/>
          <w:b w:val="0"/>
          <w:bCs/>
          <w:color w:val="000000"/>
          <w:kern w:val="0"/>
          <w:sz w:val="32"/>
          <w:szCs w:val="32"/>
          <w:lang w:val="en-US" w:eastAsia="zh-CN" w:bidi="ar-SA"/>
        </w:rPr>
        <w:t>八、国有资本经营预算财政拨款支出决算情况</w:t>
      </w:r>
    </w:p>
    <w:p w14:paraId="1CAF41FB">
      <w:pPr>
        <w:pStyle w:val="14"/>
        <w:keepNext w:val="0"/>
        <w:keepLines w:val="0"/>
        <w:pageBreakBefore w:val="0"/>
        <w:widowControl w:val="0"/>
        <w:kinsoku/>
        <w:wordWrap/>
        <w:overflowPunct/>
        <w:topLinePunct w:val="0"/>
        <w:bidi w:val="0"/>
        <w:snapToGrid/>
        <w:spacing w:line="240" w:lineRule="auto"/>
        <w:ind w:firstLine="640" w:firstLineChars="200"/>
        <w:jc w:val="both"/>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2024年度国有资本经营预算财政拨款收入0万元；年初结转和结余0万元；支出0万元，其中：基本支出0万元，项目支出0万元；年末结转和结余0万元。</w:t>
      </w:r>
    </w:p>
    <w:p w14:paraId="5876C252">
      <w:pPr>
        <w:pStyle w:val="14"/>
        <w:keepNext w:val="0"/>
        <w:keepLines w:val="0"/>
        <w:pageBreakBefore w:val="0"/>
        <w:widowControl w:val="0"/>
        <w:kinsoku/>
        <w:wordWrap/>
        <w:overflowPunct/>
        <w:topLinePunct w:val="0"/>
        <w:bidi w:val="0"/>
        <w:snapToGrid/>
        <w:spacing w:line="240" w:lineRule="auto"/>
        <w:ind w:firstLine="640" w:firstLineChars="200"/>
        <w:jc w:val="both"/>
        <w:textAlignment w:val="auto"/>
        <w:rPr>
          <w:rFonts w:hint="eastAsia" w:ascii="黑体" w:hAnsi="黑体" w:eastAsia="黑体" w:cs="黑体"/>
          <w:b w:val="0"/>
          <w:bCs/>
          <w:sz w:val="32"/>
          <w:szCs w:val="32"/>
        </w:rPr>
      </w:pPr>
      <w:r>
        <w:rPr>
          <w:rFonts w:hint="eastAsia" w:ascii="黑体" w:hAnsi="黑体" w:eastAsia="黑体" w:cs="黑体"/>
          <w:b w:val="0"/>
          <w:bCs/>
          <w:sz w:val="32"/>
          <w:szCs w:val="32"/>
          <w:lang w:eastAsia="zh-CN"/>
        </w:rPr>
        <w:t>九、</w:t>
      </w:r>
      <w:r>
        <w:rPr>
          <w:rFonts w:hint="eastAsia" w:ascii="黑体" w:hAnsi="黑体" w:eastAsia="黑体" w:cs="黑体"/>
          <w:b w:val="0"/>
          <w:bCs/>
          <w:sz w:val="32"/>
          <w:szCs w:val="32"/>
        </w:rPr>
        <w:t>财政拨款</w:t>
      </w:r>
      <w:r>
        <w:rPr>
          <w:rFonts w:hint="eastAsia" w:hAnsi="黑体" w:cs="黑体"/>
          <w:b w:val="0"/>
          <w:bCs/>
          <w:sz w:val="32"/>
          <w:szCs w:val="32"/>
          <w:lang w:eastAsia="zh-CN"/>
        </w:rPr>
        <w:t>“三公”经费</w:t>
      </w:r>
      <w:r>
        <w:rPr>
          <w:rFonts w:hint="eastAsia" w:ascii="黑体" w:hAnsi="黑体" w:eastAsia="黑体" w:cs="黑体"/>
          <w:b w:val="0"/>
          <w:bCs/>
          <w:sz w:val="32"/>
          <w:szCs w:val="32"/>
        </w:rPr>
        <w:t>支出决算情况说明</w:t>
      </w:r>
    </w:p>
    <w:p w14:paraId="6298EF1D">
      <w:pPr>
        <w:pStyle w:val="14"/>
        <w:keepNext w:val="0"/>
        <w:keepLines w:val="0"/>
        <w:pageBreakBefore w:val="0"/>
        <w:widowControl w:val="0"/>
        <w:kinsoku/>
        <w:wordWrap/>
        <w:overflowPunct/>
        <w:topLinePunct w:val="0"/>
        <w:bidi w:val="0"/>
        <w:snapToGrid/>
        <w:spacing w:line="240" w:lineRule="auto"/>
        <w:ind w:firstLine="640" w:firstLineChars="200"/>
        <w:jc w:val="both"/>
        <w:textAlignment w:val="auto"/>
        <w:rPr>
          <w:rFonts w:hint="eastAsia" w:ascii="楷体" w:hAnsi="楷体" w:eastAsia="楷体" w:cs="楷体"/>
          <w:color w:val="auto"/>
          <w:kern w:val="2"/>
          <w:sz w:val="32"/>
          <w:szCs w:val="32"/>
          <w:lang w:val="en-US" w:eastAsia="zh-CN" w:bidi="ar-SA"/>
        </w:rPr>
      </w:pPr>
      <w:r>
        <w:rPr>
          <w:rFonts w:hint="eastAsia" w:ascii="楷体" w:hAnsi="楷体" w:eastAsia="楷体" w:cs="楷体"/>
          <w:color w:val="auto"/>
          <w:kern w:val="2"/>
          <w:sz w:val="32"/>
          <w:szCs w:val="32"/>
          <w:lang w:val="en-US" w:eastAsia="zh-CN" w:bidi="ar-SA"/>
        </w:rPr>
        <w:t>（一）“三公”经费财政拨款支出决算总体情况说明</w:t>
      </w:r>
    </w:p>
    <w:p w14:paraId="015470BC">
      <w:pPr>
        <w:pStyle w:val="14"/>
        <w:keepNext w:val="0"/>
        <w:keepLines w:val="0"/>
        <w:pageBreakBefore w:val="0"/>
        <w:widowControl w:val="0"/>
        <w:kinsoku/>
        <w:wordWrap/>
        <w:overflowPunct/>
        <w:topLinePunct w:val="0"/>
        <w:bidi w:val="0"/>
        <w:snapToGrid/>
        <w:spacing w:line="240" w:lineRule="auto"/>
        <w:ind w:firstLine="640" w:firstLineChars="200"/>
        <w:jc w:val="both"/>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2024年度“三公”经费财政拨款支出预算为0.3万元，支出决算为0.3万元，决算数等于预算数，主要原因是我单位严格按预算执行决算；与上年一致，无增减变动，主要原因是按有关政策厉行节约，严控“三公”经费支出。</w:t>
      </w:r>
    </w:p>
    <w:p w14:paraId="352D03A7">
      <w:pPr>
        <w:pStyle w:val="14"/>
        <w:keepNext w:val="0"/>
        <w:keepLines w:val="0"/>
        <w:pageBreakBefore w:val="0"/>
        <w:widowControl w:val="0"/>
        <w:kinsoku/>
        <w:wordWrap/>
        <w:overflowPunct/>
        <w:topLinePunct w:val="0"/>
        <w:bidi w:val="0"/>
        <w:snapToGrid/>
        <w:spacing w:line="240" w:lineRule="auto"/>
        <w:ind w:firstLine="640" w:firstLineChars="200"/>
        <w:jc w:val="both"/>
        <w:textAlignment w:val="auto"/>
        <w:rPr>
          <w:rFonts w:hint="eastAsia" w:ascii="楷体" w:hAnsi="楷体" w:eastAsia="楷体" w:cs="楷体"/>
          <w:color w:val="auto"/>
          <w:kern w:val="2"/>
          <w:sz w:val="32"/>
          <w:szCs w:val="32"/>
          <w:lang w:val="en-US" w:eastAsia="zh-CN" w:bidi="ar-SA"/>
        </w:rPr>
      </w:pPr>
      <w:r>
        <w:rPr>
          <w:rFonts w:hint="eastAsia" w:ascii="楷体" w:hAnsi="楷体" w:eastAsia="楷体" w:cs="楷体"/>
          <w:color w:val="auto"/>
          <w:kern w:val="2"/>
          <w:sz w:val="32"/>
          <w:szCs w:val="32"/>
          <w:lang w:val="en-US" w:eastAsia="zh-CN" w:bidi="ar-SA"/>
        </w:rPr>
        <w:t>（二）“三公”经费财政拨款支出决算具体情况说明</w:t>
      </w:r>
    </w:p>
    <w:p w14:paraId="63A5F88C">
      <w:pPr>
        <w:pStyle w:val="14"/>
        <w:keepNext w:val="0"/>
        <w:keepLines w:val="0"/>
        <w:pageBreakBefore w:val="0"/>
        <w:widowControl w:val="0"/>
        <w:kinsoku/>
        <w:wordWrap/>
        <w:overflowPunct/>
        <w:topLinePunct w:val="0"/>
        <w:bidi w:val="0"/>
        <w:snapToGrid/>
        <w:spacing w:line="240" w:lineRule="auto"/>
        <w:ind w:firstLine="640" w:firstLineChars="200"/>
        <w:jc w:val="both"/>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1.因公出国（境）费支出预算为0万元，支出决算为0万元，决算数等于预算数，主要原因是我单位严格按预算执行决算；与上年一致，无增减变动，主要原因是未安排因公出国（境）活动。2024年度安排因公出国（境）团组0个，累计0人次。</w:t>
      </w:r>
    </w:p>
    <w:p w14:paraId="53C424E6">
      <w:pPr>
        <w:pStyle w:val="14"/>
        <w:keepNext w:val="0"/>
        <w:keepLines w:val="0"/>
        <w:pageBreakBefore w:val="0"/>
        <w:widowControl w:val="0"/>
        <w:kinsoku/>
        <w:wordWrap/>
        <w:overflowPunct/>
        <w:topLinePunct w:val="0"/>
        <w:bidi w:val="0"/>
        <w:snapToGrid/>
        <w:spacing w:line="240" w:lineRule="auto"/>
        <w:ind w:firstLine="640" w:firstLineChars="200"/>
        <w:jc w:val="both"/>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2.公务用车购置费及运行维护费支出预算为0万元，支出决算为0万元，决算数等于预算数；与上年一致，无增减变动。其中：</w:t>
      </w:r>
    </w:p>
    <w:p w14:paraId="6C6D03D2">
      <w:pPr>
        <w:pStyle w:val="14"/>
        <w:keepNext w:val="0"/>
        <w:keepLines w:val="0"/>
        <w:pageBreakBefore w:val="0"/>
        <w:widowControl w:val="0"/>
        <w:kinsoku/>
        <w:wordWrap/>
        <w:overflowPunct/>
        <w:topLinePunct w:val="0"/>
        <w:bidi w:val="0"/>
        <w:snapToGrid/>
        <w:spacing w:line="240" w:lineRule="auto"/>
        <w:ind w:firstLine="640" w:firstLineChars="200"/>
        <w:jc w:val="both"/>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公务用车购置费支出预算为0万元，支出决算为0万元，决算数等于预算数，主要原因是我单位严格按预算执行决算；与上年一致，无增减变动，主要原因是两年均未购置公务用车。本单位更新公务用车0辆。</w:t>
      </w:r>
    </w:p>
    <w:p w14:paraId="60E9D1D3">
      <w:pPr>
        <w:pStyle w:val="14"/>
        <w:keepNext w:val="0"/>
        <w:keepLines w:val="0"/>
        <w:pageBreakBefore w:val="0"/>
        <w:widowControl w:val="0"/>
        <w:kinsoku/>
        <w:wordWrap/>
        <w:overflowPunct/>
        <w:topLinePunct w:val="0"/>
        <w:bidi w:val="0"/>
        <w:snapToGrid/>
        <w:spacing w:line="240" w:lineRule="auto"/>
        <w:ind w:firstLine="640" w:firstLineChars="200"/>
        <w:jc w:val="both"/>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公务用车运行维护费支出预算为0万元，支出决算为0万元，决算数等于预算数，主要原因是我单位严格按预算执行决算；与上年一致，无增减变动，主要原因是两年均无公务用车需要运行维护。截至2024年12月31日，我单位开支财政拨款的公务用车保有量为0辆。</w:t>
      </w:r>
    </w:p>
    <w:p w14:paraId="01CC691A">
      <w:pPr>
        <w:pStyle w:val="14"/>
        <w:keepNext w:val="0"/>
        <w:keepLines w:val="0"/>
        <w:pageBreakBefore w:val="0"/>
        <w:widowControl w:val="0"/>
        <w:kinsoku/>
        <w:wordWrap/>
        <w:overflowPunct/>
        <w:topLinePunct w:val="0"/>
        <w:bidi w:val="0"/>
        <w:snapToGrid/>
        <w:spacing w:line="240" w:lineRule="auto"/>
        <w:ind w:firstLine="640" w:firstLineChars="200"/>
        <w:jc w:val="both"/>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3.公务接待费支出预算为0.3万元，支出决算为0.3万元，决算数等于预算数，主要原因是严格执行中央八项规定；与上年一致，无增减变动，主要原因是按有关政策厉行节约，严控公务接待支出。2024年度共接待来访团组2个、来宾22人次。主要是业务交流发生的接待支出。</w:t>
      </w:r>
    </w:p>
    <w:p w14:paraId="3D06ACE2">
      <w:pPr>
        <w:pStyle w:val="14"/>
        <w:keepNext w:val="0"/>
        <w:keepLines w:val="0"/>
        <w:pageBreakBefore w:val="0"/>
        <w:widowControl w:val="0"/>
        <w:kinsoku/>
        <w:wordWrap/>
        <w:overflowPunct/>
        <w:topLinePunct w:val="0"/>
        <w:bidi w:val="0"/>
        <w:snapToGrid/>
        <w:spacing w:line="240" w:lineRule="auto"/>
        <w:ind w:firstLine="640" w:firstLineChars="200"/>
        <w:jc w:val="both"/>
        <w:textAlignment w:val="auto"/>
        <w:rPr>
          <w:rFonts w:hint="eastAsia" w:ascii="黑体" w:hAnsi="黑体" w:eastAsia="黑体" w:cs="黑体"/>
          <w:b w:val="0"/>
          <w:bCs/>
          <w:sz w:val="32"/>
          <w:szCs w:val="32"/>
        </w:rPr>
      </w:pPr>
      <w:r>
        <w:rPr>
          <w:rFonts w:hint="eastAsia" w:ascii="黑体" w:hAnsi="黑体" w:eastAsia="黑体" w:cs="黑体"/>
          <w:b w:val="0"/>
          <w:bCs/>
          <w:sz w:val="32"/>
          <w:szCs w:val="32"/>
          <w:lang w:eastAsia="zh-CN"/>
        </w:rPr>
        <w:t>十</w:t>
      </w:r>
      <w:r>
        <w:rPr>
          <w:rFonts w:hint="eastAsia" w:ascii="黑体" w:hAnsi="黑体" w:eastAsia="黑体" w:cs="黑体"/>
          <w:b w:val="0"/>
          <w:bCs/>
          <w:sz w:val="32"/>
          <w:szCs w:val="32"/>
        </w:rPr>
        <w:t>、关于机关运行经费支出说明</w:t>
      </w:r>
    </w:p>
    <w:p w14:paraId="38BA3ACD">
      <w:pPr>
        <w:pStyle w:val="14"/>
        <w:keepNext w:val="0"/>
        <w:keepLines w:val="0"/>
        <w:pageBreakBefore w:val="0"/>
        <w:widowControl w:val="0"/>
        <w:kinsoku/>
        <w:wordWrap/>
        <w:overflowPunct/>
        <w:topLinePunct w:val="0"/>
        <w:bidi w:val="0"/>
        <w:snapToGrid/>
        <w:spacing w:line="240" w:lineRule="auto"/>
        <w:ind w:firstLine="640" w:firstLineChars="200"/>
        <w:jc w:val="both"/>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本部门2024年度机关运行经费支出0万元，比年初预算数（或者上年决算数）增加（减少）0万元，增长（降低）0%。主要原因是：本级和所属单位均为事业单位，按照机关运行经费的口径，本年度机关运行经费为0。</w:t>
      </w:r>
    </w:p>
    <w:p w14:paraId="39684EF2">
      <w:pPr>
        <w:pStyle w:val="14"/>
        <w:keepNext w:val="0"/>
        <w:keepLines w:val="0"/>
        <w:pageBreakBefore w:val="0"/>
        <w:widowControl w:val="0"/>
        <w:kinsoku/>
        <w:wordWrap/>
        <w:overflowPunct/>
        <w:topLinePunct w:val="0"/>
        <w:bidi w:val="0"/>
        <w:snapToGrid/>
        <w:spacing w:line="240" w:lineRule="auto"/>
        <w:ind w:firstLine="640" w:firstLineChars="200"/>
        <w:jc w:val="both"/>
        <w:textAlignment w:val="auto"/>
        <w:rPr>
          <w:rFonts w:hint="eastAsia" w:ascii="黑体" w:hAnsi="黑体" w:eastAsia="黑体" w:cs="黑体"/>
          <w:b w:val="0"/>
          <w:bCs/>
          <w:sz w:val="32"/>
          <w:szCs w:val="32"/>
        </w:rPr>
      </w:pPr>
      <w:r>
        <w:rPr>
          <w:rFonts w:hint="eastAsia" w:ascii="黑体" w:hAnsi="黑体" w:eastAsia="黑体" w:cs="黑体"/>
          <w:b w:val="0"/>
          <w:bCs/>
          <w:sz w:val="32"/>
          <w:szCs w:val="32"/>
        </w:rPr>
        <w:t>十</w:t>
      </w:r>
      <w:r>
        <w:rPr>
          <w:rFonts w:hint="eastAsia" w:ascii="黑体" w:hAnsi="黑体" w:eastAsia="黑体" w:cs="黑体"/>
          <w:b w:val="0"/>
          <w:bCs/>
          <w:sz w:val="32"/>
          <w:szCs w:val="32"/>
          <w:lang w:eastAsia="zh-CN"/>
        </w:rPr>
        <w:t>一</w:t>
      </w:r>
      <w:r>
        <w:rPr>
          <w:rFonts w:hint="eastAsia" w:ascii="黑体" w:hAnsi="黑体" w:eastAsia="黑体" w:cs="黑体"/>
          <w:b w:val="0"/>
          <w:bCs/>
          <w:sz w:val="32"/>
          <w:szCs w:val="32"/>
        </w:rPr>
        <w:t>、一般性支出情况说明</w:t>
      </w:r>
    </w:p>
    <w:p w14:paraId="5E588319">
      <w:pPr>
        <w:pStyle w:val="14"/>
        <w:keepNext w:val="0"/>
        <w:keepLines w:val="0"/>
        <w:pageBreakBefore w:val="0"/>
        <w:widowControl w:val="0"/>
        <w:kinsoku/>
        <w:wordWrap/>
        <w:overflowPunct/>
        <w:topLinePunct w:val="0"/>
        <w:bidi w:val="0"/>
        <w:snapToGrid/>
        <w:spacing w:line="240" w:lineRule="auto"/>
        <w:ind w:firstLine="640" w:firstLineChars="200"/>
        <w:jc w:val="both"/>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2024年度，会议费年初预算0万元，支出决算为0万元，完成年初预算的0%，本单位无会议费的预算和支出决算数。</w:t>
      </w:r>
    </w:p>
    <w:p w14:paraId="2D502D00">
      <w:pPr>
        <w:pStyle w:val="14"/>
        <w:keepNext w:val="0"/>
        <w:keepLines w:val="0"/>
        <w:pageBreakBefore w:val="0"/>
        <w:widowControl w:val="0"/>
        <w:kinsoku/>
        <w:wordWrap/>
        <w:overflowPunct/>
        <w:topLinePunct w:val="0"/>
        <w:bidi w:val="0"/>
        <w:snapToGrid/>
        <w:spacing w:line="240" w:lineRule="auto"/>
        <w:ind w:firstLine="640" w:firstLineChars="200"/>
        <w:jc w:val="both"/>
        <w:textAlignment w:val="auto"/>
        <w:rPr>
          <w:rFonts w:hint="default"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培训费年初预算2.74万元，支出决算为0万元，完成年初预算的0%。用于开展事业单位工作人员人事平台培训，人数119人，内容为专业课程培训。由于人社局学习平台调整，2024年未启动培训流程。</w:t>
      </w:r>
    </w:p>
    <w:p w14:paraId="39C2EAB5">
      <w:pPr>
        <w:pStyle w:val="14"/>
        <w:keepNext w:val="0"/>
        <w:keepLines w:val="0"/>
        <w:pageBreakBefore w:val="0"/>
        <w:widowControl w:val="0"/>
        <w:kinsoku/>
        <w:wordWrap/>
        <w:overflowPunct/>
        <w:topLinePunct w:val="0"/>
        <w:bidi w:val="0"/>
        <w:snapToGrid/>
        <w:spacing w:line="240" w:lineRule="auto"/>
        <w:ind w:firstLine="640" w:firstLineChars="200"/>
        <w:jc w:val="both"/>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举办节庆、晚会、论坛、赛事活动年初预算0万元，支出决算为0万元，完成年初预算的0%，主要是本单位无举办节庆、晚会、论坛、赛事活动的预算和支出决算数。</w:t>
      </w:r>
    </w:p>
    <w:p w14:paraId="252D0BEE">
      <w:pPr>
        <w:pStyle w:val="14"/>
        <w:keepNext w:val="0"/>
        <w:keepLines w:val="0"/>
        <w:pageBreakBefore w:val="0"/>
        <w:widowControl w:val="0"/>
        <w:kinsoku/>
        <w:wordWrap/>
        <w:overflowPunct/>
        <w:topLinePunct w:val="0"/>
        <w:bidi w:val="0"/>
        <w:snapToGrid/>
        <w:spacing w:line="240" w:lineRule="auto"/>
        <w:ind w:firstLine="640" w:firstLineChars="200"/>
        <w:jc w:val="both"/>
        <w:textAlignment w:val="auto"/>
        <w:rPr>
          <w:rFonts w:hint="eastAsia" w:ascii="黑体" w:hAnsi="黑体" w:eastAsia="黑体" w:cs="黑体"/>
          <w:b w:val="0"/>
          <w:bCs/>
          <w:sz w:val="32"/>
          <w:szCs w:val="32"/>
        </w:rPr>
      </w:pPr>
      <w:r>
        <w:rPr>
          <w:rFonts w:hint="eastAsia" w:ascii="黑体" w:hAnsi="黑体" w:eastAsia="黑体" w:cs="黑体"/>
          <w:b w:val="0"/>
          <w:bCs/>
          <w:sz w:val="32"/>
          <w:szCs w:val="32"/>
        </w:rPr>
        <w:t>十</w:t>
      </w:r>
      <w:r>
        <w:rPr>
          <w:rFonts w:hint="eastAsia" w:ascii="黑体" w:hAnsi="黑体" w:eastAsia="黑体" w:cs="黑体"/>
          <w:b w:val="0"/>
          <w:bCs/>
          <w:sz w:val="32"/>
          <w:szCs w:val="32"/>
          <w:lang w:eastAsia="zh-CN"/>
        </w:rPr>
        <w:t>二</w:t>
      </w:r>
      <w:r>
        <w:rPr>
          <w:rFonts w:hint="eastAsia" w:ascii="黑体" w:hAnsi="黑体" w:eastAsia="黑体" w:cs="黑体"/>
          <w:b w:val="0"/>
          <w:bCs/>
          <w:sz w:val="32"/>
          <w:szCs w:val="32"/>
        </w:rPr>
        <w:t>、关于政府采购支出说明</w:t>
      </w:r>
    </w:p>
    <w:p w14:paraId="4120C9CB">
      <w:pPr>
        <w:pStyle w:val="14"/>
        <w:keepNext w:val="0"/>
        <w:keepLines w:val="0"/>
        <w:pageBreakBefore w:val="0"/>
        <w:widowControl w:val="0"/>
        <w:kinsoku/>
        <w:wordWrap/>
        <w:overflowPunct/>
        <w:topLinePunct w:val="0"/>
        <w:bidi w:val="0"/>
        <w:snapToGrid/>
        <w:spacing w:line="240" w:lineRule="auto"/>
        <w:ind w:firstLine="640" w:firstLineChars="200"/>
        <w:jc w:val="both"/>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本部门2024年度政府采购支出总额100万元，其中：政府采购货物支出0万元、政府采购工程支出0万元、政府采购服务支出100万元。授予中小企业合同金额100万元，占政府采购支出总额的100%，其中：授予小微企业合同金额100万元，占授予中小企业合同金额的100%。货物采购授予中小企业合同金额占货物支出金额的0%，工程采购授予中小企业合同金额占工程支出金额的0%，服务采购授予中小企业合同金额占服务支出金额的100%。</w:t>
      </w:r>
    </w:p>
    <w:p w14:paraId="246A0DF6">
      <w:pPr>
        <w:pStyle w:val="14"/>
        <w:keepNext w:val="0"/>
        <w:keepLines w:val="0"/>
        <w:pageBreakBefore w:val="0"/>
        <w:widowControl w:val="0"/>
        <w:kinsoku/>
        <w:wordWrap/>
        <w:overflowPunct/>
        <w:topLinePunct w:val="0"/>
        <w:bidi w:val="0"/>
        <w:snapToGrid/>
        <w:spacing w:line="240" w:lineRule="auto"/>
        <w:ind w:firstLine="640" w:firstLineChars="200"/>
        <w:jc w:val="both"/>
        <w:textAlignment w:val="auto"/>
        <w:rPr>
          <w:rFonts w:hint="eastAsia" w:ascii="黑体" w:hAnsi="黑体" w:eastAsia="黑体" w:cs="黑体"/>
          <w:b w:val="0"/>
          <w:bCs/>
          <w:sz w:val="32"/>
          <w:szCs w:val="32"/>
        </w:rPr>
      </w:pPr>
      <w:r>
        <w:rPr>
          <w:rFonts w:hint="eastAsia" w:ascii="黑体" w:hAnsi="黑体" w:eastAsia="黑体" w:cs="黑体"/>
          <w:b w:val="0"/>
          <w:bCs/>
          <w:sz w:val="32"/>
          <w:szCs w:val="32"/>
        </w:rPr>
        <w:t>十</w:t>
      </w:r>
      <w:r>
        <w:rPr>
          <w:rFonts w:hint="eastAsia" w:ascii="黑体" w:hAnsi="黑体" w:eastAsia="黑体" w:cs="黑体"/>
          <w:b w:val="0"/>
          <w:bCs/>
          <w:sz w:val="32"/>
          <w:szCs w:val="32"/>
          <w:lang w:eastAsia="zh-CN"/>
        </w:rPr>
        <w:t>三</w:t>
      </w:r>
      <w:r>
        <w:rPr>
          <w:rFonts w:hint="eastAsia" w:ascii="黑体" w:hAnsi="黑体" w:eastAsia="黑体" w:cs="黑体"/>
          <w:b w:val="0"/>
          <w:bCs/>
          <w:sz w:val="32"/>
          <w:szCs w:val="32"/>
        </w:rPr>
        <w:t>、关于国有资产占用情况说明</w:t>
      </w:r>
    </w:p>
    <w:p w14:paraId="0044E386">
      <w:pPr>
        <w:pStyle w:val="14"/>
        <w:keepNext w:val="0"/>
        <w:keepLines w:val="0"/>
        <w:pageBreakBefore w:val="0"/>
        <w:widowControl w:val="0"/>
        <w:kinsoku/>
        <w:wordWrap/>
        <w:overflowPunct/>
        <w:topLinePunct w:val="0"/>
        <w:bidi w:val="0"/>
        <w:snapToGrid/>
        <w:spacing w:line="240" w:lineRule="auto"/>
        <w:ind w:firstLine="640" w:firstLineChars="200"/>
        <w:jc w:val="both"/>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截至2024年12月31日，部门（单位）共有车辆3辆，其中，副部（省）级及以上领导用车0辆、主要负责人用车0辆、机要通信用车0辆、应急保障用车0辆、执法执勤用车0辆、特种专业技术用车0辆、离退休干部服务用车0辆、其他用车3辆，其他用车主要是演出车1辆、通勤车2辆，主要用于送戏下乡演出；单位价值100万元以上设备（不含车辆）0台（套）。</w:t>
      </w:r>
    </w:p>
    <w:p w14:paraId="0A8224AC">
      <w:pPr>
        <w:pStyle w:val="14"/>
        <w:keepNext w:val="0"/>
        <w:keepLines w:val="0"/>
        <w:pageBreakBefore w:val="0"/>
        <w:widowControl w:val="0"/>
        <w:kinsoku/>
        <w:wordWrap/>
        <w:overflowPunct/>
        <w:topLinePunct w:val="0"/>
        <w:bidi w:val="0"/>
        <w:snapToGrid/>
        <w:spacing w:line="240" w:lineRule="auto"/>
        <w:ind w:firstLine="640" w:firstLineChars="200"/>
        <w:jc w:val="both"/>
        <w:textAlignment w:val="auto"/>
        <w:rPr>
          <w:rFonts w:hint="eastAsia" w:ascii="黑体" w:hAnsi="黑体" w:eastAsia="黑体" w:cs="黑体"/>
          <w:b w:val="0"/>
          <w:bCs/>
          <w:sz w:val="32"/>
          <w:szCs w:val="32"/>
        </w:rPr>
      </w:pPr>
      <w:r>
        <w:rPr>
          <w:rFonts w:hint="eastAsia" w:ascii="黑体" w:hAnsi="黑体" w:eastAsia="黑体" w:cs="黑体"/>
          <w:b w:val="0"/>
          <w:bCs/>
          <w:sz w:val="32"/>
          <w:szCs w:val="32"/>
        </w:rPr>
        <w:t>十</w:t>
      </w:r>
      <w:r>
        <w:rPr>
          <w:rFonts w:hint="eastAsia" w:ascii="黑体" w:hAnsi="黑体" w:eastAsia="黑体" w:cs="黑体"/>
          <w:b w:val="0"/>
          <w:bCs/>
          <w:sz w:val="32"/>
          <w:szCs w:val="32"/>
          <w:lang w:eastAsia="zh-CN"/>
        </w:rPr>
        <w:t>四</w:t>
      </w:r>
      <w:r>
        <w:rPr>
          <w:rFonts w:hint="eastAsia" w:ascii="黑体" w:hAnsi="黑体" w:eastAsia="黑体" w:cs="黑体"/>
          <w:b w:val="0"/>
          <w:bCs/>
          <w:sz w:val="32"/>
          <w:szCs w:val="32"/>
        </w:rPr>
        <w:t>、关于202</w:t>
      </w:r>
      <w:r>
        <w:rPr>
          <w:rFonts w:hint="eastAsia" w:ascii="黑体" w:hAnsi="黑体" w:eastAsia="黑体" w:cs="黑体"/>
          <w:b w:val="0"/>
          <w:bCs/>
          <w:sz w:val="32"/>
          <w:szCs w:val="32"/>
          <w:lang w:val="en-US" w:eastAsia="zh-CN"/>
        </w:rPr>
        <w:t>4</w:t>
      </w:r>
      <w:r>
        <w:rPr>
          <w:rFonts w:hint="eastAsia" w:ascii="黑体" w:hAnsi="黑体" w:eastAsia="黑体" w:cs="黑体"/>
          <w:b w:val="0"/>
          <w:bCs/>
          <w:sz w:val="32"/>
          <w:szCs w:val="32"/>
        </w:rPr>
        <w:t>年度</w:t>
      </w:r>
      <w:r>
        <w:rPr>
          <w:rFonts w:hint="eastAsia" w:ascii="黑体" w:hAnsi="黑体" w:eastAsia="黑体" w:cs="黑体"/>
          <w:b w:val="0"/>
          <w:bCs/>
          <w:sz w:val="32"/>
          <w:szCs w:val="32"/>
          <w:lang w:eastAsia="zh-CN"/>
        </w:rPr>
        <w:t>预算</w:t>
      </w:r>
      <w:r>
        <w:rPr>
          <w:rFonts w:hint="eastAsia" w:ascii="黑体" w:hAnsi="黑体" w:eastAsia="黑体" w:cs="黑体"/>
          <w:b w:val="0"/>
          <w:bCs/>
          <w:sz w:val="32"/>
          <w:szCs w:val="32"/>
        </w:rPr>
        <w:t>绩效</w:t>
      </w:r>
      <w:r>
        <w:rPr>
          <w:rFonts w:hint="eastAsia" w:ascii="黑体" w:hAnsi="黑体" w:eastAsia="黑体" w:cs="黑体"/>
          <w:b w:val="0"/>
          <w:bCs/>
          <w:sz w:val="32"/>
          <w:szCs w:val="32"/>
          <w:lang w:eastAsia="zh-CN"/>
        </w:rPr>
        <w:t>管理</w:t>
      </w:r>
      <w:r>
        <w:rPr>
          <w:rFonts w:hint="eastAsia" w:ascii="黑体" w:hAnsi="黑体" w:eastAsia="黑体" w:cs="黑体"/>
          <w:b w:val="0"/>
          <w:bCs/>
          <w:sz w:val="32"/>
          <w:szCs w:val="32"/>
        </w:rPr>
        <w:t>情况的说明</w:t>
      </w:r>
    </w:p>
    <w:p w14:paraId="0EB60D67">
      <w:pPr>
        <w:overflowPunct w:val="0"/>
        <w:spacing w:line="240" w:lineRule="auto"/>
        <w:ind w:firstLine="640" w:firstLineChars="200"/>
        <w:jc w:val="both"/>
        <w:rPr>
          <w:rFonts w:hint="eastAsia" w:ascii="楷体" w:hAnsi="楷体" w:eastAsia="楷体" w:cs="楷体"/>
          <w:b w:val="0"/>
          <w:bCs w:val="0"/>
          <w:sz w:val="32"/>
          <w:szCs w:val="32"/>
        </w:rPr>
      </w:pPr>
      <w:r>
        <w:rPr>
          <w:rFonts w:hint="eastAsia" w:ascii="楷体" w:hAnsi="楷体" w:eastAsia="楷体" w:cs="楷体"/>
          <w:b w:val="0"/>
          <w:bCs w:val="0"/>
          <w:sz w:val="32"/>
          <w:szCs w:val="32"/>
        </w:rPr>
        <w:t>（一）绩效评价工作开展情况</w:t>
      </w:r>
    </w:p>
    <w:p w14:paraId="2559DDC6">
      <w:pPr>
        <w:overflowPunct w:val="0"/>
        <w:spacing w:line="240" w:lineRule="auto"/>
        <w:ind w:firstLine="640" w:firstLineChars="200"/>
        <w:jc w:val="both"/>
        <w:rPr>
          <w:rFonts w:hint="eastAsia" w:ascii="仿宋_GB2312" w:hAnsi="仿宋_GB2312" w:eastAsia="仿宋_GB2312" w:cs="仿宋_GB2312"/>
          <w:color w:val="000000"/>
          <w:kern w:val="0"/>
          <w:sz w:val="32"/>
          <w:szCs w:val="32"/>
          <w:lang w:val="en-US" w:eastAsia="zh-CN" w:bidi="ar-SA"/>
        </w:rPr>
      </w:pPr>
      <w:r>
        <w:rPr>
          <w:rFonts w:hint="eastAsia" w:ascii="仿宋_GB2312" w:hAnsi="仿宋_GB2312" w:eastAsia="仿宋_GB2312" w:cs="仿宋_GB2312"/>
          <w:b/>
          <w:bCs/>
          <w:color w:val="000000"/>
          <w:kern w:val="0"/>
          <w:sz w:val="32"/>
          <w:szCs w:val="32"/>
          <w:lang w:val="en-US" w:eastAsia="zh-CN" w:bidi="ar-SA"/>
        </w:rPr>
        <w:t>1.绩效自评开展情况。</w:t>
      </w:r>
      <w:r>
        <w:rPr>
          <w:rFonts w:hint="eastAsia" w:ascii="仿宋_GB2312" w:hAnsi="仿宋_GB2312" w:eastAsia="仿宋_GB2312" w:cs="仿宋_GB2312"/>
          <w:color w:val="000000"/>
          <w:kern w:val="0"/>
          <w:sz w:val="32"/>
          <w:szCs w:val="32"/>
          <w:lang w:val="en-US" w:eastAsia="zh-CN" w:bidi="ar-SA"/>
        </w:rPr>
        <w:t>组织对2024年度本部门（单位）整体支出开展绩效自评，涉及项目5个，共涉及资金3151.63万元。其中，一般公共预算项目4个739.24万元，占一般公共预算支出总额的100%；政府性基金预算项目1个117.56万元，占政府性基金预算支出总额的100%；国有资本经营预算项目0个0万元，占国有资本经营预算支出总额的100%；社会保险基金预算项目0个0万元，占社会保险基金预算支出总额的100%。</w:t>
      </w:r>
    </w:p>
    <w:p w14:paraId="7059A691">
      <w:pPr>
        <w:overflowPunct w:val="0"/>
        <w:spacing w:line="240" w:lineRule="auto"/>
        <w:ind w:firstLine="640" w:firstLineChars="200"/>
        <w:jc w:val="both"/>
        <w:rPr>
          <w:rFonts w:hint="eastAsia" w:ascii="仿宋_GB2312" w:hAnsi="仿宋_GB2312" w:eastAsia="仿宋_GB2312" w:cs="仿宋_GB2312"/>
          <w:b/>
          <w:bCs/>
          <w:color w:val="000000"/>
          <w:kern w:val="0"/>
          <w:sz w:val="32"/>
          <w:szCs w:val="32"/>
          <w:lang w:val="en-US" w:eastAsia="zh-CN" w:bidi="ar-SA"/>
        </w:rPr>
      </w:pPr>
      <w:r>
        <w:rPr>
          <w:rFonts w:hint="eastAsia" w:ascii="仿宋_GB2312" w:hAnsi="仿宋_GB2312" w:eastAsia="仿宋_GB2312" w:cs="仿宋_GB2312"/>
          <w:b/>
          <w:bCs/>
          <w:color w:val="000000"/>
          <w:kern w:val="0"/>
          <w:sz w:val="32"/>
          <w:szCs w:val="32"/>
          <w:lang w:val="en-US" w:eastAsia="zh-CN" w:bidi="ar-SA"/>
        </w:rPr>
        <w:t>2.部门评价开展情况</w:t>
      </w:r>
    </w:p>
    <w:p w14:paraId="7C65853C">
      <w:pPr>
        <w:numPr>
          <w:ilvl w:val="0"/>
          <w:numId w:val="0"/>
        </w:numPr>
        <w:overflowPunct w:val="0"/>
        <w:spacing w:line="240" w:lineRule="auto"/>
        <w:ind w:firstLine="640" w:firstLineChars="200"/>
        <w:jc w:val="both"/>
        <w:rPr>
          <w:rFonts w:hint="eastAsia" w:ascii="仿宋_GB2312" w:hAnsi="仿宋_GB2312" w:eastAsia="仿宋_GB2312" w:cs="仿宋_GB2312"/>
          <w:color w:val="000000"/>
          <w:kern w:val="0"/>
          <w:sz w:val="32"/>
          <w:szCs w:val="32"/>
          <w:lang w:val="en-US" w:eastAsia="zh-CN" w:bidi="ar-SA"/>
        </w:rPr>
      </w:pPr>
      <w:r>
        <w:rPr>
          <w:rFonts w:hint="eastAsia" w:ascii="仿宋_GB2312" w:hAnsi="仿宋_GB2312" w:eastAsia="仿宋_GB2312" w:cs="仿宋_GB2312"/>
          <w:color w:val="000000"/>
          <w:kern w:val="0"/>
          <w:sz w:val="32"/>
          <w:szCs w:val="32"/>
          <w:lang w:val="en-US" w:eastAsia="zh-CN" w:bidi="ar-SA"/>
        </w:rPr>
        <w:t>本单位为二级预算单位，部门评价开展情况可详见上级部门决算公开说明。</w:t>
      </w:r>
    </w:p>
    <w:p w14:paraId="677B9649">
      <w:pPr>
        <w:overflowPunct w:val="0"/>
        <w:spacing w:line="240" w:lineRule="auto"/>
        <w:ind w:firstLine="640" w:firstLineChars="200"/>
        <w:jc w:val="both"/>
        <w:rPr>
          <w:rFonts w:hint="eastAsia" w:ascii="仿宋_GB2312" w:hAnsi="仿宋_GB2312" w:eastAsia="仿宋_GB2312" w:cs="仿宋_GB2312"/>
          <w:b/>
          <w:bCs/>
          <w:color w:val="000000"/>
          <w:kern w:val="0"/>
          <w:sz w:val="32"/>
          <w:szCs w:val="32"/>
          <w:lang w:val="en-US" w:eastAsia="zh-CN" w:bidi="ar-SA"/>
        </w:rPr>
      </w:pPr>
      <w:r>
        <w:rPr>
          <w:rFonts w:hint="eastAsia" w:ascii="仿宋_GB2312" w:hAnsi="仿宋_GB2312" w:eastAsia="仿宋_GB2312" w:cs="仿宋_GB2312"/>
          <w:b/>
          <w:bCs/>
          <w:color w:val="000000"/>
          <w:kern w:val="0"/>
          <w:sz w:val="32"/>
          <w:szCs w:val="32"/>
          <w:lang w:val="en-US" w:eastAsia="zh-CN" w:bidi="ar-SA"/>
        </w:rPr>
        <w:t>3.事前绩效评估开展情况</w:t>
      </w:r>
    </w:p>
    <w:p w14:paraId="2B23DD89">
      <w:pPr>
        <w:overflowPunct w:val="0"/>
        <w:spacing w:line="240" w:lineRule="auto"/>
        <w:ind w:firstLine="640" w:firstLineChars="200"/>
        <w:jc w:val="both"/>
        <w:rPr>
          <w:rFonts w:hint="eastAsia" w:ascii="仿宋_GB2312" w:hAnsi="仿宋_GB2312" w:eastAsia="仿宋_GB2312" w:cs="仿宋_GB2312"/>
          <w:color w:val="000000"/>
          <w:kern w:val="0"/>
          <w:sz w:val="32"/>
          <w:szCs w:val="32"/>
          <w:lang w:val="en-US" w:eastAsia="zh-CN" w:bidi="ar-SA"/>
        </w:rPr>
      </w:pPr>
      <w:r>
        <w:rPr>
          <w:rFonts w:hint="eastAsia" w:ascii="仿宋_GB2312" w:hAnsi="仿宋_GB2312" w:eastAsia="仿宋_GB2312" w:cs="仿宋_GB2312"/>
          <w:color w:val="000000"/>
          <w:kern w:val="0"/>
          <w:sz w:val="32"/>
          <w:szCs w:val="32"/>
          <w:lang w:val="en-US" w:eastAsia="zh-CN" w:bidi="ar-SA"/>
        </w:rPr>
        <w:t>本单位为二级预算单位，事前绩效评估开展情况可详见上级部门决算公开说明。</w:t>
      </w:r>
    </w:p>
    <w:p w14:paraId="6FC8205B">
      <w:pPr>
        <w:overflowPunct w:val="0"/>
        <w:spacing w:line="240" w:lineRule="auto"/>
        <w:ind w:firstLine="640" w:firstLineChars="200"/>
        <w:jc w:val="both"/>
        <w:rPr>
          <w:rFonts w:hint="eastAsia" w:ascii="楷体" w:hAnsi="楷体" w:eastAsia="楷体" w:cs="楷体"/>
          <w:b w:val="0"/>
          <w:bCs w:val="0"/>
          <w:sz w:val="32"/>
          <w:szCs w:val="32"/>
        </w:rPr>
      </w:pPr>
      <w:r>
        <w:rPr>
          <w:rFonts w:hint="eastAsia" w:ascii="楷体" w:hAnsi="楷体" w:eastAsia="楷体" w:cs="楷体"/>
          <w:b w:val="0"/>
          <w:bCs w:val="0"/>
          <w:sz w:val="32"/>
          <w:szCs w:val="32"/>
        </w:rPr>
        <w:t>（二）绩效评价结果</w:t>
      </w:r>
    </w:p>
    <w:p w14:paraId="74AB17B8">
      <w:pPr>
        <w:keepNext w:val="0"/>
        <w:keepLines w:val="0"/>
        <w:pageBreakBefore w:val="0"/>
        <w:widowControl w:val="0"/>
        <w:kinsoku/>
        <w:wordWrap/>
        <w:overflowPunct/>
        <w:topLinePunct w:val="0"/>
        <w:autoSpaceDE w:val="0"/>
        <w:autoSpaceDN w:val="0"/>
        <w:bidi w:val="0"/>
        <w:adjustRightInd w:val="0"/>
        <w:snapToGrid/>
        <w:spacing w:line="240" w:lineRule="auto"/>
        <w:ind w:firstLine="640" w:firstLineChars="200"/>
        <w:jc w:val="both"/>
        <w:textAlignment w:val="auto"/>
        <w:rPr>
          <w:rFonts w:hint="eastAsia" w:ascii="仿宋_GB2312" w:hAnsi="仿宋_GB2312" w:eastAsia="仿宋_GB2312" w:cs="仿宋_GB2312"/>
          <w:color w:val="000000"/>
          <w:kern w:val="0"/>
          <w:sz w:val="32"/>
          <w:szCs w:val="32"/>
          <w:lang w:val="en-US" w:eastAsia="zh-CN" w:bidi="ar-SA"/>
        </w:rPr>
      </w:pPr>
      <w:r>
        <w:rPr>
          <w:rFonts w:hint="eastAsia" w:ascii="仿宋_GB2312" w:hAnsi="仿宋_GB2312" w:eastAsia="仿宋_GB2312" w:cs="仿宋_GB2312"/>
          <w:b/>
          <w:bCs/>
          <w:color w:val="000000"/>
          <w:kern w:val="0"/>
          <w:sz w:val="32"/>
          <w:szCs w:val="32"/>
          <w:lang w:val="en-US" w:eastAsia="zh-CN" w:bidi="ar-SA"/>
        </w:rPr>
        <w:t>1.绩效自评结果。</w:t>
      </w:r>
      <w:r>
        <w:rPr>
          <w:rFonts w:hint="eastAsia" w:ascii="仿宋_GB2312" w:hAnsi="仿宋_GB2312" w:eastAsia="仿宋_GB2312" w:cs="仿宋_GB2312"/>
          <w:color w:val="000000"/>
          <w:kern w:val="0"/>
          <w:sz w:val="32"/>
          <w:szCs w:val="32"/>
          <w:lang w:val="en-US" w:eastAsia="zh-CN" w:bidi="ar-SA"/>
        </w:rPr>
        <w:t>2024年度本部门（单位）整体支出全年预算数3479.5万元，执行数3151.63万元，完成预算的90.58%，绩效自评得分98分，评价等级为“优”。绩效目标完成情况具体如下：</w:t>
      </w:r>
    </w:p>
    <w:p w14:paraId="2AB8A498">
      <w:pPr>
        <w:pStyle w:val="14"/>
        <w:overflowPunct w:val="0"/>
        <w:autoSpaceDE/>
        <w:autoSpaceDN/>
        <w:spacing w:line="240" w:lineRule="auto"/>
        <w:ind w:firstLine="640" w:firstLineChars="200"/>
        <w:jc w:val="both"/>
        <w:rPr>
          <w:rFonts w:hint="eastAsia" w:ascii="仿宋_GB2312" w:hAnsi="仿宋_GB2312" w:eastAsia="仿宋_GB2312" w:cs="仿宋_GB2312"/>
          <w:color w:val="000000"/>
          <w:kern w:val="0"/>
          <w:sz w:val="32"/>
          <w:szCs w:val="32"/>
          <w:lang w:val="en-US" w:eastAsia="zh-CN" w:bidi="ar-SA"/>
        </w:rPr>
      </w:pPr>
      <w:r>
        <w:rPr>
          <w:rFonts w:hint="eastAsia" w:ascii="仿宋_GB2312" w:hAnsi="仿宋_GB2312" w:eastAsia="仿宋_GB2312" w:cs="仿宋_GB2312"/>
          <w:b/>
          <w:bCs/>
          <w:color w:val="000000"/>
          <w:kern w:val="0"/>
          <w:sz w:val="32"/>
          <w:szCs w:val="32"/>
          <w:lang w:val="en-US" w:eastAsia="zh-CN" w:bidi="ar-SA"/>
        </w:rPr>
        <w:t>（1）经济性。</w:t>
      </w:r>
      <w:r>
        <w:rPr>
          <w:rFonts w:hint="eastAsia" w:ascii="仿宋_GB2312" w:hAnsi="仿宋_GB2312" w:eastAsia="仿宋_GB2312" w:cs="仿宋_GB2312"/>
          <w:color w:val="000000"/>
          <w:kern w:val="0"/>
          <w:sz w:val="32"/>
          <w:szCs w:val="32"/>
          <w:lang w:val="en-US" w:eastAsia="zh-CN" w:bidi="ar-SA"/>
        </w:rPr>
        <w:t>项目在实施过程中，严格控制经费支出实际总支出未超出预算。</w:t>
      </w:r>
    </w:p>
    <w:p w14:paraId="28989902">
      <w:pPr>
        <w:pStyle w:val="14"/>
        <w:overflowPunct w:val="0"/>
        <w:autoSpaceDE/>
        <w:autoSpaceDN/>
        <w:spacing w:line="240" w:lineRule="auto"/>
        <w:ind w:firstLine="640" w:firstLineChars="200"/>
        <w:jc w:val="both"/>
        <w:rPr>
          <w:rFonts w:hint="default" w:ascii="仿宋_GB2312" w:hAnsi="仿宋_GB2312" w:eastAsia="仿宋_GB2312" w:cs="仿宋_GB2312"/>
          <w:color w:val="000000"/>
          <w:kern w:val="0"/>
          <w:sz w:val="32"/>
          <w:szCs w:val="32"/>
          <w:lang w:val="en-US" w:eastAsia="zh-CN" w:bidi="ar-SA"/>
        </w:rPr>
      </w:pPr>
      <w:r>
        <w:rPr>
          <w:rFonts w:hint="eastAsia" w:ascii="仿宋_GB2312" w:hAnsi="仿宋_GB2312" w:eastAsia="仿宋_GB2312" w:cs="仿宋_GB2312"/>
          <w:b/>
          <w:bCs/>
          <w:color w:val="000000"/>
          <w:kern w:val="0"/>
          <w:sz w:val="32"/>
          <w:szCs w:val="32"/>
          <w:lang w:val="en-US" w:eastAsia="zh-CN" w:bidi="ar-SA"/>
        </w:rPr>
        <w:t>（2）安全性。</w:t>
      </w:r>
      <w:r>
        <w:rPr>
          <w:rFonts w:hint="eastAsia" w:ascii="仿宋_GB2312" w:hAnsi="仿宋_GB2312" w:eastAsia="仿宋_GB2312" w:cs="仿宋_GB2312"/>
          <w:color w:val="000000"/>
          <w:kern w:val="0"/>
          <w:sz w:val="32"/>
          <w:szCs w:val="32"/>
          <w:lang w:val="en-US" w:eastAsia="zh-CN" w:bidi="ar-SA"/>
        </w:rPr>
        <w:t>不断规范单位用款行为，全面推进内控建设，“源头治腐”防线已经构建。项目开展政府采购全流程电子化交易工作，严格“三公”经费管理，规范购买服务行为，有效节约预算资金。从严抓实，强化财务监督。</w:t>
      </w:r>
    </w:p>
    <w:p w14:paraId="1937BAEE">
      <w:pPr>
        <w:pStyle w:val="14"/>
        <w:overflowPunct w:val="0"/>
        <w:autoSpaceDE/>
        <w:autoSpaceDN/>
        <w:spacing w:line="240" w:lineRule="auto"/>
        <w:ind w:firstLine="640" w:firstLineChars="200"/>
        <w:jc w:val="both"/>
        <w:rPr>
          <w:rFonts w:hint="eastAsia" w:ascii="仿宋_GB2312" w:hAnsi="仿宋_GB2312" w:eastAsia="仿宋_GB2312" w:cs="仿宋_GB2312"/>
          <w:color w:val="000000"/>
          <w:kern w:val="0"/>
          <w:sz w:val="32"/>
          <w:szCs w:val="32"/>
          <w:lang w:val="en-US" w:eastAsia="zh-CN" w:bidi="ar-SA"/>
        </w:rPr>
      </w:pPr>
      <w:r>
        <w:rPr>
          <w:rFonts w:hint="eastAsia" w:ascii="仿宋_GB2312" w:hAnsi="仿宋_GB2312" w:eastAsia="仿宋_GB2312" w:cs="仿宋_GB2312"/>
          <w:b/>
          <w:bCs/>
          <w:color w:val="000000"/>
          <w:kern w:val="0"/>
          <w:sz w:val="32"/>
          <w:szCs w:val="32"/>
          <w:lang w:val="en-US" w:eastAsia="zh-CN" w:bidi="ar-SA"/>
        </w:rPr>
        <w:t>（3）效率性。</w:t>
      </w:r>
      <w:r>
        <w:rPr>
          <w:rFonts w:hint="eastAsia" w:ascii="仿宋_GB2312" w:hAnsi="仿宋_GB2312" w:eastAsia="仿宋_GB2312" w:cs="仿宋_GB2312"/>
          <w:color w:val="000000"/>
          <w:kern w:val="0"/>
          <w:sz w:val="32"/>
          <w:szCs w:val="32"/>
          <w:lang w:val="en-US" w:eastAsia="zh-CN" w:bidi="ar-SA"/>
        </w:rPr>
        <w:t>2024年，我院除高效完成常态化工作及上级布置的中心工作外，全年核心工作均围绕第八届湖南艺术节开展。</w:t>
      </w:r>
    </w:p>
    <w:p w14:paraId="6356928E">
      <w:pPr>
        <w:pStyle w:val="14"/>
        <w:keepNext w:val="0"/>
        <w:keepLines w:val="0"/>
        <w:pageBreakBefore w:val="0"/>
        <w:widowControl w:val="0"/>
        <w:kinsoku/>
        <w:wordWrap/>
        <w:overflowPunct/>
        <w:topLinePunct w:val="0"/>
        <w:bidi w:val="0"/>
        <w:snapToGrid/>
        <w:spacing w:line="240" w:lineRule="auto"/>
        <w:ind w:firstLine="640" w:firstLineChars="200"/>
        <w:jc w:val="both"/>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color w:val="000000"/>
          <w:kern w:val="0"/>
          <w:sz w:val="32"/>
          <w:szCs w:val="32"/>
          <w:lang w:val="en-US" w:eastAsia="zh-CN" w:bidi="ar-SA"/>
        </w:rPr>
        <w:t>一是全力以赴进行新编大型现代巴陵戏《共饮一江水》排练演出，我院主创团队听取多方意见，不断打磨提升，为观众呈现了一部“思想精深、艺术精湛、制作精良”的优秀作品。在4月25日习近平总书记视察岳阳并提出“守护好一江碧水”殷殷嘱托六周年岳阳4·25系列活动中，《共饮一江水》为期三天的专场演出，获得好评如潮，取得了良好的社会效益。11月</w:t>
      </w:r>
      <w:r>
        <w:rPr>
          <w:rFonts w:hint="eastAsia" w:ascii="仿宋_GB2312" w:hAnsi="仿宋_GB2312" w:eastAsia="仿宋_GB2312" w:cs="仿宋_GB2312"/>
          <w:sz w:val="32"/>
          <w:szCs w:val="32"/>
          <w:lang w:val="en-US" w:eastAsia="zh-CN"/>
        </w:rPr>
        <w:t>参加第八届湖南艺术节新创大型舞台剧目展演，《共饮一江水》荣获“田汉新剧目奖”。编剧曹雨获“田汉编剧奖”，演员李政红、方帆获“田汉表演奖”。</w:t>
      </w:r>
    </w:p>
    <w:p w14:paraId="014ABF9F">
      <w:pPr>
        <w:pStyle w:val="14"/>
        <w:keepNext w:val="0"/>
        <w:keepLines w:val="0"/>
        <w:pageBreakBefore w:val="0"/>
        <w:widowControl w:val="0"/>
        <w:kinsoku/>
        <w:wordWrap/>
        <w:overflowPunct/>
        <w:topLinePunct w:val="0"/>
        <w:bidi w:val="0"/>
        <w:snapToGrid/>
        <w:spacing w:line="240" w:lineRule="auto"/>
        <w:ind w:firstLine="640" w:firstLineChars="200"/>
        <w:jc w:val="both"/>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二是我院创排了讲述两位抗美援朝战争老兵数十年后超越时空重逢，讴歌英雄赞美英雄满溢正能量的新编小型现代巴陵戏《超越时空的重逢》，编织生动感人的历史画面，为观众呈现既真实又超越现实的红色主题舞台空间。10月参加第八届湖南艺术节新创小戏小品展演，《超越时空的重逢》荣获“田汉小剧目奖”。</w:t>
      </w:r>
    </w:p>
    <w:p w14:paraId="7EE07B26">
      <w:pPr>
        <w:pStyle w:val="14"/>
        <w:keepNext w:val="0"/>
        <w:keepLines w:val="0"/>
        <w:pageBreakBefore w:val="0"/>
        <w:widowControl w:val="0"/>
        <w:kinsoku/>
        <w:wordWrap/>
        <w:overflowPunct/>
        <w:topLinePunct w:val="0"/>
        <w:bidi w:val="0"/>
        <w:snapToGrid/>
        <w:spacing w:line="240" w:lineRule="auto"/>
        <w:ind w:firstLine="640" w:firstLineChars="200"/>
        <w:jc w:val="both"/>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三是我院编创的情景表演唱《岳州印记》巧妙融入巴陵戏唱腔，词美韵足，不仅展示岳阳的精神气质，更提升城市的知名度和美誉度。4月，由洞庭风情文化发展有限公司表演的《岳州印记》荣获2024年全国社区春晚“优秀节目奖”，7月，《岳州印记》荣获“湘”约现代化新时代新湖南新形象系列歌曲创作推广工程“十佳优秀歌曲奖”“十佳听众最喜爱歌曲奖”，9月参加第八届湖南艺术节音乐类决赛，《岳州印记》荣获“三湘群星奖”最佳作品奖。</w:t>
      </w:r>
    </w:p>
    <w:p w14:paraId="441D3266">
      <w:pPr>
        <w:pStyle w:val="14"/>
        <w:keepNext w:val="0"/>
        <w:keepLines w:val="0"/>
        <w:pageBreakBefore w:val="0"/>
        <w:widowControl w:val="0"/>
        <w:kinsoku/>
        <w:wordWrap/>
        <w:overflowPunct/>
        <w:topLinePunct w:val="0"/>
        <w:bidi w:val="0"/>
        <w:snapToGrid/>
        <w:spacing w:line="240" w:lineRule="auto"/>
        <w:ind w:firstLine="640" w:firstLineChars="200"/>
        <w:jc w:val="both"/>
        <w:textAlignment w:val="auto"/>
        <w:rPr>
          <w:rFonts w:hint="default"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四是“岳阳楼日”巴陵戏《岳阳楼记》全国首演</w:t>
      </w:r>
    </w:p>
    <w:p w14:paraId="45C6D0A9">
      <w:pPr>
        <w:pStyle w:val="14"/>
        <w:keepNext w:val="0"/>
        <w:keepLines w:val="0"/>
        <w:pageBreakBefore w:val="0"/>
        <w:widowControl w:val="0"/>
        <w:kinsoku/>
        <w:wordWrap/>
        <w:overflowPunct/>
        <w:topLinePunct w:val="0"/>
        <w:bidi w:val="0"/>
        <w:snapToGrid/>
        <w:spacing w:line="240" w:lineRule="auto"/>
        <w:ind w:firstLine="640" w:firstLineChars="200"/>
        <w:jc w:val="both"/>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为深入贯彻习近平文化思想，积极践行“两个融合”命题，我院创作生产了文化和旅游融合，文化与科技融合的新国风环境式巴陵戏《岳阳楼记》，于《岳阳楼记》诞生978周年“岳阳楼日”10月17日全国首演，通过新国风环境式的舞台表现，将岳阳楼、洞庭湖和巴陵戏三大文化元素融合，让观众获得沉浸式的文化体验，为岳阳的文化旅游发展注入了新的活力。</w:t>
      </w:r>
    </w:p>
    <w:p w14:paraId="485BC8CD">
      <w:pPr>
        <w:pStyle w:val="14"/>
        <w:keepNext w:val="0"/>
        <w:keepLines w:val="0"/>
        <w:pageBreakBefore w:val="0"/>
        <w:widowControl w:val="0"/>
        <w:kinsoku/>
        <w:wordWrap/>
        <w:overflowPunct/>
        <w:topLinePunct w:val="0"/>
        <w:bidi w:val="0"/>
        <w:snapToGrid/>
        <w:spacing w:line="240" w:lineRule="auto"/>
        <w:ind w:firstLine="640" w:firstLineChars="200"/>
        <w:jc w:val="both"/>
        <w:textAlignment w:val="auto"/>
        <w:rPr>
          <w:rFonts w:hint="default"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五是复排经典剧目</w:t>
      </w:r>
    </w:p>
    <w:p w14:paraId="4A79A638">
      <w:pPr>
        <w:pStyle w:val="14"/>
        <w:keepNext w:val="0"/>
        <w:keepLines w:val="0"/>
        <w:pageBreakBefore w:val="0"/>
        <w:widowControl w:val="0"/>
        <w:kinsoku/>
        <w:wordWrap/>
        <w:overflowPunct/>
        <w:topLinePunct w:val="0"/>
        <w:bidi w:val="0"/>
        <w:snapToGrid/>
        <w:spacing w:line="240" w:lineRule="auto"/>
        <w:ind w:firstLine="640" w:firstLineChars="200"/>
        <w:jc w:val="both"/>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我院复排了巴陵戏《穆桂英大破天门阵》和花鼓戏《朱买臣卖柴》两部传统经典剧目。</w:t>
      </w:r>
    </w:p>
    <w:p w14:paraId="5AB6798F">
      <w:pPr>
        <w:pStyle w:val="14"/>
        <w:keepNext w:val="0"/>
        <w:keepLines w:val="0"/>
        <w:pageBreakBefore w:val="0"/>
        <w:widowControl w:val="0"/>
        <w:kinsoku/>
        <w:wordWrap/>
        <w:overflowPunct/>
        <w:topLinePunct w:val="0"/>
        <w:bidi w:val="0"/>
        <w:snapToGrid/>
        <w:spacing w:line="240" w:lineRule="auto"/>
        <w:ind w:firstLine="640" w:firstLineChars="200"/>
        <w:jc w:val="both"/>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六是2024年，我院参加全国社区春晚、四季“村晚”等各类演出活动百余场，精心创排戏曲、歌舞节目32个，给演出活动增添了靓丽的风采，也为我院今后争取各级部门，各个团体的支持赢得了口碑。</w:t>
      </w:r>
    </w:p>
    <w:p w14:paraId="41860272">
      <w:pPr>
        <w:pStyle w:val="14"/>
        <w:keepNext w:val="0"/>
        <w:keepLines w:val="0"/>
        <w:pageBreakBefore w:val="0"/>
        <w:widowControl w:val="0"/>
        <w:kinsoku/>
        <w:wordWrap/>
        <w:overflowPunct/>
        <w:topLinePunct w:val="0"/>
        <w:bidi w:val="0"/>
        <w:snapToGrid/>
        <w:spacing w:line="240" w:lineRule="auto"/>
        <w:ind w:firstLine="640" w:firstLineChars="200"/>
        <w:jc w:val="both"/>
        <w:textAlignment w:val="auto"/>
        <w:rPr>
          <w:rFonts w:hint="default"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2024年，我院开展“进基层、进社区、进校园、进景区”文化惠民系列公益性演出活动100场，服务人民群众6万余人。巴陵戏消防宣传服务队，积极宣传消防安全知识。“强国复兴有我”专场文艺展演，深入宣传爱国主义教育，弘扬社会主义核心价值观。坚持文艺惠民，打造非遗文化传播阵地。</w:t>
      </w:r>
    </w:p>
    <w:p w14:paraId="082A7284">
      <w:pPr>
        <w:pStyle w:val="14"/>
        <w:keepNext w:val="0"/>
        <w:keepLines w:val="0"/>
        <w:pageBreakBefore w:val="0"/>
        <w:widowControl w:val="0"/>
        <w:kinsoku/>
        <w:wordWrap/>
        <w:overflowPunct/>
        <w:topLinePunct w:val="0"/>
        <w:bidi w:val="0"/>
        <w:snapToGrid/>
        <w:spacing w:line="240" w:lineRule="auto"/>
        <w:ind w:firstLine="640" w:firstLineChars="200"/>
        <w:jc w:val="both"/>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还通过“院校联合”，我院以巴陵戏展演、技艺展示、专题讲座为载体，指导各中小学打造多种形态的“巴陵戏普及教育基地”。我院精心编创的少儿巴陵戏《日出东方》喜获2024年湖南省“小小金角”、湖南省少儿戏曲“小金花”等多项荣誉，并于7月参加第28届中国少儿戏曲小梅花荟萃再获佳绩，荣获“小梅花”荣誉称号。</w:t>
      </w:r>
    </w:p>
    <w:p w14:paraId="217EAB67">
      <w:pPr>
        <w:pStyle w:val="14"/>
        <w:keepNext w:val="0"/>
        <w:keepLines w:val="0"/>
        <w:pageBreakBefore w:val="0"/>
        <w:widowControl w:val="0"/>
        <w:kinsoku/>
        <w:wordWrap/>
        <w:overflowPunct/>
        <w:topLinePunct w:val="0"/>
        <w:bidi w:val="0"/>
        <w:snapToGrid/>
        <w:spacing w:line="240" w:lineRule="auto"/>
        <w:ind w:firstLine="640" w:firstLineChars="200"/>
        <w:jc w:val="both"/>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我院采取外请专业老师，与工作实践相结合的方式，以创作生产大、小型剧（节）目、复排经典剧目为抓手，外请知名导演，青年演职员担纲重要角色及主鼓、主胡、主岗等、青年舞台技术人员（灯光、舞美）承担主岗，为院团人才梯队建设及良性发展打好基础。</w:t>
      </w:r>
    </w:p>
    <w:p w14:paraId="6D040DBC">
      <w:pPr>
        <w:pStyle w:val="14"/>
        <w:keepNext w:val="0"/>
        <w:keepLines w:val="0"/>
        <w:pageBreakBefore w:val="0"/>
        <w:widowControl w:val="0"/>
        <w:kinsoku/>
        <w:wordWrap/>
        <w:overflowPunct/>
        <w:topLinePunct w:val="0"/>
        <w:bidi w:val="0"/>
        <w:snapToGrid/>
        <w:spacing w:line="240" w:lineRule="auto"/>
        <w:ind w:firstLine="640" w:firstLineChars="200"/>
        <w:jc w:val="both"/>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b/>
          <w:bCs/>
          <w:color w:val="000000"/>
          <w:kern w:val="0"/>
          <w:sz w:val="32"/>
          <w:szCs w:val="32"/>
          <w:lang w:val="en-US" w:eastAsia="zh-CN" w:bidi="ar-SA"/>
        </w:rPr>
        <w:t>（4）项目效益性。</w:t>
      </w:r>
      <w:r>
        <w:rPr>
          <w:rFonts w:hint="eastAsia" w:ascii="仿宋_GB2312" w:hAnsi="仿宋_GB2312" w:eastAsia="仿宋_GB2312" w:cs="仿宋_GB2312"/>
          <w:sz w:val="32"/>
          <w:szCs w:val="32"/>
          <w:lang w:val="en-US" w:eastAsia="zh-CN"/>
        </w:rPr>
        <w:t>在项目的实施过程中，我院始终秉持传承和发展巴陵戏这一宗旨，以公益演出为抓手，广泛收集传统戏剧目资料并加以规范整理，去除糟粕、保留精华。在保留本剧种声腔、语言、独特表演程式的前提下努力探索创新路子。在传统剧目演出过程中，我院采取的是代表性传承人代表性剧目演出（40%以上）、青年演员学演剧目演出（30%）以及老带新同台演出（30%）轮流上演的方式进行。既充分展示了传统巴陵戏的艺术魅力、代表性传承人的艺术风采，同时也为青年演员提供了较多的舞台实践机会，进而达到了公益惠民、传承普及、培养新人的有效目的。</w:t>
      </w:r>
    </w:p>
    <w:p w14:paraId="554EDA50">
      <w:pPr>
        <w:pStyle w:val="14"/>
        <w:keepNext w:val="0"/>
        <w:keepLines w:val="0"/>
        <w:pageBreakBefore w:val="0"/>
        <w:widowControl w:val="0"/>
        <w:kinsoku/>
        <w:wordWrap/>
        <w:overflowPunct/>
        <w:topLinePunct w:val="0"/>
        <w:bidi w:val="0"/>
        <w:snapToGrid/>
        <w:spacing w:line="240" w:lineRule="auto"/>
        <w:ind w:firstLine="640" w:firstLineChars="200"/>
        <w:jc w:val="both"/>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b/>
          <w:bCs/>
          <w:color w:val="000000"/>
          <w:kern w:val="0"/>
          <w:sz w:val="32"/>
          <w:szCs w:val="32"/>
          <w:lang w:val="en-US" w:eastAsia="zh-CN" w:bidi="ar-SA"/>
        </w:rPr>
        <w:t>（5）项目公益性。</w:t>
      </w:r>
      <w:r>
        <w:rPr>
          <w:rFonts w:hint="eastAsia" w:ascii="仿宋_GB2312" w:hAnsi="仿宋_GB2312" w:eastAsia="仿宋_GB2312" w:cs="仿宋_GB2312"/>
          <w:sz w:val="32"/>
          <w:szCs w:val="32"/>
          <w:lang w:val="en-US" w:eastAsia="zh-CN"/>
        </w:rPr>
        <w:t>为了进一步提升服务意识，了解观众需求，我院开展了一次2024年度观众满意度调查，根据回收的数据，观众好评度为100%。通过全年在景区、社区开展的公益惠民演出，惠及观众达数万人次，深受观众的欢迎和喜爱，取得良好社会效益。为了进一步扩大社会影响，我院通过线上微信公众号、自媒体和线下电视、电台，定期发布“戏讯”、发表演出动态文章等形式，对非遗巴陵戏文化进行广泛宣传，颇具成效。周末逛景区、社区看巴陵戏、去巴陵戏展演中心看巴陵戏已逐渐成为部分市民的生活常态。</w:t>
      </w:r>
    </w:p>
    <w:p w14:paraId="3D8E9B39">
      <w:pPr>
        <w:pStyle w:val="14"/>
        <w:keepNext w:val="0"/>
        <w:keepLines w:val="0"/>
        <w:pageBreakBefore w:val="0"/>
        <w:widowControl w:val="0"/>
        <w:kinsoku/>
        <w:wordWrap/>
        <w:overflowPunct/>
        <w:topLinePunct w:val="0"/>
        <w:bidi w:val="0"/>
        <w:snapToGrid/>
        <w:spacing w:line="240" w:lineRule="auto"/>
        <w:ind w:firstLine="640" w:firstLineChars="200"/>
        <w:jc w:val="both"/>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随着2017年巴陵戏大专班21名学员通过公开招聘进入院团，巴陵戏演艺人才匮乏的现状得到缓解。当前线下演出市场的火爆衍生出诸多文旅消费新场景，展示了文旅融合的巨大潜力，打造情景交融的沉浸式演出逐渐成为城市文旅消费的新风尚。外部环境和内部条件发生变化，巴陵戏的传承和发展也面临历史机遇和挑战，必须增强机遇意识、发展意识和创新意识，牢牢把握新特征新要求，全面贯彻落实新发展理念，努力实现更高质量、更有效率、更加公平、更可持续的发展，为建一流院团、出一批精品、育一代新秀目标提供强有力的支撑。</w:t>
      </w:r>
    </w:p>
    <w:p w14:paraId="51B3D42B">
      <w:pPr>
        <w:pStyle w:val="14"/>
        <w:keepNext w:val="0"/>
        <w:keepLines w:val="0"/>
        <w:pageBreakBefore w:val="0"/>
        <w:widowControl w:val="0"/>
        <w:kinsoku/>
        <w:wordWrap/>
        <w:overflowPunct/>
        <w:topLinePunct w:val="0"/>
        <w:bidi w:val="0"/>
        <w:snapToGrid/>
        <w:spacing w:line="240" w:lineRule="auto"/>
        <w:ind w:firstLine="640" w:firstLineChars="200"/>
        <w:jc w:val="both"/>
        <w:textAlignment w:val="auto"/>
        <w:rPr>
          <w:rFonts w:hint="eastAsia" w:ascii="黑体" w:hAnsi="黑体" w:eastAsia="黑体" w:cs="黑体"/>
          <w:sz w:val="32"/>
          <w:szCs w:val="32"/>
          <w:lang w:val="en-US" w:eastAsia="zh-CN"/>
        </w:rPr>
      </w:pPr>
      <w:r>
        <w:rPr>
          <w:rFonts w:hint="eastAsia" w:ascii="黑体" w:hAnsi="黑体" w:eastAsia="黑体" w:cs="黑体"/>
          <w:sz w:val="32"/>
          <w:szCs w:val="32"/>
          <w:lang w:val="en-US" w:eastAsia="zh-CN"/>
        </w:rPr>
        <w:t>十五、认真分析2024年度的工作，我院主要存在三个方面的问题：</w:t>
      </w:r>
    </w:p>
    <w:p w14:paraId="1D58746C">
      <w:pPr>
        <w:pStyle w:val="14"/>
        <w:keepNext w:val="0"/>
        <w:keepLines w:val="0"/>
        <w:pageBreakBefore w:val="0"/>
        <w:widowControl w:val="0"/>
        <w:kinsoku/>
        <w:wordWrap/>
        <w:overflowPunct/>
        <w:topLinePunct w:val="0"/>
        <w:bidi w:val="0"/>
        <w:snapToGrid/>
        <w:spacing w:line="240" w:lineRule="auto"/>
        <w:ind w:firstLine="640" w:firstLineChars="200"/>
        <w:jc w:val="both"/>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（一）在政治思想方面，存在学习的自觉性、主动性不够。在依法治院、从严治院、严格教育学习管理、激发全院干部职工干事创业积极性，齐心协力开创院团建设新局面等方面还需要进一步加强。</w:t>
      </w:r>
    </w:p>
    <w:p w14:paraId="4DE9BD8D">
      <w:pPr>
        <w:pStyle w:val="14"/>
        <w:keepNext w:val="0"/>
        <w:keepLines w:val="0"/>
        <w:pageBreakBefore w:val="0"/>
        <w:widowControl w:val="0"/>
        <w:kinsoku/>
        <w:wordWrap/>
        <w:overflowPunct/>
        <w:topLinePunct w:val="0"/>
        <w:bidi w:val="0"/>
        <w:snapToGrid/>
        <w:spacing w:line="240" w:lineRule="auto"/>
        <w:ind w:firstLine="640" w:firstLineChars="200"/>
        <w:jc w:val="both"/>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（二）矛盾纠纷排查化解、风险源头防控工作还存在问题。有的干部职工对调解工作没有引起重视，没有形成化解矛盾纠纷的整体合力，没有发挥好“第一道防线”的作用。</w:t>
      </w:r>
    </w:p>
    <w:p w14:paraId="61203C82">
      <w:pPr>
        <w:pStyle w:val="14"/>
        <w:keepNext w:val="0"/>
        <w:keepLines w:val="0"/>
        <w:pageBreakBefore w:val="0"/>
        <w:widowControl w:val="0"/>
        <w:kinsoku/>
        <w:wordWrap/>
        <w:overflowPunct/>
        <w:topLinePunct w:val="0"/>
        <w:bidi w:val="0"/>
        <w:snapToGrid/>
        <w:spacing w:line="240" w:lineRule="auto"/>
        <w:ind w:firstLine="640" w:firstLineChars="200"/>
        <w:jc w:val="both"/>
        <w:textAlignment w:val="auto"/>
        <w:rPr>
          <w:rFonts w:hint="default"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（三）工作纪律自我约束方面，有待加强。市传承院属于文艺单位，演出活动频繁，职工组织纪律不是很强，有迟到早退现象。</w:t>
      </w:r>
    </w:p>
    <w:p w14:paraId="177FA179">
      <w:pPr>
        <w:pStyle w:val="14"/>
        <w:keepNext w:val="0"/>
        <w:keepLines w:val="0"/>
        <w:pageBreakBefore w:val="0"/>
        <w:widowControl w:val="0"/>
        <w:kinsoku/>
        <w:wordWrap/>
        <w:overflowPunct/>
        <w:topLinePunct w:val="0"/>
        <w:bidi w:val="0"/>
        <w:snapToGrid/>
        <w:spacing w:line="240" w:lineRule="auto"/>
        <w:ind w:firstLine="640" w:firstLineChars="200"/>
        <w:jc w:val="both"/>
        <w:textAlignment w:val="auto"/>
        <w:rPr>
          <w:rFonts w:hint="default" w:ascii="黑体" w:hAnsi="黑体" w:eastAsia="黑体" w:cs="黑体"/>
          <w:sz w:val="32"/>
          <w:szCs w:val="32"/>
          <w:lang w:val="en-US" w:eastAsia="zh-CN"/>
        </w:rPr>
      </w:pPr>
      <w:r>
        <w:rPr>
          <w:rFonts w:hint="eastAsia" w:ascii="黑体" w:hAnsi="黑体" w:eastAsia="黑体" w:cs="黑体"/>
          <w:sz w:val="32"/>
          <w:szCs w:val="32"/>
          <w:lang w:val="en-US" w:eastAsia="zh-CN"/>
        </w:rPr>
        <w:t>十六、</w:t>
      </w:r>
      <w:r>
        <w:rPr>
          <w:rFonts w:hint="default" w:ascii="黑体" w:hAnsi="黑体" w:eastAsia="黑体" w:cs="黑体"/>
          <w:sz w:val="32"/>
          <w:szCs w:val="32"/>
          <w:lang w:val="en-US" w:eastAsia="zh-CN"/>
        </w:rPr>
        <w:t>下一步改进措施</w:t>
      </w:r>
    </w:p>
    <w:p w14:paraId="36EB48AD">
      <w:pPr>
        <w:pStyle w:val="14"/>
        <w:keepNext w:val="0"/>
        <w:keepLines w:val="0"/>
        <w:pageBreakBefore w:val="0"/>
        <w:widowControl w:val="0"/>
        <w:kinsoku/>
        <w:wordWrap/>
        <w:overflowPunct/>
        <w:topLinePunct w:val="0"/>
        <w:bidi w:val="0"/>
        <w:snapToGrid/>
        <w:spacing w:line="240" w:lineRule="auto"/>
        <w:ind w:firstLine="640" w:firstLineChars="200"/>
        <w:jc w:val="both"/>
        <w:textAlignment w:val="auto"/>
        <w:rPr>
          <w:rFonts w:hint="default"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我院将围绕贯彻落实习近平总书记考察湖南重要讲话和指示精神，贯彻党的二十届三中全会关于深化文化体制机制改革等战略部署，坚持从提供优质的艺术精品和公共服务惠民两端发力，具体聚焦以下工作：</w:t>
      </w:r>
    </w:p>
    <w:p w14:paraId="71AA329E">
      <w:pPr>
        <w:pStyle w:val="14"/>
        <w:keepNext w:val="0"/>
        <w:keepLines w:val="0"/>
        <w:pageBreakBefore w:val="0"/>
        <w:widowControl w:val="0"/>
        <w:kinsoku/>
        <w:wordWrap/>
        <w:overflowPunct/>
        <w:topLinePunct w:val="0"/>
        <w:bidi w:val="0"/>
        <w:snapToGrid/>
        <w:spacing w:line="240" w:lineRule="auto"/>
        <w:ind w:firstLine="640" w:firstLineChars="200"/>
        <w:jc w:val="both"/>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（一）实施艺术创作精品工程</w:t>
      </w:r>
    </w:p>
    <w:p w14:paraId="38DAFE75">
      <w:pPr>
        <w:pStyle w:val="14"/>
        <w:keepNext w:val="0"/>
        <w:keepLines w:val="0"/>
        <w:pageBreakBefore w:val="0"/>
        <w:widowControl w:val="0"/>
        <w:kinsoku/>
        <w:wordWrap/>
        <w:overflowPunct/>
        <w:topLinePunct w:val="0"/>
        <w:bidi w:val="0"/>
        <w:snapToGrid/>
        <w:spacing w:line="240" w:lineRule="auto"/>
        <w:ind w:firstLine="640" w:firstLineChars="200"/>
        <w:jc w:val="both"/>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我院文艺创作始终坚持以人民为中心的创作导向。2025年将推动红色革命题材《红色特工》（暂定名）剧本创作，在提高原创力、内容、唱腔上下功夫，推动内容和形式相融合，戏曲艺术要素和技术要素相辉映，力争作品不仅能够深入人心，同时产生广泛的社会影响，以正确的价值导向传递正能量，激发广大群众的奋斗精神。</w:t>
      </w:r>
    </w:p>
    <w:p w14:paraId="49956F84">
      <w:pPr>
        <w:pStyle w:val="14"/>
        <w:keepNext w:val="0"/>
        <w:keepLines w:val="0"/>
        <w:pageBreakBefore w:val="0"/>
        <w:widowControl w:val="0"/>
        <w:kinsoku/>
        <w:wordWrap/>
        <w:overflowPunct/>
        <w:topLinePunct w:val="0"/>
        <w:bidi w:val="0"/>
        <w:snapToGrid/>
        <w:spacing w:line="240" w:lineRule="auto"/>
        <w:ind w:firstLine="640" w:firstLineChars="200"/>
        <w:jc w:val="both"/>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（二）实施公共服务惠民工程</w:t>
      </w:r>
    </w:p>
    <w:p w14:paraId="3C4FFC97">
      <w:pPr>
        <w:pStyle w:val="14"/>
        <w:keepNext w:val="0"/>
        <w:keepLines w:val="0"/>
        <w:pageBreakBefore w:val="0"/>
        <w:widowControl w:val="0"/>
        <w:kinsoku/>
        <w:wordWrap/>
        <w:overflowPunct/>
        <w:topLinePunct w:val="0"/>
        <w:bidi w:val="0"/>
        <w:snapToGrid/>
        <w:spacing w:line="240" w:lineRule="auto"/>
        <w:ind w:firstLine="640" w:firstLineChars="200"/>
        <w:jc w:val="both"/>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2025年我院将开展公益惠民演出100场，持续打造“您身边的巴陵戏”活动品牌，“巴陵戏进景区”免费或低票价公益性演出进一步增加景区吸引力，提升游客参与度和体验感，助推文旅发展。组织开展“进校园、进基层”公益性传播及演出活动。</w:t>
      </w:r>
    </w:p>
    <w:p w14:paraId="2B2BAC98">
      <w:pPr>
        <w:pStyle w:val="14"/>
        <w:keepNext w:val="0"/>
        <w:keepLines w:val="0"/>
        <w:pageBreakBefore w:val="0"/>
        <w:widowControl w:val="0"/>
        <w:kinsoku/>
        <w:wordWrap/>
        <w:overflowPunct/>
        <w:topLinePunct w:val="0"/>
        <w:bidi w:val="0"/>
        <w:snapToGrid/>
        <w:spacing w:line="240" w:lineRule="auto"/>
        <w:ind w:firstLine="640" w:firstLineChars="200"/>
        <w:jc w:val="both"/>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2025年，我院将启动“巴陵戏社会普及教师研修班”项目，以每年培训一批以中小学音乐教师为主体的骨干教师群体为目标，将巴陵戏普及课程开设到其所在学校。预计通过3～5年的时间，对中心城区中小学做到“全覆盖”。在此基础上，积极建立一批“巴陵戏校园普及基地”，采取“院校联点、专人联络、一校一品”的方式，计划陆续在高校、中学、幼儿园再建设5所示范学校，推出一批在全国、全省有影响力的巴陵戏校园普教成果，形成全教育体系的示范效益。</w:t>
      </w:r>
    </w:p>
    <w:p w14:paraId="54988568">
      <w:pPr>
        <w:pStyle w:val="14"/>
        <w:keepNext w:val="0"/>
        <w:keepLines w:val="0"/>
        <w:pageBreakBefore w:val="0"/>
        <w:widowControl w:val="0"/>
        <w:kinsoku/>
        <w:wordWrap/>
        <w:overflowPunct/>
        <w:topLinePunct w:val="0"/>
        <w:bidi w:val="0"/>
        <w:snapToGrid/>
        <w:spacing w:line="240" w:lineRule="auto"/>
        <w:ind w:firstLine="640" w:firstLineChars="200"/>
        <w:jc w:val="both"/>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（三）实施青年人才培养工程</w:t>
      </w:r>
    </w:p>
    <w:p w14:paraId="7C61D442">
      <w:pPr>
        <w:pStyle w:val="14"/>
        <w:keepNext w:val="0"/>
        <w:keepLines w:val="0"/>
        <w:pageBreakBefore w:val="0"/>
        <w:widowControl w:val="0"/>
        <w:kinsoku/>
        <w:wordWrap/>
        <w:overflowPunct/>
        <w:topLinePunct w:val="0"/>
        <w:bidi w:val="0"/>
        <w:snapToGrid/>
        <w:spacing w:line="240" w:lineRule="auto"/>
        <w:ind w:firstLine="640" w:firstLineChars="200"/>
        <w:jc w:val="both"/>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根据优秀青年演员自身的特点和优长，有组织、有系统、有考核、有奖励地定向培养，进一步通过“剧目制”的形式做好现有人才培养工作，加强对后继人才的动态跟踪和扶持。给人才提供更多展示、锻炼平台。开展折子戏和青年演员、乐手专业技能比赛，助力优秀人才积极参加“湘戏新角”等省内外文艺赛事，加速推动人才成长，聚焦对青年人才的创作扶持，壮大艺术创新力量。</w:t>
      </w:r>
    </w:p>
    <w:p w14:paraId="38EEA1A0">
      <w:pPr>
        <w:pStyle w:val="14"/>
        <w:keepNext w:val="0"/>
        <w:keepLines w:val="0"/>
        <w:pageBreakBefore w:val="0"/>
        <w:widowControl w:val="0"/>
        <w:kinsoku/>
        <w:wordWrap/>
        <w:overflowPunct/>
        <w:topLinePunct w:val="0"/>
        <w:bidi w:val="0"/>
        <w:snapToGrid/>
        <w:spacing w:line="240" w:lineRule="auto"/>
        <w:ind w:firstLine="640" w:firstLineChars="200"/>
        <w:jc w:val="both"/>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（四）推动传统剧目复排行动</w:t>
      </w:r>
    </w:p>
    <w:p w14:paraId="5C963E81">
      <w:pPr>
        <w:pStyle w:val="14"/>
        <w:keepNext w:val="0"/>
        <w:keepLines w:val="0"/>
        <w:pageBreakBefore w:val="0"/>
        <w:widowControl w:val="0"/>
        <w:kinsoku/>
        <w:wordWrap/>
        <w:overflowPunct/>
        <w:topLinePunct w:val="0"/>
        <w:bidi w:val="0"/>
        <w:snapToGrid/>
        <w:spacing w:line="240" w:lineRule="auto"/>
        <w:ind w:firstLine="640" w:firstLineChars="200"/>
        <w:jc w:val="both"/>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我院计划从巴陵戏、花鼓戏诸多优秀传统剧本中，通过传帮带的形式，复排2个传统经典巴陵戏和2个传统经典花鼓戏。</w:t>
      </w:r>
    </w:p>
    <w:p w14:paraId="7BDD45A7">
      <w:pPr>
        <w:pStyle w:val="14"/>
        <w:keepNext w:val="0"/>
        <w:keepLines w:val="0"/>
        <w:pageBreakBefore w:val="0"/>
        <w:widowControl w:val="0"/>
        <w:kinsoku/>
        <w:wordWrap/>
        <w:overflowPunct/>
        <w:topLinePunct w:val="0"/>
        <w:bidi w:val="0"/>
        <w:snapToGrid/>
        <w:spacing w:line="240" w:lineRule="auto"/>
        <w:ind w:firstLine="640" w:firstLineChars="200"/>
        <w:jc w:val="both"/>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（五）推动院团文化建设行动</w:t>
      </w:r>
    </w:p>
    <w:p w14:paraId="54FA2584">
      <w:pPr>
        <w:pStyle w:val="14"/>
        <w:keepNext w:val="0"/>
        <w:keepLines w:val="0"/>
        <w:pageBreakBefore w:val="0"/>
        <w:widowControl w:val="0"/>
        <w:kinsoku/>
        <w:wordWrap/>
        <w:overflowPunct/>
        <w:topLinePunct w:val="0"/>
        <w:bidi w:val="0"/>
        <w:snapToGrid/>
        <w:spacing w:line="240" w:lineRule="auto"/>
        <w:ind w:firstLine="640" w:firstLineChars="200"/>
        <w:jc w:val="both"/>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我院将始终坚持培育核心发展价值观，实现传承发展的目标。一从改进工作作风、提高工作水平、强化工作落实入手，树立工作担当和责任意识。二凝心聚力群策群力，谋划巴陵戏事业发展，共同创造新业绩。三在硬件建设、资金使用依法依规，有序实施，确保不出现质量、安全问题。四加强党纪和法规学习，持续开展廉政建设、行风建设，提高职工队伍的思想政治和职业道德。</w:t>
      </w:r>
    </w:p>
    <w:p w14:paraId="750A0A83">
      <w:pPr>
        <w:pStyle w:val="14"/>
        <w:keepNext w:val="0"/>
        <w:keepLines w:val="0"/>
        <w:pageBreakBefore w:val="0"/>
        <w:widowControl w:val="0"/>
        <w:kinsoku/>
        <w:wordWrap/>
        <w:overflowPunct/>
        <w:topLinePunct w:val="0"/>
        <w:bidi w:val="0"/>
        <w:snapToGrid/>
        <w:spacing w:line="240" w:lineRule="auto"/>
        <w:ind w:firstLine="640" w:firstLineChars="200"/>
        <w:jc w:val="both"/>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2025年，我院将深入践行市委“1376”总体思路，围绕市局“1235”做好文章，</w:t>
      </w:r>
      <w:bookmarkStart w:id="0" w:name="OLE_LINK1"/>
      <w:r>
        <w:rPr>
          <w:rFonts w:hint="eastAsia" w:ascii="仿宋_GB2312" w:hAnsi="仿宋_GB2312" w:eastAsia="仿宋_GB2312" w:cs="仿宋_GB2312"/>
          <w:sz w:val="32"/>
          <w:szCs w:val="32"/>
          <w:lang w:val="en-US" w:eastAsia="zh-CN"/>
        </w:rPr>
        <w:t>加强学习，不断提高自身的政治素质和工作能力，不断加强队伍建设，在服务中心大局中展现新担当新作为，</w:t>
      </w:r>
      <w:bookmarkEnd w:id="0"/>
      <w:r>
        <w:rPr>
          <w:rFonts w:hint="eastAsia" w:ascii="仿宋_GB2312" w:hAnsi="仿宋_GB2312" w:eastAsia="仿宋_GB2312" w:cs="仿宋_GB2312"/>
          <w:sz w:val="32"/>
          <w:szCs w:val="32"/>
          <w:lang w:val="en-US" w:eastAsia="zh-CN"/>
        </w:rPr>
        <w:t>圆满完成上级指派的各类大型演出活动。</w:t>
      </w:r>
    </w:p>
    <w:p w14:paraId="7B5E520B">
      <w:pPr>
        <w:overflowPunct w:val="0"/>
        <w:spacing w:line="240" w:lineRule="auto"/>
        <w:ind w:firstLine="640" w:firstLineChars="200"/>
        <w:jc w:val="both"/>
        <w:rPr>
          <w:rFonts w:hint="eastAsia" w:ascii="黑体" w:hAnsi="黑体" w:eastAsia="黑体" w:cs="黑体"/>
          <w:b w:val="0"/>
          <w:bCs w:val="0"/>
          <w:kern w:val="0"/>
          <w:sz w:val="32"/>
          <w:szCs w:val="32"/>
        </w:rPr>
      </w:pPr>
      <w:r>
        <w:rPr>
          <w:rFonts w:hint="eastAsia" w:ascii="黑体" w:hAnsi="黑体" w:eastAsia="黑体" w:cs="黑体"/>
          <w:b w:val="0"/>
          <w:bCs w:val="0"/>
          <w:kern w:val="0"/>
          <w:sz w:val="32"/>
          <w:szCs w:val="32"/>
          <w:lang w:val="en-US" w:eastAsia="zh-CN"/>
        </w:rPr>
        <w:t>十七、</w:t>
      </w:r>
      <w:r>
        <w:rPr>
          <w:rFonts w:hint="eastAsia" w:ascii="黑体" w:hAnsi="黑体" w:eastAsia="黑体" w:cs="黑体"/>
          <w:b w:val="0"/>
          <w:bCs w:val="0"/>
          <w:kern w:val="0"/>
          <w:sz w:val="32"/>
          <w:szCs w:val="32"/>
        </w:rPr>
        <w:t>部门评价结果</w:t>
      </w:r>
    </w:p>
    <w:p w14:paraId="3814B7FD">
      <w:pPr>
        <w:overflowPunct w:val="0"/>
        <w:spacing w:line="240" w:lineRule="auto"/>
        <w:ind w:firstLine="640" w:firstLineChars="200"/>
        <w:jc w:val="both"/>
        <w:rPr>
          <w:rFonts w:hint="eastAsia" w:ascii="仿宋_GB2312" w:hAnsi="仿宋_GB2312" w:eastAsia="仿宋_GB2312" w:cs="仿宋_GB2312"/>
          <w:color w:val="000000"/>
          <w:kern w:val="0"/>
          <w:sz w:val="32"/>
          <w:szCs w:val="32"/>
          <w:lang w:val="en-US" w:eastAsia="zh-CN" w:bidi="ar-SA"/>
        </w:rPr>
      </w:pPr>
      <w:r>
        <w:rPr>
          <w:rFonts w:hint="eastAsia" w:ascii="仿宋_GB2312" w:hAnsi="仿宋_GB2312" w:eastAsia="仿宋_GB2312" w:cs="仿宋_GB2312"/>
          <w:color w:val="000000"/>
          <w:kern w:val="0"/>
          <w:sz w:val="32"/>
          <w:szCs w:val="32"/>
          <w:lang w:val="en-US" w:eastAsia="zh-CN" w:bidi="ar-SA"/>
        </w:rPr>
        <w:t>本单位为二级预算单位，部门评价结果可详见上级部门决算公开说明。</w:t>
      </w:r>
    </w:p>
    <w:p w14:paraId="29943167">
      <w:pPr>
        <w:overflowPunct w:val="0"/>
        <w:spacing w:line="240" w:lineRule="auto"/>
        <w:ind w:firstLine="640" w:firstLineChars="200"/>
        <w:jc w:val="both"/>
        <w:rPr>
          <w:rFonts w:hint="eastAsia" w:ascii="黑体" w:hAnsi="黑体" w:eastAsia="黑体" w:cs="黑体"/>
          <w:b w:val="0"/>
          <w:bCs w:val="0"/>
          <w:kern w:val="0"/>
          <w:sz w:val="32"/>
          <w:szCs w:val="32"/>
          <w:lang w:val="en-US" w:eastAsia="zh-CN"/>
        </w:rPr>
      </w:pPr>
      <w:r>
        <w:rPr>
          <w:rFonts w:hint="eastAsia" w:ascii="黑体" w:hAnsi="黑体" w:eastAsia="黑体" w:cs="黑体"/>
          <w:b w:val="0"/>
          <w:bCs w:val="0"/>
          <w:kern w:val="0"/>
          <w:sz w:val="32"/>
          <w:szCs w:val="32"/>
          <w:lang w:val="en-US" w:eastAsia="zh-CN"/>
        </w:rPr>
        <w:t>十八、事前绩效评估结果</w:t>
      </w:r>
    </w:p>
    <w:p w14:paraId="594CEC69">
      <w:pPr>
        <w:overflowPunct w:val="0"/>
        <w:spacing w:line="240" w:lineRule="auto"/>
        <w:ind w:firstLine="640" w:firstLineChars="200"/>
        <w:jc w:val="both"/>
        <w:rPr>
          <w:rFonts w:hint="eastAsia" w:ascii="仿宋_GB2312" w:hAnsi="仿宋_GB2312" w:eastAsia="仿宋_GB2312" w:cs="仿宋_GB2312"/>
          <w:color w:val="000000"/>
          <w:kern w:val="0"/>
          <w:sz w:val="32"/>
          <w:szCs w:val="32"/>
          <w:lang w:val="en-US" w:eastAsia="zh-CN" w:bidi="ar-SA"/>
        </w:rPr>
      </w:pPr>
      <w:r>
        <w:rPr>
          <w:rFonts w:hint="eastAsia" w:ascii="仿宋_GB2312" w:hAnsi="仿宋_GB2312" w:eastAsia="仿宋_GB2312" w:cs="仿宋_GB2312"/>
          <w:color w:val="000000"/>
          <w:kern w:val="0"/>
          <w:sz w:val="32"/>
          <w:szCs w:val="32"/>
          <w:lang w:val="en-US" w:eastAsia="zh-CN" w:bidi="ar-SA"/>
        </w:rPr>
        <w:t>本单位为二级预算单位，事前绩效评估结果可详见上级部门决算公开说明。</w:t>
      </w:r>
    </w:p>
    <w:p w14:paraId="2C89E516">
      <w:pPr>
        <w:overflowPunct w:val="0"/>
        <w:spacing w:line="240" w:lineRule="auto"/>
        <w:ind w:firstLine="640" w:firstLineChars="200"/>
        <w:jc w:val="both"/>
        <w:rPr>
          <w:rFonts w:hint="eastAsia" w:ascii="黑体" w:hAnsi="黑体" w:eastAsia="黑体" w:cs="黑体"/>
          <w:b w:val="0"/>
          <w:bCs w:val="0"/>
          <w:kern w:val="0"/>
          <w:sz w:val="32"/>
          <w:szCs w:val="32"/>
          <w:lang w:val="en-US" w:eastAsia="zh-CN"/>
        </w:rPr>
      </w:pPr>
      <w:r>
        <w:rPr>
          <w:rFonts w:hint="eastAsia" w:ascii="黑体" w:hAnsi="黑体" w:eastAsia="黑体" w:cs="黑体"/>
          <w:b w:val="0"/>
          <w:bCs w:val="0"/>
          <w:kern w:val="0"/>
          <w:sz w:val="32"/>
          <w:szCs w:val="32"/>
          <w:lang w:val="en-US" w:eastAsia="zh-CN"/>
        </w:rPr>
        <w:t>十九、评价结果应用情况</w:t>
      </w:r>
    </w:p>
    <w:p w14:paraId="3F565BDC">
      <w:pPr>
        <w:spacing w:line="240" w:lineRule="auto"/>
        <w:ind w:firstLine="640" w:firstLineChars="200"/>
        <w:jc w:val="both"/>
        <w:rPr>
          <w:rFonts w:hint="default" w:ascii="仿宋_GB2312" w:hAnsi="仿宋_GB2312" w:eastAsia="仿宋_GB2312" w:cs="仿宋_GB2312"/>
          <w:color w:val="000000"/>
          <w:kern w:val="0"/>
          <w:sz w:val="32"/>
          <w:szCs w:val="32"/>
          <w:lang w:val="en-US" w:eastAsia="zh-CN" w:bidi="ar-SA"/>
        </w:rPr>
      </w:pPr>
      <w:r>
        <w:rPr>
          <w:rFonts w:hint="eastAsia" w:ascii="仿宋_GB2312" w:hAnsi="仿宋_GB2312" w:eastAsia="仿宋_GB2312" w:cs="仿宋_GB2312"/>
          <w:color w:val="000000"/>
          <w:kern w:val="0"/>
          <w:sz w:val="32"/>
          <w:szCs w:val="32"/>
          <w:lang w:val="en-US" w:eastAsia="zh-CN" w:bidi="ar-SA"/>
        </w:rPr>
        <w:t>根据市财政相关部门统一部署，我院2024年部门整体支出绩效自评情况将在岳阳市政府门户网站公开，接受社会监督。对绩效自评工作中发现的问题及时整改，解决好绩效评价管理中存在的问题，提高工作效能。根据部门整体支出绩效评价标准，2024年我院部门整体绩效评价自评为优。</w:t>
      </w:r>
    </w:p>
    <w:p w14:paraId="5E8AD5A5">
      <w:pPr>
        <w:autoSpaceDE w:val="0"/>
        <w:autoSpaceDN w:val="0"/>
        <w:adjustRightInd w:val="0"/>
        <w:spacing w:line="240" w:lineRule="auto"/>
        <w:ind w:firstLine="640" w:firstLineChars="200"/>
        <w:jc w:val="both"/>
        <w:rPr>
          <w:rFonts w:hint="eastAsia" w:ascii="仿宋_GB2312" w:hAnsi="仿宋_GB2312" w:eastAsia="仿宋_GB2312" w:cs="仿宋_GB2312"/>
          <w:color w:val="000000"/>
          <w:kern w:val="0"/>
          <w:sz w:val="32"/>
          <w:szCs w:val="32"/>
          <w:lang w:val="en-US" w:eastAsia="zh-CN" w:bidi="ar-SA"/>
        </w:rPr>
      </w:pPr>
      <w:r>
        <w:rPr>
          <w:rFonts w:hint="eastAsia" w:ascii="仿宋_GB2312" w:hAnsi="仿宋_GB2312" w:eastAsia="仿宋_GB2312" w:cs="仿宋_GB2312"/>
          <w:color w:val="000000"/>
          <w:kern w:val="0"/>
          <w:sz w:val="32"/>
          <w:szCs w:val="32"/>
          <w:lang w:val="en-US" w:eastAsia="zh-CN" w:bidi="ar-SA"/>
        </w:rPr>
        <w:t>预算绩效管理开展情况、绩效目标和绩效评价报告等，已在市政府部门财政预决算公开平台上向社会公开，详见附件。</w:t>
      </w:r>
    </w:p>
    <w:p w14:paraId="62BEA247">
      <w:pPr>
        <w:pStyle w:val="9"/>
        <w:spacing w:line="240" w:lineRule="auto"/>
        <w:rPr>
          <w:rFonts w:hint="eastAsia"/>
          <w:sz w:val="32"/>
          <w:szCs w:val="32"/>
          <w:lang w:val="en-US" w:eastAsia="zh-CN"/>
        </w:rPr>
      </w:pPr>
    </w:p>
    <w:p w14:paraId="3D83FDA1">
      <w:pPr>
        <w:pStyle w:val="14"/>
        <w:jc w:val="center"/>
        <w:rPr>
          <w:rFonts w:hint="eastAsia" w:ascii="方正小标宋_GBK" w:hAnsi="方正小标宋_GBK" w:eastAsia="方正小标宋_GBK" w:cs="方正小标宋_GBK"/>
          <w:sz w:val="72"/>
          <w:szCs w:val="72"/>
        </w:rPr>
      </w:pPr>
    </w:p>
    <w:p w14:paraId="6FB6F211">
      <w:pPr>
        <w:pStyle w:val="14"/>
        <w:jc w:val="center"/>
        <w:rPr>
          <w:rFonts w:hint="eastAsia" w:ascii="方正小标宋_GBK" w:hAnsi="方正小标宋_GBK" w:eastAsia="方正小标宋_GBK" w:cs="方正小标宋_GBK"/>
          <w:sz w:val="72"/>
          <w:szCs w:val="72"/>
        </w:rPr>
      </w:pPr>
    </w:p>
    <w:p w14:paraId="3A01B6B0">
      <w:pPr>
        <w:pStyle w:val="14"/>
        <w:jc w:val="center"/>
        <w:rPr>
          <w:rFonts w:hint="eastAsia" w:ascii="方正小标宋_GBK" w:hAnsi="方正小标宋_GBK" w:eastAsia="方正小标宋_GBK" w:cs="方正小标宋_GBK"/>
          <w:sz w:val="72"/>
          <w:szCs w:val="72"/>
        </w:rPr>
      </w:pPr>
    </w:p>
    <w:p w14:paraId="475C1000">
      <w:pPr>
        <w:pStyle w:val="14"/>
        <w:jc w:val="center"/>
        <w:rPr>
          <w:rFonts w:hint="eastAsia" w:ascii="方正小标宋_GBK" w:hAnsi="方正小标宋_GBK" w:eastAsia="方正小标宋_GBK" w:cs="方正小标宋_GBK"/>
          <w:sz w:val="72"/>
          <w:szCs w:val="72"/>
        </w:rPr>
      </w:pPr>
    </w:p>
    <w:p w14:paraId="23CB2DF0">
      <w:pPr>
        <w:pStyle w:val="14"/>
        <w:jc w:val="center"/>
        <w:rPr>
          <w:rFonts w:hint="eastAsia" w:ascii="方正小标宋_GBK" w:hAnsi="方正小标宋_GBK" w:eastAsia="方正小标宋_GBK" w:cs="方正小标宋_GBK"/>
          <w:sz w:val="72"/>
          <w:szCs w:val="72"/>
        </w:rPr>
      </w:pPr>
    </w:p>
    <w:p w14:paraId="0C03F0E6">
      <w:pPr>
        <w:pStyle w:val="14"/>
        <w:jc w:val="center"/>
        <w:rPr>
          <w:rFonts w:hint="eastAsia" w:ascii="方正小标宋_GBK" w:hAnsi="方正小标宋_GBK" w:eastAsia="方正小标宋_GBK" w:cs="方正小标宋_GBK"/>
          <w:sz w:val="72"/>
          <w:szCs w:val="72"/>
        </w:rPr>
      </w:pPr>
    </w:p>
    <w:p w14:paraId="4F880B31">
      <w:pPr>
        <w:pStyle w:val="14"/>
        <w:jc w:val="center"/>
        <w:rPr>
          <w:rFonts w:hint="eastAsia" w:ascii="方正小标宋_GBK" w:hAnsi="方正小标宋_GBK" w:eastAsia="方正小标宋_GBK" w:cs="方正小标宋_GBK"/>
          <w:sz w:val="72"/>
          <w:szCs w:val="72"/>
        </w:rPr>
      </w:pPr>
    </w:p>
    <w:p w14:paraId="3C2D9FE0">
      <w:pPr>
        <w:pStyle w:val="14"/>
        <w:ind w:firstLine="3600" w:firstLineChars="500"/>
        <w:jc w:val="both"/>
        <w:rPr>
          <w:rFonts w:hint="eastAsia" w:ascii="方正小标宋_GBK" w:hAnsi="方正小标宋_GBK" w:eastAsia="方正小标宋_GBK" w:cs="方正小标宋_GBK"/>
          <w:sz w:val="72"/>
          <w:szCs w:val="72"/>
        </w:rPr>
      </w:pPr>
    </w:p>
    <w:p w14:paraId="056E3F25">
      <w:pPr>
        <w:pStyle w:val="14"/>
        <w:ind w:firstLine="3600" w:firstLineChars="500"/>
        <w:jc w:val="both"/>
        <w:rPr>
          <w:rFonts w:hint="eastAsia" w:ascii="方正小标宋_GBK" w:hAnsi="方正小标宋_GBK" w:eastAsia="方正小标宋_GBK" w:cs="方正小标宋_GBK"/>
          <w:sz w:val="72"/>
          <w:szCs w:val="72"/>
        </w:rPr>
      </w:pPr>
    </w:p>
    <w:p w14:paraId="3FB07D1B">
      <w:pPr>
        <w:pStyle w:val="14"/>
        <w:ind w:firstLine="3600" w:firstLineChars="500"/>
        <w:jc w:val="both"/>
        <w:rPr>
          <w:rFonts w:hint="eastAsia" w:ascii="方正小标宋_GBK" w:hAnsi="方正小标宋_GBK" w:eastAsia="方正小标宋_GBK" w:cs="方正小标宋_GBK"/>
          <w:sz w:val="72"/>
          <w:szCs w:val="72"/>
        </w:rPr>
      </w:pPr>
    </w:p>
    <w:p w14:paraId="6A5A782C">
      <w:pPr>
        <w:pStyle w:val="14"/>
        <w:jc w:val="center"/>
        <w:rPr>
          <w:rFonts w:hint="eastAsia" w:ascii="方正小标宋_GBK" w:hAnsi="方正小标宋_GBK" w:eastAsia="方正小标宋_GBK" w:cs="方正小标宋_GBK"/>
          <w:sz w:val="84"/>
          <w:szCs w:val="84"/>
        </w:rPr>
      </w:pPr>
      <w:r>
        <w:rPr>
          <w:rFonts w:hint="eastAsia" w:ascii="方正小标宋_GBK" w:hAnsi="方正小标宋_GBK" w:eastAsia="方正小标宋_GBK" w:cs="方正小标宋_GBK"/>
          <w:sz w:val="84"/>
          <w:szCs w:val="84"/>
        </w:rPr>
        <w:t>第四部分</w:t>
      </w:r>
    </w:p>
    <w:p w14:paraId="4B92263A">
      <w:pPr>
        <w:pStyle w:val="14"/>
        <w:jc w:val="center"/>
        <w:rPr>
          <w:rFonts w:hint="eastAsia" w:ascii="方正小标宋_GBK" w:hAnsi="方正小标宋_GBK" w:eastAsia="方正小标宋_GBK" w:cs="方正小标宋_GBK"/>
          <w:sz w:val="32"/>
          <w:szCs w:val="32"/>
        </w:rPr>
      </w:pPr>
    </w:p>
    <w:p w14:paraId="41992F86">
      <w:pPr>
        <w:pStyle w:val="14"/>
        <w:jc w:val="center"/>
        <w:rPr>
          <w:rFonts w:hint="eastAsia" w:ascii="方正小标宋_GBK" w:hAnsi="方正小标宋_GBK" w:eastAsia="方正小标宋_GBK" w:cs="方正小标宋_GBK"/>
          <w:sz w:val="84"/>
          <w:szCs w:val="84"/>
          <w:lang w:eastAsia="zh-CN"/>
        </w:rPr>
      </w:pPr>
      <w:r>
        <w:rPr>
          <w:rFonts w:hint="eastAsia" w:ascii="方正小标宋_GBK" w:hAnsi="方正小标宋_GBK" w:eastAsia="方正小标宋_GBK" w:cs="方正小标宋_GBK"/>
          <w:sz w:val="84"/>
          <w:szCs w:val="84"/>
        </w:rPr>
        <w:t>名词解释</w:t>
      </w:r>
    </w:p>
    <w:p w14:paraId="571298D0">
      <w:pPr>
        <w:pStyle w:val="9"/>
      </w:pPr>
    </w:p>
    <w:p w14:paraId="5331F884">
      <w:pPr>
        <w:pStyle w:val="5"/>
      </w:pPr>
    </w:p>
    <w:p w14:paraId="2CCAD852"/>
    <w:p w14:paraId="440E89DF">
      <w:pPr>
        <w:pStyle w:val="9"/>
      </w:pPr>
    </w:p>
    <w:p w14:paraId="46C7A37C">
      <w:pPr>
        <w:jc w:val="left"/>
        <w:rPr>
          <w:rFonts w:hint="eastAsia" w:ascii="仿宋_GB2312" w:hAnsi="仿宋_GB2312" w:eastAsia="仿宋_GB2312" w:cs="仿宋_GB2312"/>
          <w:color w:val="000000"/>
          <w:kern w:val="0"/>
          <w:sz w:val="32"/>
          <w:szCs w:val="32"/>
        </w:rPr>
      </w:pPr>
    </w:p>
    <w:p w14:paraId="35A041E3">
      <w:pPr>
        <w:jc w:val="left"/>
        <w:rPr>
          <w:rFonts w:hint="eastAsia" w:ascii="仿宋_GB2312" w:hAnsi="仿宋_GB2312" w:eastAsia="仿宋_GB2312" w:cs="仿宋_GB2312"/>
          <w:color w:val="000000"/>
          <w:kern w:val="0"/>
          <w:sz w:val="32"/>
          <w:szCs w:val="32"/>
        </w:rPr>
      </w:pPr>
    </w:p>
    <w:p w14:paraId="266E800F">
      <w:pPr>
        <w:jc w:val="left"/>
        <w:rPr>
          <w:rFonts w:hint="eastAsia" w:ascii="仿宋_GB2312" w:hAnsi="仿宋_GB2312" w:eastAsia="仿宋_GB2312" w:cs="仿宋_GB2312"/>
          <w:color w:val="000000"/>
          <w:kern w:val="0"/>
          <w:sz w:val="32"/>
          <w:szCs w:val="32"/>
        </w:rPr>
      </w:pPr>
    </w:p>
    <w:p w14:paraId="6194BDBC">
      <w:pPr>
        <w:jc w:val="left"/>
        <w:rPr>
          <w:rFonts w:hint="eastAsia" w:ascii="仿宋_GB2312" w:hAnsi="仿宋_GB2312" w:eastAsia="仿宋_GB2312" w:cs="仿宋_GB2312"/>
          <w:color w:val="000000"/>
          <w:kern w:val="0"/>
          <w:sz w:val="32"/>
          <w:szCs w:val="32"/>
        </w:rPr>
      </w:pPr>
    </w:p>
    <w:p w14:paraId="61B3519E">
      <w:pPr>
        <w:jc w:val="left"/>
        <w:rPr>
          <w:rFonts w:hint="eastAsia" w:ascii="仿宋_GB2312" w:hAnsi="仿宋_GB2312" w:eastAsia="仿宋_GB2312" w:cs="仿宋_GB2312"/>
          <w:color w:val="000000"/>
          <w:kern w:val="0"/>
          <w:sz w:val="32"/>
          <w:szCs w:val="32"/>
        </w:rPr>
      </w:pPr>
    </w:p>
    <w:p w14:paraId="41EFC996">
      <w:pPr>
        <w:jc w:val="left"/>
        <w:rPr>
          <w:rFonts w:hint="eastAsia" w:ascii="仿宋_GB2312" w:hAnsi="仿宋_GB2312" w:eastAsia="仿宋_GB2312" w:cs="仿宋_GB2312"/>
          <w:color w:val="000000"/>
          <w:kern w:val="0"/>
          <w:sz w:val="32"/>
          <w:szCs w:val="32"/>
        </w:rPr>
      </w:pPr>
    </w:p>
    <w:p w14:paraId="092E03BD">
      <w:pPr>
        <w:jc w:val="left"/>
        <w:rPr>
          <w:rFonts w:hint="eastAsia" w:ascii="仿宋_GB2312" w:hAnsi="仿宋_GB2312" w:eastAsia="仿宋_GB2312" w:cs="仿宋_GB2312"/>
          <w:color w:val="000000"/>
          <w:kern w:val="0"/>
          <w:sz w:val="32"/>
          <w:szCs w:val="32"/>
        </w:rPr>
      </w:pPr>
    </w:p>
    <w:p w14:paraId="7544C5EA">
      <w:pPr>
        <w:jc w:val="left"/>
        <w:rPr>
          <w:rFonts w:hint="eastAsia" w:ascii="仿宋_GB2312" w:hAnsi="仿宋_GB2312" w:eastAsia="仿宋_GB2312" w:cs="仿宋_GB2312"/>
          <w:color w:val="000000"/>
          <w:kern w:val="0"/>
          <w:sz w:val="32"/>
          <w:szCs w:val="32"/>
        </w:rPr>
      </w:pPr>
    </w:p>
    <w:p w14:paraId="58F1BB2C">
      <w:pPr>
        <w:jc w:val="left"/>
        <w:rPr>
          <w:rFonts w:hint="eastAsia" w:ascii="仿宋_GB2312" w:hAnsi="仿宋_GB2312" w:eastAsia="仿宋_GB2312" w:cs="仿宋_GB2312"/>
          <w:color w:val="000000"/>
          <w:kern w:val="0"/>
          <w:sz w:val="32"/>
          <w:szCs w:val="32"/>
        </w:rPr>
      </w:pPr>
    </w:p>
    <w:p w14:paraId="399307F4">
      <w:pPr>
        <w:ind w:firstLine="640" w:firstLineChars="200"/>
        <w:jc w:val="left"/>
        <w:rPr>
          <w:rFonts w:hint="eastAsia" w:ascii="仿宋_GB2312" w:hAnsi="仿宋_GB2312" w:eastAsia="仿宋_GB2312" w:cs="仿宋_GB2312"/>
          <w:color w:val="000000"/>
          <w:kern w:val="0"/>
          <w:sz w:val="32"/>
          <w:szCs w:val="32"/>
        </w:rPr>
        <w:sectPr>
          <w:pgSz w:w="11906" w:h="16838"/>
          <w:pgMar w:top="720" w:right="720" w:bottom="720" w:left="720" w:header="851" w:footer="992" w:gutter="0"/>
          <w:cols w:space="425" w:num="1"/>
          <w:docGrid w:type="linesAndChars" w:linePitch="312" w:charSpace="0"/>
        </w:sectPr>
      </w:pPr>
    </w:p>
    <w:p w14:paraId="754BC716">
      <w:pPr>
        <w:keepNext w:val="0"/>
        <w:keepLines w:val="0"/>
        <w:pageBreakBefore w:val="0"/>
        <w:widowControl w:val="0"/>
        <w:kinsoku/>
        <w:wordWrap/>
        <w:overflowPunct/>
        <w:topLinePunct w:val="0"/>
        <w:autoSpaceDE/>
        <w:autoSpaceDN/>
        <w:bidi w:val="0"/>
        <w:adjustRightInd/>
        <w:snapToGrid/>
        <w:ind w:firstLine="640" w:firstLineChars="200"/>
        <w:jc w:val="both"/>
        <w:textAlignment w:val="auto"/>
        <w:rPr>
          <w:rFonts w:hint="eastAsia" w:ascii="仿宋_GB2312" w:hAnsi="仿宋_GB2312" w:eastAsia="仿宋_GB2312" w:cs="仿宋_GB2312"/>
          <w:color w:val="000000"/>
          <w:kern w:val="0"/>
          <w:sz w:val="32"/>
          <w:szCs w:val="32"/>
        </w:rPr>
      </w:pPr>
      <w:r>
        <w:rPr>
          <w:rFonts w:hint="eastAsia" w:ascii="仿宋_GB2312" w:hAnsi="仿宋_GB2312" w:eastAsia="仿宋_GB2312" w:cs="仿宋_GB2312"/>
          <w:b/>
          <w:bCs/>
          <w:color w:val="000000"/>
          <w:kern w:val="0"/>
          <w:sz w:val="32"/>
          <w:szCs w:val="32"/>
        </w:rPr>
        <w:t>一、“三公”经费：</w:t>
      </w:r>
      <w:r>
        <w:rPr>
          <w:rFonts w:hint="eastAsia" w:ascii="仿宋_GB2312" w:hAnsi="仿宋_GB2312" w:eastAsia="仿宋_GB2312" w:cs="仿宋_GB2312"/>
          <w:color w:val="000000"/>
          <w:kern w:val="0"/>
          <w:sz w:val="32"/>
          <w:szCs w:val="32"/>
        </w:rPr>
        <w:t>指用财政拨款安排的因公出国（境）费、公务用车购置及运行费和公务接待费。其中，因公出国（境）费反映出国（境）的住宿费、旅费、伙食补助费、杂费、培训费等支出；公务用车购置及运行费反映单位公务用车购置费及租用费、燃料费、维修费、过路过桥费、保险费、安全奖励费用等支出；公务接待费反映单位按规定开支的各类公务接待（含外宾接待）支出。</w:t>
      </w:r>
    </w:p>
    <w:p w14:paraId="575346AC">
      <w:pPr>
        <w:keepNext w:val="0"/>
        <w:keepLines w:val="0"/>
        <w:pageBreakBefore w:val="0"/>
        <w:widowControl w:val="0"/>
        <w:kinsoku/>
        <w:wordWrap/>
        <w:overflowPunct/>
        <w:topLinePunct w:val="0"/>
        <w:autoSpaceDE/>
        <w:autoSpaceDN/>
        <w:bidi w:val="0"/>
        <w:adjustRightInd/>
        <w:snapToGrid/>
        <w:ind w:firstLine="640" w:firstLineChars="200"/>
        <w:jc w:val="both"/>
        <w:textAlignment w:val="auto"/>
        <w:rPr>
          <w:rFonts w:hint="eastAsia" w:ascii="仿宋_GB2312" w:hAnsi="仿宋_GB2312" w:eastAsia="仿宋_GB2312" w:cs="仿宋_GB2312"/>
          <w:color w:val="000000"/>
          <w:kern w:val="0"/>
          <w:sz w:val="32"/>
          <w:szCs w:val="32"/>
        </w:rPr>
      </w:pPr>
      <w:r>
        <w:rPr>
          <w:rFonts w:hint="eastAsia" w:ascii="仿宋_GB2312" w:hAnsi="仿宋_GB2312" w:eastAsia="仿宋_GB2312" w:cs="仿宋_GB2312"/>
          <w:b/>
          <w:bCs/>
          <w:color w:val="000000"/>
          <w:kern w:val="0"/>
          <w:sz w:val="32"/>
          <w:szCs w:val="32"/>
        </w:rPr>
        <w:t>二、机关运行经费</w:t>
      </w:r>
      <w:r>
        <w:rPr>
          <w:rFonts w:hint="eastAsia" w:ascii="仿宋_GB2312" w:hAnsi="仿宋_GB2312" w:eastAsia="仿宋_GB2312" w:cs="仿宋_GB2312"/>
          <w:color w:val="000000"/>
          <w:kern w:val="0"/>
          <w:sz w:val="32"/>
          <w:szCs w:val="32"/>
          <w:lang w:eastAsia="zh-CN"/>
        </w:rPr>
        <w:t>：指为保障行政单位（包括参照公务员法管理的事业单位）运行用于购买货物和服务的各项资金</w:t>
      </w:r>
      <w:r>
        <w:rPr>
          <w:rFonts w:hint="eastAsia" w:ascii="仿宋_GB2312" w:hAnsi="仿宋_GB2312" w:eastAsia="仿宋_GB2312" w:cs="仿宋_GB2312"/>
          <w:color w:val="000000"/>
          <w:kern w:val="0"/>
          <w:sz w:val="32"/>
          <w:szCs w:val="32"/>
        </w:rPr>
        <w:t>，包括办公</w:t>
      </w:r>
      <w:r>
        <w:rPr>
          <w:rFonts w:hint="eastAsia" w:ascii="仿宋_GB2312" w:hAnsi="仿宋_GB2312" w:eastAsia="仿宋_GB2312" w:cs="仿宋_GB2312"/>
          <w:color w:val="000000"/>
          <w:kern w:val="0"/>
          <w:sz w:val="32"/>
          <w:szCs w:val="32"/>
          <w:lang w:eastAsia="zh-CN"/>
        </w:rPr>
        <w:t>费、</w:t>
      </w:r>
      <w:r>
        <w:rPr>
          <w:rFonts w:hint="eastAsia" w:ascii="仿宋_GB2312" w:hAnsi="仿宋_GB2312" w:eastAsia="仿宋_GB2312" w:cs="仿宋_GB2312"/>
          <w:color w:val="000000"/>
          <w:kern w:val="0"/>
          <w:sz w:val="32"/>
          <w:szCs w:val="32"/>
        </w:rPr>
        <w:t>印刷费、邮电费、差旅费、会议费、日常维修费、专用材料及一般设备购置费、办公用房水电费、办公用房取暖费、办公用房物业管理费、公务用车运行维护费以及其他费用。</w:t>
      </w:r>
    </w:p>
    <w:p w14:paraId="068109AC">
      <w:pPr>
        <w:keepNext w:val="0"/>
        <w:keepLines w:val="0"/>
        <w:pageBreakBefore w:val="0"/>
        <w:widowControl w:val="0"/>
        <w:kinsoku/>
        <w:wordWrap/>
        <w:overflowPunct/>
        <w:topLinePunct w:val="0"/>
        <w:autoSpaceDE/>
        <w:autoSpaceDN/>
        <w:bidi w:val="0"/>
        <w:adjustRightInd/>
        <w:snapToGrid/>
        <w:ind w:firstLine="640" w:firstLineChars="200"/>
        <w:jc w:val="both"/>
        <w:textAlignment w:val="auto"/>
        <w:rPr>
          <w:rFonts w:hint="eastAsia" w:ascii="仿宋_GB2312" w:hAnsi="仿宋_GB2312" w:eastAsia="仿宋_GB2312" w:cs="仿宋_GB2312"/>
          <w:color w:val="000000"/>
          <w:kern w:val="0"/>
          <w:sz w:val="32"/>
          <w:szCs w:val="32"/>
        </w:rPr>
      </w:pPr>
      <w:r>
        <w:rPr>
          <w:rFonts w:hint="eastAsia" w:ascii="仿宋_GB2312" w:hAnsi="仿宋_GB2312" w:eastAsia="仿宋_GB2312" w:cs="仿宋_GB2312"/>
          <w:b/>
          <w:bCs/>
          <w:color w:val="000000"/>
          <w:kern w:val="0"/>
          <w:sz w:val="32"/>
          <w:szCs w:val="32"/>
        </w:rPr>
        <w:t>三</w:t>
      </w:r>
      <w:r>
        <w:rPr>
          <w:rFonts w:hint="eastAsia" w:ascii="仿宋_GB2312" w:hAnsi="仿宋_GB2312" w:eastAsia="仿宋_GB2312" w:cs="仿宋_GB2312"/>
          <w:b/>
          <w:bCs/>
          <w:color w:val="000000"/>
          <w:kern w:val="0"/>
          <w:sz w:val="32"/>
          <w:szCs w:val="32"/>
          <w:lang w:eastAsia="zh-CN"/>
        </w:rPr>
        <w:t>、</w:t>
      </w:r>
      <w:r>
        <w:rPr>
          <w:rFonts w:hint="eastAsia" w:ascii="仿宋_GB2312" w:hAnsi="仿宋_GB2312" w:eastAsia="仿宋_GB2312" w:cs="仿宋_GB2312"/>
          <w:b/>
          <w:bCs/>
          <w:color w:val="000000"/>
          <w:kern w:val="0"/>
          <w:sz w:val="32"/>
          <w:szCs w:val="32"/>
        </w:rPr>
        <w:t>财政拨款收入：</w:t>
      </w:r>
      <w:r>
        <w:rPr>
          <w:rFonts w:hint="eastAsia" w:ascii="仿宋_GB2312" w:hAnsi="仿宋_GB2312" w:eastAsia="仿宋_GB2312" w:cs="仿宋_GB2312"/>
          <w:color w:val="000000"/>
          <w:kern w:val="0"/>
          <w:sz w:val="32"/>
          <w:szCs w:val="32"/>
        </w:rPr>
        <w:t>指市级财政当年拨付的资金。</w:t>
      </w:r>
    </w:p>
    <w:p w14:paraId="19680A42">
      <w:pPr>
        <w:keepNext w:val="0"/>
        <w:keepLines w:val="0"/>
        <w:pageBreakBefore w:val="0"/>
        <w:widowControl w:val="0"/>
        <w:kinsoku/>
        <w:wordWrap/>
        <w:overflowPunct/>
        <w:topLinePunct w:val="0"/>
        <w:autoSpaceDE/>
        <w:autoSpaceDN/>
        <w:bidi w:val="0"/>
        <w:adjustRightInd/>
        <w:snapToGrid/>
        <w:ind w:firstLine="640" w:firstLineChars="200"/>
        <w:jc w:val="both"/>
        <w:textAlignment w:val="auto"/>
        <w:rPr>
          <w:rFonts w:hint="eastAsia" w:ascii="仿宋_GB2312" w:hAnsi="仿宋_GB2312" w:eastAsia="仿宋_GB2312" w:cs="仿宋_GB2312"/>
          <w:color w:val="000000"/>
          <w:kern w:val="0"/>
          <w:sz w:val="32"/>
          <w:szCs w:val="32"/>
        </w:rPr>
      </w:pPr>
      <w:r>
        <w:rPr>
          <w:rFonts w:hint="eastAsia" w:ascii="仿宋_GB2312" w:hAnsi="仿宋_GB2312" w:eastAsia="仿宋_GB2312" w:cs="仿宋_GB2312"/>
          <w:b/>
          <w:bCs/>
          <w:color w:val="000000"/>
          <w:kern w:val="0"/>
          <w:sz w:val="32"/>
          <w:szCs w:val="32"/>
          <w:lang w:eastAsia="zh-CN"/>
        </w:rPr>
        <w:t>四</w:t>
      </w:r>
      <w:r>
        <w:rPr>
          <w:rFonts w:hint="eastAsia" w:ascii="仿宋_GB2312" w:hAnsi="仿宋_GB2312" w:eastAsia="仿宋_GB2312" w:cs="仿宋_GB2312"/>
          <w:b/>
          <w:bCs/>
          <w:color w:val="000000"/>
          <w:kern w:val="0"/>
          <w:sz w:val="32"/>
          <w:szCs w:val="32"/>
        </w:rPr>
        <w:t>、上级补助收入：</w:t>
      </w:r>
      <w:r>
        <w:rPr>
          <w:rFonts w:hint="eastAsia" w:ascii="仿宋_GB2312" w:hAnsi="仿宋_GB2312" w:eastAsia="仿宋_GB2312" w:cs="仿宋_GB2312"/>
          <w:color w:val="000000"/>
          <w:kern w:val="0"/>
          <w:sz w:val="32"/>
          <w:szCs w:val="32"/>
        </w:rPr>
        <w:t>指单位从主管部门和上级单位取得的非财政性补助收入。</w:t>
      </w:r>
    </w:p>
    <w:p w14:paraId="0EDDE4F5">
      <w:pPr>
        <w:keepNext w:val="0"/>
        <w:keepLines w:val="0"/>
        <w:pageBreakBefore w:val="0"/>
        <w:widowControl w:val="0"/>
        <w:kinsoku/>
        <w:wordWrap/>
        <w:overflowPunct/>
        <w:topLinePunct w:val="0"/>
        <w:autoSpaceDE/>
        <w:autoSpaceDN/>
        <w:bidi w:val="0"/>
        <w:adjustRightInd/>
        <w:snapToGrid/>
        <w:ind w:firstLine="640" w:firstLineChars="200"/>
        <w:jc w:val="both"/>
        <w:textAlignment w:val="auto"/>
        <w:rPr>
          <w:rFonts w:hint="eastAsia" w:ascii="仿宋_GB2312" w:hAnsi="仿宋_GB2312" w:eastAsia="仿宋_GB2312" w:cs="仿宋_GB2312"/>
          <w:color w:val="000000"/>
          <w:kern w:val="0"/>
          <w:sz w:val="32"/>
          <w:szCs w:val="32"/>
        </w:rPr>
      </w:pPr>
      <w:r>
        <w:rPr>
          <w:rFonts w:hint="eastAsia" w:ascii="仿宋_GB2312" w:hAnsi="仿宋_GB2312" w:eastAsia="仿宋_GB2312" w:cs="仿宋_GB2312"/>
          <w:b/>
          <w:bCs/>
          <w:color w:val="000000"/>
          <w:kern w:val="0"/>
          <w:sz w:val="32"/>
          <w:szCs w:val="32"/>
          <w:lang w:eastAsia="zh-CN"/>
        </w:rPr>
        <w:t>五</w:t>
      </w:r>
      <w:r>
        <w:rPr>
          <w:rFonts w:hint="eastAsia" w:ascii="仿宋_GB2312" w:hAnsi="仿宋_GB2312" w:eastAsia="仿宋_GB2312" w:cs="仿宋_GB2312"/>
          <w:b/>
          <w:bCs/>
          <w:color w:val="000000"/>
          <w:kern w:val="0"/>
          <w:sz w:val="32"/>
          <w:szCs w:val="32"/>
        </w:rPr>
        <w:t>、其他收入：</w:t>
      </w:r>
      <w:r>
        <w:rPr>
          <w:rFonts w:hint="eastAsia" w:ascii="仿宋_GB2312" w:hAnsi="仿宋_GB2312" w:eastAsia="仿宋_GB2312" w:cs="仿宋_GB2312"/>
          <w:color w:val="000000"/>
          <w:kern w:val="0"/>
          <w:sz w:val="32"/>
          <w:szCs w:val="32"/>
        </w:rPr>
        <w:t>指除上述“财政拨款收入</w:t>
      </w:r>
      <w:r>
        <w:rPr>
          <w:rFonts w:hint="eastAsia" w:ascii="仿宋_GB2312" w:hAnsi="仿宋_GB2312" w:eastAsia="仿宋_GB2312" w:cs="仿宋_GB2312"/>
          <w:color w:val="000000"/>
          <w:kern w:val="0"/>
          <w:sz w:val="32"/>
          <w:szCs w:val="32"/>
          <w:lang w:eastAsia="zh-CN"/>
        </w:rPr>
        <w:t>”“</w:t>
      </w:r>
      <w:r>
        <w:rPr>
          <w:rFonts w:hint="eastAsia" w:ascii="仿宋_GB2312" w:hAnsi="仿宋_GB2312" w:eastAsia="仿宋_GB2312" w:cs="仿宋_GB2312"/>
          <w:color w:val="000000"/>
          <w:kern w:val="0"/>
          <w:sz w:val="32"/>
          <w:szCs w:val="32"/>
        </w:rPr>
        <w:t>上级补助收入</w:t>
      </w:r>
      <w:r>
        <w:rPr>
          <w:rFonts w:hint="eastAsia" w:ascii="仿宋_GB2312" w:hAnsi="仿宋_GB2312" w:eastAsia="仿宋_GB2312" w:cs="仿宋_GB2312"/>
          <w:color w:val="000000"/>
          <w:kern w:val="0"/>
          <w:sz w:val="32"/>
          <w:szCs w:val="32"/>
          <w:lang w:eastAsia="zh-CN"/>
        </w:rPr>
        <w:t>”“</w:t>
      </w:r>
      <w:r>
        <w:rPr>
          <w:rFonts w:hint="eastAsia" w:ascii="仿宋_GB2312" w:hAnsi="仿宋_GB2312" w:eastAsia="仿宋_GB2312" w:cs="仿宋_GB2312"/>
          <w:color w:val="000000"/>
          <w:kern w:val="0"/>
          <w:sz w:val="32"/>
          <w:szCs w:val="32"/>
        </w:rPr>
        <w:t>事业收入</w:t>
      </w:r>
      <w:r>
        <w:rPr>
          <w:rFonts w:hint="eastAsia" w:ascii="仿宋_GB2312" w:hAnsi="仿宋_GB2312" w:eastAsia="仿宋_GB2312" w:cs="仿宋_GB2312"/>
          <w:color w:val="000000"/>
          <w:kern w:val="0"/>
          <w:sz w:val="32"/>
          <w:szCs w:val="32"/>
          <w:lang w:eastAsia="zh-CN"/>
        </w:rPr>
        <w:t>”“</w:t>
      </w:r>
      <w:r>
        <w:rPr>
          <w:rFonts w:hint="eastAsia" w:ascii="仿宋_GB2312" w:hAnsi="仿宋_GB2312" w:eastAsia="仿宋_GB2312" w:cs="仿宋_GB2312"/>
          <w:color w:val="000000"/>
          <w:kern w:val="0"/>
          <w:sz w:val="32"/>
          <w:szCs w:val="32"/>
        </w:rPr>
        <w:t>经营收入</w:t>
      </w:r>
      <w:r>
        <w:rPr>
          <w:rFonts w:hint="eastAsia" w:ascii="仿宋_GB2312" w:hAnsi="仿宋_GB2312" w:eastAsia="仿宋_GB2312" w:cs="仿宋_GB2312"/>
          <w:color w:val="000000"/>
          <w:kern w:val="0"/>
          <w:sz w:val="32"/>
          <w:szCs w:val="32"/>
          <w:lang w:eastAsia="zh-CN"/>
        </w:rPr>
        <w:t>”“</w:t>
      </w:r>
      <w:r>
        <w:rPr>
          <w:rFonts w:hint="eastAsia" w:ascii="仿宋_GB2312" w:hAnsi="仿宋_GB2312" w:eastAsia="仿宋_GB2312" w:cs="仿宋_GB2312"/>
          <w:color w:val="000000"/>
          <w:kern w:val="0"/>
          <w:sz w:val="32"/>
          <w:szCs w:val="32"/>
        </w:rPr>
        <w:t>附属单位上缴收入”等以外的收入。</w:t>
      </w:r>
    </w:p>
    <w:p w14:paraId="747031CE">
      <w:pPr>
        <w:keepNext w:val="0"/>
        <w:keepLines w:val="0"/>
        <w:pageBreakBefore w:val="0"/>
        <w:widowControl w:val="0"/>
        <w:kinsoku/>
        <w:wordWrap/>
        <w:overflowPunct/>
        <w:topLinePunct w:val="0"/>
        <w:autoSpaceDE/>
        <w:autoSpaceDN/>
        <w:bidi w:val="0"/>
        <w:adjustRightInd/>
        <w:snapToGrid/>
        <w:ind w:firstLine="640" w:firstLineChars="200"/>
        <w:jc w:val="both"/>
        <w:textAlignment w:val="auto"/>
        <w:rPr>
          <w:rFonts w:hint="eastAsia" w:ascii="仿宋_GB2312" w:hAnsi="仿宋_GB2312" w:eastAsia="仿宋_GB2312" w:cs="仿宋_GB2312"/>
          <w:color w:val="000000"/>
          <w:kern w:val="0"/>
          <w:sz w:val="32"/>
          <w:szCs w:val="32"/>
        </w:rPr>
      </w:pPr>
      <w:r>
        <w:rPr>
          <w:rFonts w:hint="eastAsia" w:ascii="仿宋_GB2312" w:hAnsi="仿宋_GB2312" w:eastAsia="仿宋_GB2312" w:cs="仿宋_GB2312"/>
          <w:b/>
          <w:bCs/>
          <w:color w:val="000000"/>
          <w:kern w:val="0"/>
          <w:sz w:val="32"/>
          <w:szCs w:val="32"/>
          <w:lang w:eastAsia="zh-CN"/>
        </w:rPr>
        <w:t>六</w:t>
      </w:r>
      <w:r>
        <w:rPr>
          <w:rFonts w:hint="eastAsia" w:ascii="仿宋_GB2312" w:hAnsi="仿宋_GB2312" w:eastAsia="仿宋_GB2312" w:cs="仿宋_GB2312"/>
          <w:b/>
          <w:bCs/>
          <w:color w:val="000000"/>
          <w:kern w:val="0"/>
          <w:sz w:val="32"/>
          <w:szCs w:val="32"/>
        </w:rPr>
        <w:t>、上年结转和结余：</w:t>
      </w:r>
      <w:r>
        <w:rPr>
          <w:rFonts w:hint="eastAsia" w:ascii="仿宋_GB2312" w:hAnsi="仿宋_GB2312" w:eastAsia="仿宋_GB2312" w:cs="仿宋_GB2312"/>
          <w:color w:val="000000"/>
          <w:kern w:val="0"/>
          <w:sz w:val="32"/>
          <w:szCs w:val="32"/>
        </w:rPr>
        <w:t>指以前年度尚未完成、结转到本年按有关规定继续使用的资金。</w:t>
      </w:r>
    </w:p>
    <w:p w14:paraId="51ADBAE4">
      <w:pPr>
        <w:keepNext w:val="0"/>
        <w:keepLines w:val="0"/>
        <w:pageBreakBefore w:val="0"/>
        <w:widowControl w:val="0"/>
        <w:kinsoku/>
        <w:wordWrap/>
        <w:overflowPunct/>
        <w:topLinePunct w:val="0"/>
        <w:autoSpaceDE/>
        <w:autoSpaceDN/>
        <w:bidi w:val="0"/>
        <w:adjustRightInd/>
        <w:snapToGrid/>
        <w:ind w:firstLine="640" w:firstLineChars="200"/>
        <w:jc w:val="both"/>
        <w:textAlignment w:val="auto"/>
        <w:rPr>
          <w:rFonts w:hint="eastAsia" w:ascii="仿宋_GB2312" w:hAnsi="仿宋_GB2312" w:eastAsia="仿宋_GB2312" w:cs="仿宋_GB2312"/>
          <w:color w:val="000000"/>
          <w:kern w:val="0"/>
          <w:sz w:val="32"/>
          <w:szCs w:val="32"/>
        </w:rPr>
      </w:pPr>
      <w:r>
        <w:rPr>
          <w:rFonts w:hint="eastAsia" w:ascii="仿宋_GB2312" w:hAnsi="仿宋_GB2312" w:eastAsia="仿宋_GB2312" w:cs="仿宋_GB2312"/>
          <w:b/>
          <w:bCs/>
          <w:color w:val="000000"/>
          <w:kern w:val="0"/>
          <w:sz w:val="32"/>
          <w:szCs w:val="32"/>
          <w:lang w:eastAsia="zh-CN"/>
        </w:rPr>
        <w:t>七</w:t>
      </w:r>
      <w:r>
        <w:rPr>
          <w:rFonts w:hint="eastAsia" w:ascii="仿宋_GB2312" w:hAnsi="仿宋_GB2312" w:eastAsia="仿宋_GB2312" w:cs="仿宋_GB2312"/>
          <w:b/>
          <w:bCs/>
          <w:color w:val="000000"/>
          <w:kern w:val="0"/>
          <w:sz w:val="32"/>
          <w:szCs w:val="32"/>
        </w:rPr>
        <w:t>、基本支出：</w:t>
      </w:r>
      <w:r>
        <w:rPr>
          <w:rFonts w:hint="eastAsia" w:ascii="仿宋_GB2312" w:hAnsi="仿宋_GB2312" w:eastAsia="仿宋_GB2312" w:cs="仿宋_GB2312"/>
          <w:color w:val="000000"/>
          <w:kern w:val="0"/>
          <w:sz w:val="32"/>
          <w:szCs w:val="32"/>
        </w:rPr>
        <w:t>指保障机构正常运转、完成日常工作任务而发生的人员支出和公用支出。</w:t>
      </w:r>
    </w:p>
    <w:p w14:paraId="1D3CED41">
      <w:pPr>
        <w:keepNext w:val="0"/>
        <w:keepLines w:val="0"/>
        <w:pageBreakBefore w:val="0"/>
        <w:widowControl w:val="0"/>
        <w:kinsoku/>
        <w:wordWrap/>
        <w:overflowPunct/>
        <w:topLinePunct w:val="0"/>
        <w:autoSpaceDE/>
        <w:autoSpaceDN/>
        <w:bidi w:val="0"/>
        <w:adjustRightInd/>
        <w:snapToGrid/>
        <w:ind w:firstLine="640" w:firstLineChars="200"/>
        <w:jc w:val="both"/>
        <w:textAlignment w:val="auto"/>
        <w:rPr>
          <w:rFonts w:hint="eastAsia" w:ascii="仿宋_GB2312" w:hAnsi="仿宋_GB2312" w:eastAsia="仿宋_GB2312" w:cs="仿宋_GB2312"/>
          <w:color w:val="000000"/>
          <w:kern w:val="0"/>
          <w:sz w:val="32"/>
          <w:szCs w:val="32"/>
        </w:rPr>
      </w:pPr>
      <w:r>
        <w:rPr>
          <w:rFonts w:hint="eastAsia" w:ascii="仿宋_GB2312" w:hAnsi="仿宋_GB2312" w:eastAsia="仿宋_GB2312" w:cs="仿宋_GB2312"/>
          <w:b/>
          <w:bCs/>
          <w:color w:val="000000"/>
          <w:kern w:val="0"/>
          <w:sz w:val="32"/>
          <w:szCs w:val="32"/>
          <w:lang w:eastAsia="zh-CN"/>
        </w:rPr>
        <w:t>八</w:t>
      </w:r>
      <w:r>
        <w:rPr>
          <w:rFonts w:hint="eastAsia" w:ascii="仿宋_GB2312" w:hAnsi="仿宋_GB2312" w:eastAsia="仿宋_GB2312" w:cs="仿宋_GB2312"/>
          <w:b/>
          <w:bCs/>
          <w:color w:val="000000"/>
          <w:kern w:val="0"/>
          <w:sz w:val="32"/>
          <w:szCs w:val="32"/>
        </w:rPr>
        <w:t>、项目支出：</w:t>
      </w:r>
      <w:r>
        <w:rPr>
          <w:rFonts w:hint="eastAsia" w:ascii="仿宋_GB2312" w:hAnsi="仿宋_GB2312" w:eastAsia="仿宋_GB2312" w:cs="仿宋_GB2312"/>
          <w:color w:val="000000"/>
          <w:kern w:val="0"/>
          <w:sz w:val="32"/>
          <w:szCs w:val="32"/>
        </w:rPr>
        <w:t>指在基本支出之外为完成特定行政任务和事业发展目标所发生的支出。</w:t>
      </w:r>
    </w:p>
    <w:p w14:paraId="534E9728">
      <w:pPr>
        <w:keepNext w:val="0"/>
        <w:keepLines w:val="0"/>
        <w:pageBreakBefore w:val="0"/>
        <w:widowControl w:val="0"/>
        <w:kinsoku/>
        <w:wordWrap/>
        <w:overflowPunct/>
        <w:topLinePunct w:val="0"/>
        <w:autoSpaceDE w:val="0"/>
        <w:autoSpaceDN w:val="0"/>
        <w:bidi w:val="0"/>
        <w:adjustRightInd w:val="0"/>
        <w:snapToGrid/>
        <w:spacing w:line="600" w:lineRule="exact"/>
        <w:ind w:firstLine="640" w:firstLineChars="200"/>
        <w:textAlignment w:val="auto"/>
        <w:rPr>
          <w:rFonts w:hint="eastAsia" w:ascii="仿宋_GB2312" w:hAnsi="仿宋_GB2312" w:eastAsia="仿宋_GB2312" w:cs="仿宋_GB2312"/>
          <w:b/>
          <w:bCs/>
          <w:i/>
          <w:color w:val="FF0000"/>
          <w:kern w:val="0"/>
          <w:sz w:val="32"/>
          <w:szCs w:val="32"/>
          <w:lang w:val="en-US" w:eastAsia="zh-CN" w:bidi="ar-SA"/>
        </w:rPr>
      </w:pPr>
    </w:p>
    <w:p w14:paraId="1D47518A">
      <w:pPr>
        <w:pStyle w:val="5"/>
      </w:pPr>
    </w:p>
    <w:p w14:paraId="580CF8E4"/>
    <w:p w14:paraId="0C17744C">
      <w:pPr>
        <w:pStyle w:val="9"/>
      </w:pPr>
    </w:p>
    <w:p w14:paraId="38379E6C">
      <w:pPr>
        <w:pStyle w:val="14"/>
        <w:jc w:val="center"/>
        <w:rPr>
          <w:rFonts w:hint="eastAsia" w:ascii="方正小标宋_GBK" w:hAnsi="方正小标宋_GBK" w:eastAsia="方正小标宋_GBK" w:cs="方正小标宋_GBK"/>
          <w:sz w:val="84"/>
          <w:szCs w:val="84"/>
        </w:rPr>
      </w:pPr>
    </w:p>
    <w:p w14:paraId="60105086">
      <w:pPr>
        <w:pStyle w:val="14"/>
        <w:jc w:val="center"/>
        <w:rPr>
          <w:rFonts w:hint="eastAsia" w:ascii="方正小标宋_GBK" w:hAnsi="方正小标宋_GBK" w:eastAsia="方正小标宋_GBK" w:cs="方正小标宋_GBK"/>
          <w:sz w:val="84"/>
          <w:szCs w:val="84"/>
        </w:rPr>
      </w:pPr>
    </w:p>
    <w:p w14:paraId="0C1858E3">
      <w:pPr>
        <w:pStyle w:val="14"/>
        <w:jc w:val="center"/>
        <w:rPr>
          <w:rFonts w:hint="eastAsia" w:ascii="方正小标宋_GBK" w:hAnsi="方正小标宋_GBK" w:eastAsia="方正小标宋_GBK" w:cs="方正小标宋_GBK"/>
          <w:sz w:val="84"/>
          <w:szCs w:val="84"/>
        </w:rPr>
      </w:pPr>
      <w:r>
        <w:rPr>
          <w:rFonts w:hint="eastAsia" w:ascii="方正小标宋_GBK" w:hAnsi="方正小标宋_GBK" w:eastAsia="方正小标宋_GBK" w:cs="方正小标宋_GBK"/>
          <w:sz w:val="84"/>
          <w:szCs w:val="84"/>
        </w:rPr>
        <w:t>第</w:t>
      </w:r>
      <w:r>
        <w:rPr>
          <w:rFonts w:hint="eastAsia" w:ascii="方正小标宋_GBK" w:hAnsi="方正小标宋_GBK" w:eastAsia="方正小标宋_GBK" w:cs="方正小标宋_GBK"/>
          <w:sz w:val="84"/>
          <w:szCs w:val="84"/>
          <w:lang w:eastAsia="zh-CN"/>
        </w:rPr>
        <w:t>五</w:t>
      </w:r>
      <w:r>
        <w:rPr>
          <w:rFonts w:hint="eastAsia" w:ascii="方正小标宋_GBK" w:hAnsi="方正小标宋_GBK" w:eastAsia="方正小标宋_GBK" w:cs="方正小标宋_GBK"/>
          <w:sz w:val="84"/>
          <w:szCs w:val="84"/>
        </w:rPr>
        <w:t>部分</w:t>
      </w:r>
    </w:p>
    <w:p w14:paraId="592BF6CA">
      <w:pPr>
        <w:pStyle w:val="14"/>
        <w:jc w:val="center"/>
        <w:rPr>
          <w:rFonts w:hint="eastAsia" w:ascii="方正小标宋_GBK" w:hAnsi="方正小标宋_GBK" w:eastAsia="方正小标宋_GBK" w:cs="方正小标宋_GBK"/>
          <w:sz w:val="32"/>
          <w:szCs w:val="32"/>
          <w:lang w:eastAsia="zh-CN"/>
        </w:rPr>
      </w:pPr>
    </w:p>
    <w:p w14:paraId="490142D3">
      <w:pPr>
        <w:pStyle w:val="14"/>
        <w:jc w:val="center"/>
        <w:rPr>
          <w:rFonts w:hint="eastAsia" w:ascii="方正小标宋_GBK" w:hAnsi="方正小标宋_GBK" w:eastAsia="方正小标宋_GBK" w:cs="方正小标宋_GBK"/>
          <w:sz w:val="84"/>
          <w:szCs w:val="84"/>
          <w:lang w:eastAsia="zh-CN"/>
        </w:rPr>
      </w:pPr>
      <w:r>
        <w:rPr>
          <w:rFonts w:hint="eastAsia" w:ascii="方正小标宋_GBK" w:hAnsi="方正小标宋_GBK" w:eastAsia="方正小标宋_GBK" w:cs="方正小标宋_GBK"/>
          <w:sz w:val="84"/>
          <w:szCs w:val="84"/>
          <w:lang w:eastAsia="zh-CN"/>
        </w:rPr>
        <w:t>附</w:t>
      </w:r>
      <w:r>
        <w:rPr>
          <w:rFonts w:hint="eastAsia" w:ascii="方正小标宋_GBK" w:hAnsi="方正小标宋_GBK" w:eastAsia="方正小标宋_GBK" w:cs="方正小标宋_GBK"/>
          <w:sz w:val="84"/>
          <w:szCs w:val="84"/>
          <w:lang w:val="en-US" w:eastAsia="zh-CN"/>
        </w:rPr>
        <w:t xml:space="preserve"> </w:t>
      </w:r>
      <w:r>
        <w:rPr>
          <w:rFonts w:hint="eastAsia" w:ascii="方正小标宋_GBK" w:hAnsi="方正小标宋_GBK" w:eastAsia="方正小标宋_GBK" w:cs="方正小标宋_GBK"/>
          <w:sz w:val="84"/>
          <w:szCs w:val="84"/>
          <w:lang w:eastAsia="zh-CN"/>
        </w:rPr>
        <w:t>件</w:t>
      </w:r>
    </w:p>
    <w:p w14:paraId="3243C04E">
      <w:pPr>
        <w:ind w:firstLine="640" w:firstLineChars="200"/>
        <w:jc w:val="left"/>
        <w:rPr>
          <w:rFonts w:hint="eastAsia" w:ascii="宋体" w:hAnsi="宋体" w:eastAsia="宋体" w:cs="黑体"/>
          <w:b/>
          <w:color w:val="000000"/>
          <w:kern w:val="0"/>
          <w:sz w:val="32"/>
          <w:szCs w:val="32"/>
          <w:lang w:val="en-US" w:eastAsia="zh-CN"/>
        </w:rPr>
      </w:pPr>
    </w:p>
    <w:p w14:paraId="4EAC9354">
      <w:pPr>
        <w:ind w:firstLine="640" w:firstLineChars="200"/>
        <w:jc w:val="left"/>
        <w:rPr>
          <w:rFonts w:hint="eastAsia" w:ascii="仿宋" w:hAnsi="仿宋" w:eastAsia="仿宋" w:cs="仿宋"/>
          <w:b w:val="0"/>
          <w:bCs/>
          <w:color w:val="000000"/>
          <w:kern w:val="0"/>
          <w:sz w:val="32"/>
          <w:szCs w:val="32"/>
          <w:lang w:val="en-US" w:eastAsia="zh-CN"/>
        </w:rPr>
      </w:pPr>
      <w:r>
        <w:rPr>
          <w:rFonts w:hint="eastAsia" w:ascii="仿宋" w:hAnsi="仿宋" w:eastAsia="仿宋" w:cs="仿宋"/>
          <w:b w:val="0"/>
          <w:bCs/>
          <w:color w:val="000000"/>
          <w:kern w:val="0"/>
          <w:sz w:val="32"/>
          <w:szCs w:val="32"/>
          <w:lang w:val="en-US" w:eastAsia="zh-CN"/>
        </w:rPr>
        <w:t>1、</w:t>
      </w:r>
      <w:r>
        <w:rPr>
          <w:rFonts w:hint="eastAsia" w:ascii="仿宋" w:hAnsi="仿宋" w:eastAsia="仿宋" w:cs="仿宋"/>
          <w:b w:val="0"/>
          <w:bCs/>
          <w:color w:val="000000"/>
          <w:kern w:val="0"/>
          <w:sz w:val="32"/>
          <w:szCs w:val="32"/>
          <w:highlight w:val="none"/>
          <w:lang w:val="en-US" w:eastAsia="zh-CN"/>
        </w:rPr>
        <w:t>2024</w:t>
      </w:r>
      <w:r>
        <w:rPr>
          <w:rFonts w:hint="eastAsia" w:ascii="仿宋" w:hAnsi="仿宋" w:eastAsia="仿宋" w:cs="仿宋"/>
          <w:b w:val="0"/>
          <w:bCs/>
          <w:color w:val="000000"/>
          <w:kern w:val="0"/>
          <w:sz w:val="32"/>
          <w:szCs w:val="32"/>
          <w:lang w:val="en-US" w:eastAsia="zh-CN"/>
        </w:rPr>
        <w:t>年部门决算公开表格</w:t>
      </w:r>
    </w:p>
    <w:p w14:paraId="27E2EE8B">
      <w:pPr>
        <w:ind w:firstLine="640" w:firstLineChars="200"/>
        <w:jc w:val="left"/>
        <w:rPr>
          <w:rFonts w:hint="eastAsia" w:ascii="仿宋" w:hAnsi="仿宋" w:eastAsia="仿宋" w:cs="仿宋"/>
          <w:b w:val="0"/>
          <w:bCs/>
          <w:color w:val="000000"/>
          <w:kern w:val="0"/>
          <w:sz w:val="32"/>
          <w:szCs w:val="32"/>
        </w:rPr>
      </w:pPr>
      <w:r>
        <w:rPr>
          <w:rFonts w:hint="eastAsia" w:ascii="仿宋" w:hAnsi="仿宋" w:eastAsia="仿宋" w:cs="仿宋"/>
          <w:b w:val="0"/>
          <w:bCs/>
          <w:color w:val="000000"/>
          <w:kern w:val="0"/>
          <w:sz w:val="32"/>
          <w:szCs w:val="32"/>
          <w:lang w:val="en-US" w:eastAsia="zh-CN"/>
        </w:rPr>
        <w:t>2、</w:t>
      </w:r>
      <w:r>
        <w:rPr>
          <w:rFonts w:hint="eastAsia" w:ascii="仿宋" w:hAnsi="仿宋" w:eastAsia="仿宋" w:cs="仿宋"/>
          <w:b w:val="0"/>
          <w:bCs/>
          <w:color w:val="000000"/>
          <w:kern w:val="0"/>
          <w:sz w:val="32"/>
          <w:szCs w:val="32"/>
          <w:highlight w:val="none"/>
        </w:rPr>
        <w:t>202</w:t>
      </w:r>
      <w:r>
        <w:rPr>
          <w:rFonts w:hint="eastAsia" w:ascii="仿宋" w:hAnsi="仿宋" w:eastAsia="仿宋" w:cs="仿宋"/>
          <w:b w:val="0"/>
          <w:bCs/>
          <w:color w:val="000000"/>
          <w:kern w:val="0"/>
          <w:sz w:val="32"/>
          <w:szCs w:val="32"/>
          <w:highlight w:val="none"/>
          <w:lang w:val="en-US" w:eastAsia="zh-CN"/>
        </w:rPr>
        <w:t>4</w:t>
      </w:r>
      <w:r>
        <w:rPr>
          <w:rFonts w:hint="eastAsia" w:ascii="仿宋" w:hAnsi="仿宋" w:eastAsia="仿宋" w:cs="仿宋"/>
          <w:b w:val="0"/>
          <w:bCs/>
          <w:color w:val="000000"/>
          <w:kern w:val="0"/>
          <w:sz w:val="32"/>
          <w:szCs w:val="32"/>
        </w:rPr>
        <w:t>年度部门整体支出绩效评价报告</w:t>
      </w:r>
    </w:p>
    <w:p w14:paraId="3C6F269C">
      <w:pPr>
        <w:ind w:firstLine="640" w:firstLineChars="200"/>
        <w:jc w:val="left"/>
        <w:rPr>
          <w:rFonts w:hint="eastAsia" w:ascii="仿宋" w:hAnsi="仿宋" w:eastAsia="仿宋" w:cs="仿宋"/>
          <w:b w:val="0"/>
          <w:bCs/>
          <w:color w:val="000000"/>
          <w:kern w:val="0"/>
          <w:sz w:val="32"/>
          <w:szCs w:val="32"/>
        </w:rPr>
      </w:pPr>
      <w:r>
        <w:rPr>
          <w:rFonts w:hint="eastAsia" w:ascii="仿宋" w:hAnsi="仿宋" w:eastAsia="仿宋" w:cs="仿宋"/>
          <w:b w:val="0"/>
          <w:bCs/>
          <w:color w:val="000000"/>
          <w:kern w:val="0"/>
          <w:sz w:val="32"/>
          <w:szCs w:val="32"/>
          <w:lang w:val="en-US" w:eastAsia="zh-CN"/>
        </w:rPr>
        <w:t>3、</w:t>
      </w:r>
      <w:r>
        <w:rPr>
          <w:rFonts w:hint="eastAsia" w:ascii="仿宋" w:hAnsi="仿宋" w:eastAsia="仿宋" w:cs="仿宋"/>
          <w:b w:val="0"/>
          <w:bCs/>
          <w:color w:val="000000"/>
          <w:kern w:val="0"/>
          <w:sz w:val="32"/>
          <w:szCs w:val="32"/>
        </w:rPr>
        <w:t>2024年度部门整体支出绩效自评表</w:t>
      </w:r>
    </w:p>
    <w:p w14:paraId="3CBF2555">
      <w:pPr>
        <w:ind w:firstLine="640" w:firstLineChars="200"/>
        <w:jc w:val="left"/>
        <w:rPr>
          <w:rFonts w:hint="eastAsia" w:ascii="仿宋" w:hAnsi="仿宋" w:eastAsia="仿宋" w:cs="仿宋"/>
          <w:b w:val="0"/>
          <w:bCs/>
          <w:color w:val="000000"/>
          <w:kern w:val="0"/>
          <w:sz w:val="32"/>
          <w:szCs w:val="32"/>
          <w:lang w:val="en-US" w:eastAsia="zh-CN"/>
        </w:rPr>
      </w:pPr>
      <w:r>
        <w:rPr>
          <w:rFonts w:hint="eastAsia" w:ascii="仿宋" w:hAnsi="仿宋" w:eastAsia="仿宋" w:cs="仿宋"/>
          <w:b w:val="0"/>
          <w:bCs/>
          <w:color w:val="000000"/>
          <w:kern w:val="0"/>
          <w:sz w:val="32"/>
          <w:szCs w:val="32"/>
          <w:lang w:val="en-US" w:eastAsia="zh-CN"/>
        </w:rPr>
        <w:t>4、2024年度项目支出绩效自评表</w:t>
      </w:r>
      <w:bookmarkStart w:id="1" w:name="_GoBack"/>
      <w:bookmarkEnd w:id="1"/>
    </w:p>
    <w:p w14:paraId="045AD96C"/>
    <w:sectPr>
      <w:pgSz w:w="11906" w:h="16838"/>
      <w:pgMar w:top="720" w:right="720" w:bottom="720" w:left="720" w:header="851" w:footer="992" w:gutter="0"/>
      <w:cols w:space="425" w:num="1"/>
      <w:docGrid w:type="linesAndChar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1"/>
    <w:family w:val="roman"/>
    <w:pitch w:val="default"/>
    <w:sig w:usb0="E0002AFF" w:usb1="C0007841"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方正小标宋_GBK">
    <w:altName w:val="Arial Unicode MS"/>
    <w:panose1 w:val="02000000000000000000"/>
    <w:charset w:val="86"/>
    <w:family w:val="script"/>
    <w:pitch w:val="default"/>
    <w:sig w:usb0="00000000" w:usb1="00000000" w:usb2="00082016" w:usb3="00000000" w:csb0="00040001" w:csb1="00000000"/>
  </w:font>
  <w:font w:name="仿宋_GB2312">
    <w:altName w:val="仿宋"/>
    <w:panose1 w:val="02010609030101010101"/>
    <w:charset w:val="86"/>
    <w:family w:val="modern"/>
    <w:pitch w:val="default"/>
    <w:sig w:usb0="00000000" w:usb1="00000000" w:usb2="00000000" w:usb3="00000000" w:csb0="00040000" w:csb1="00000000"/>
  </w:font>
  <w:font w:name="楷体">
    <w:panose1 w:val="02010609060101010101"/>
    <w:charset w:val="86"/>
    <w:family w:val="auto"/>
    <w:pitch w:val="default"/>
    <w:sig w:usb0="800002BF" w:usb1="38CF7CFA" w:usb2="00000016" w:usb3="00000000" w:csb0="00040001" w:csb1="00000000"/>
  </w:font>
  <w:font w:name="仿宋">
    <w:panose1 w:val="02010609060101010101"/>
    <w:charset w:val="86"/>
    <w:family w:val="auto"/>
    <w:pitch w:val="default"/>
    <w:sig w:usb0="800002BF" w:usb1="38CF7CFA" w:usb2="00000016" w:usb3="00000000" w:csb0="00040001" w:csb1="00000000"/>
  </w:font>
  <w:font w:name="Arial Unicode MS">
    <w:panose1 w:val="020B0604020202020204"/>
    <w:charset w:val="86"/>
    <w:family w:val="auto"/>
    <w:pitch w:val="default"/>
    <w:sig w:usb0="FFFFFFFF" w:usb1="E9FFFFFF" w:usb2="0000003F" w:usb3="00000000" w:csb0="603F01FF" w:csb1="FFFF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SystemFonts/>
  <w:bordersDoNotSurroundHeader w:val="0"/>
  <w:bordersDoNotSurroundFooter w:val="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506F9"/>
    <w:rsid w:val="0002229B"/>
    <w:rsid w:val="000273BD"/>
    <w:rsid w:val="00040CBC"/>
    <w:rsid w:val="000415B7"/>
    <w:rsid w:val="00041E3F"/>
    <w:rsid w:val="00055DAA"/>
    <w:rsid w:val="00061F7B"/>
    <w:rsid w:val="000658A3"/>
    <w:rsid w:val="00074155"/>
    <w:rsid w:val="000A3F69"/>
    <w:rsid w:val="00103957"/>
    <w:rsid w:val="00152C6D"/>
    <w:rsid w:val="00162D39"/>
    <w:rsid w:val="001678BD"/>
    <w:rsid w:val="00182373"/>
    <w:rsid w:val="001A67DB"/>
    <w:rsid w:val="001C3C29"/>
    <w:rsid w:val="001D51E5"/>
    <w:rsid w:val="001E080D"/>
    <w:rsid w:val="001E53D0"/>
    <w:rsid w:val="001F0C3B"/>
    <w:rsid w:val="00202C82"/>
    <w:rsid w:val="00214427"/>
    <w:rsid w:val="00226CB7"/>
    <w:rsid w:val="00264552"/>
    <w:rsid w:val="00264EF9"/>
    <w:rsid w:val="00265724"/>
    <w:rsid w:val="0027426B"/>
    <w:rsid w:val="002E0A30"/>
    <w:rsid w:val="003130C4"/>
    <w:rsid w:val="00316C4B"/>
    <w:rsid w:val="0032192B"/>
    <w:rsid w:val="003479BD"/>
    <w:rsid w:val="0037197D"/>
    <w:rsid w:val="003768D5"/>
    <w:rsid w:val="003926B9"/>
    <w:rsid w:val="003C47E6"/>
    <w:rsid w:val="003C4FC2"/>
    <w:rsid w:val="00416E61"/>
    <w:rsid w:val="0042790C"/>
    <w:rsid w:val="004506F9"/>
    <w:rsid w:val="004717A2"/>
    <w:rsid w:val="00473DF3"/>
    <w:rsid w:val="00487911"/>
    <w:rsid w:val="00491741"/>
    <w:rsid w:val="004B0CEE"/>
    <w:rsid w:val="00500E5F"/>
    <w:rsid w:val="005122EF"/>
    <w:rsid w:val="0051441A"/>
    <w:rsid w:val="00517C33"/>
    <w:rsid w:val="00517D5F"/>
    <w:rsid w:val="00523644"/>
    <w:rsid w:val="0054069E"/>
    <w:rsid w:val="00544866"/>
    <w:rsid w:val="005767CC"/>
    <w:rsid w:val="00590D9F"/>
    <w:rsid w:val="00595D26"/>
    <w:rsid w:val="005A74E6"/>
    <w:rsid w:val="005B404E"/>
    <w:rsid w:val="005D4D55"/>
    <w:rsid w:val="005E2CFB"/>
    <w:rsid w:val="005F2103"/>
    <w:rsid w:val="005F3D1C"/>
    <w:rsid w:val="0062378F"/>
    <w:rsid w:val="00641842"/>
    <w:rsid w:val="00651EEC"/>
    <w:rsid w:val="00686673"/>
    <w:rsid w:val="00691E8C"/>
    <w:rsid w:val="006A22C4"/>
    <w:rsid w:val="006A351B"/>
    <w:rsid w:val="006B0422"/>
    <w:rsid w:val="006C1B53"/>
    <w:rsid w:val="006D7730"/>
    <w:rsid w:val="006E5284"/>
    <w:rsid w:val="006F3EB5"/>
    <w:rsid w:val="00702E34"/>
    <w:rsid w:val="00704395"/>
    <w:rsid w:val="00710FE7"/>
    <w:rsid w:val="00717621"/>
    <w:rsid w:val="00720FF1"/>
    <w:rsid w:val="00727A53"/>
    <w:rsid w:val="00787B42"/>
    <w:rsid w:val="007C4539"/>
    <w:rsid w:val="007F3657"/>
    <w:rsid w:val="00812ED5"/>
    <w:rsid w:val="008277D9"/>
    <w:rsid w:val="0084478C"/>
    <w:rsid w:val="0086638C"/>
    <w:rsid w:val="008A3E8D"/>
    <w:rsid w:val="009237C4"/>
    <w:rsid w:val="00944C48"/>
    <w:rsid w:val="00950252"/>
    <w:rsid w:val="00967F5D"/>
    <w:rsid w:val="009A0F95"/>
    <w:rsid w:val="009B3ADF"/>
    <w:rsid w:val="009B4D8E"/>
    <w:rsid w:val="009C3B52"/>
    <w:rsid w:val="009E6817"/>
    <w:rsid w:val="009E6E9A"/>
    <w:rsid w:val="009F4C1B"/>
    <w:rsid w:val="00A01D2B"/>
    <w:rsid w:val="00A42218"/>
    <w:rsid w:val="00A70249"/>
    <w:rsid w:val="00A70B02"/>
    <w:rsid w:val="00A71D9F"/>
    <w:rsid w:val="00A92E9F"/>
    <w:rsid w:val="00AB18FF"/>
    <w:rsid w:val="00B33BEA"/>
    <w:rsid w:val="00B57C9F"/>
    <w:rsid w:val="00B63572"/>
    <w:rsid w:val="00B845B3"/>
    <w:rsid w:val="00B85D8B"/>
    <w:rsid w:val="00BB4A40"/>
    <w:rsid w:val="00BD6C3E"/>
    <w:rsid w:val="00BE3674"/>
    <w:rsid w:val="00C10681"/>
    <w:rsid w:val="00C3049A"/>
    <w:rsid w:val="00C31B1E"/>
    <w:rsid w:val="00C77645"/>
    <w:rsid w:val="00CE04C3"/>
    <w:rsid w:val="00CE76A0"/>
    <w:rsid w:val="00D148C6"/>
    <w:rsid w:val="00D17A8A"/>
    <w:rsid w:val="00D415BA"/>
    <w:rsid w:val="00D63780"/>
    <w:rsid w:val="00D644EE"/>
    <w:rsid w:val="00DD06FF"/>
    <w:rsid w:val="00DD5FE9"/>
    <w:rsid w:val="00E00C7A"/>
    <w:rsid w:val="00E37D6C"/>
    <w:rsid w:val="00E55B68"/>
    <w:rsid w:val="00E561AE"/>
    <w:rsid w:val="00E67BE6"/>
    <w:rsid w:val="00E8683C"/>
    <w:rsid w:val="00EA2B72"/>
    <w:rsid w:val="00F74360"/>
    <w:rsid w:val="00FB462F"/>
    <w:rsid w:val="00FE16FA"/>
    <w:rsid w:val="00FE328A"/>
    <w:rsid w:val="00FE6269"/>
    <w:rsid w:val="00FF5CD6"/>
    <w:rsid w:val="023C44DC"/>
    <w:rsid w:val="048373D4"/>
    <w:rsid w:val="04FF212C"/>
    <w:rsid w:val="05121E5F"/>
    <w:rsid w:val="059958AD"/>
    <w:rsid w:val="06021406"/>
    <w:rsid w:val="061A4707"/>
    <w:rsid w:val="06C857E7"/>
    <w:rsid w:val="08602EE2"/>
    <w:rsid w:val="08C24A73"/>
    <w:rsid w:val="09242161"/>
    <w:rsid w:val="09542A2A"/>
    <w:rsid w:val="0B5A3EC4"/>
    <w:rsid w:val="0BBF548E"/>
    <w:rsid w:val="0CAA6E21"/>
    <w:rsid w:val="0DFC545B"/>
    <w:rsid w:val="0E440BB0"/>
    <w:rsid w:val="0F4625E3"/>
    <w:rsid w:val="103C317F"/>
    <w:rsid w:val="10D9395E"/>
    <w:rsid w:val="11944E2C"/>
    <w:rsid w:val="12543AB7"/>
    <w:rsid w:val="12583BA5"/>
    <w:rsid w:val="129065C7"/>
    <w:rsid w:val="13BA5B9C"/>
    <w:rsid w:val="13E00AB7"/>
    <w:rsid w:val="1651411D"/>
    <w:rsid w:val="16AB0BC8"/>
    <w:rsid w:val="170D3F14"/>
    <w:rsid w:val="17377504"/>
    <w:rsid w:val="183D3240"/>
    <w:rsid w:val="18836828"/>
    <w:rsid w:val="189673D0"/>
    <w:rsid w:val="1A5605E9"/>
    <w:rsid w:val="1AFA0F74"/>
    <w:rsid w:val="1B835697"/>
    <w:rsid w:val="1D97DEFF"/>
    <w:rsid w:val="1DFF72E5"/>
    <w:rsid w:val="1E676920"/>
    <w:rsid w:val="1EFC6F07"/>
    <w:rsid w:val="1F0527A6"/>
    <w:rsid w:val="1FDA1374"/>
    <w:rsid w:val="22484CBB"/>
    <w:rsid w:val="22AC03C2"/>
    <w:rsid w:val="22B464E2"/>
    <w:rsid w:val="23E26A49"/>
    <w:rsid w:val="26B04822"/>
    <w:rsid w:val="26FD7B99"/>
    <w:rsid w:val="283B15FE"/>
    <w:rsid w:val="2AD90BA6"/>
    <w:rsid w:val="2B807625"/>
    <w:rsid w:val="2D0637A8"/>
    <w:rsid w:val="2DCF6290"/>
    <w:rsid w:val="2FDF85B8"/>
    <w:rsid w:val="2FF34336"/>
    <w:rsid w:val="2FFFEE04"/>
    <w:rsid w:val="318345D5"/>
    <w:rsid w:val="31C95635"/>
    <w:rsid w:val="331C454D"/>
    <w:rsid w:val="33743CE1"/>
    <w:rsid w:val="34DF85B0"/>
    <w:rsid w:val="353F2F3E"/>
    <w:rsid w:val="36BC38CE"/>
    <w:rsid w:val="376B04C0"/>
    <w:rsid w:val="38482EC7"/>
    <w:rsid w:val="3914724D"/>
    <w:rsid w:val="3922196A"/>
    <w:rsid w:val="398C3287"/>
    <w:rsid w:val="3B8F36BC"/>
    <w:rsid w:val="3E0E070F"/>
    <w:rsid w:val="42E47C90"/>
    <w:rsid w:val="436C7BC6"/>
    <w:rsid w:val="43EB5BA5"/>
    <w:rsid w:val="452E1696"/>
    <w:rsid w:val="471D01D2"/>
    <w:rsid w:val="47262200"/>
    <w:rsid w:val="48AE4FC8"/>
    <w:rsid w:val="491FF225"/>
    <w:rsid w:val="4A2503B1"/>
    <w:rsid w:val="4A864D8B"/>
    <w:rsid w:val="4B555BCF"/>
    <w:rsid w:val="4B815E4C"/>
    <w:rsid w:val="4CC0351C"/>
    <w:rsid w:val="4DB52955"/>
    <w:rsid w:val="4E45017D"/>
    <w:rsid w:val="4EA61DB1"/>
    <w:rsid w:val="4EC310A1"/>
    <w:rsid w:val="4F1D6A04"/>
    <w:rsid w:val="4FC11F74"/>
    <w:rsid w:val="4FFD214C"/>
    <w:rsid w:val="53515816"/>
    <w:rsid w:val="5352765A"/>
    <w:rsid w:val="540E2DBF"/>
    <w:rsid w:val="55FC13A2"/>
    <w:rsid w:val="56582A17"/>
    <w:rsid w:val="574F322C"/>
    <w:rsid w:val="5777D4F5"/>
    <w:rsid w:val="57A87513"/>
    <w:rsid w:val="57F22B6F"/>
    <w:rsid w:val="5893189E"/>
    <w:rsid w:val="58F702C5"/>
    <w:rsid w:val="59C26133"/>
    <w:rsid w:val="59DD8326"/>
    <w:rsid w:val="5AD8215B"/>
    <w:rsid w:val="5B214F33"/>
    <w:rsid w:val="5D292A17"/>
    <w:rsid w:val="5DEF592A"/>
    <w:rsid w:val="5FC6BB1E"/>
    <w:rsid w:val="5FF720F1"/>
    <w:rsid w:val="622964C1"/>
    <w:rsid w:val="62EC076F"/>
    <w:rsid w:val="638535A6"/>
    <w:rsid w:val="63FB6B64"/>
    <w:rsid w:val="64D67929"/>
    <w:rsid w:val="65206354"/>
    <w:rsid w:val="65DF6369"/>
    <w:rsid w:val="67FF5C0B"/>
    <w:rsid w:val="682111CA"/>
    <w:rsid w:val="6A96643A"/>
    <w:rsid w:val="6B610CCA"/>
    <w:rsid w:val="6BAA4A2F"/>
    <w:rsid w:val="6DBF3F22"/>
    <w:rsid w:val="6DDEC5C0"/>
    <w:rsid w:val="6EA24120"/>
    <w:rsid w:val="6EFC0924"/>
    <w:rsid w:val="6F7915DC"/>
    <w:rsid w:val="6FB74722"/>
    <w:rsid w:val="6FEF8B7E"/>
    <w:rsid w:val="7148570A"/>
    <w:rsid w:val="714B0D57"/>
    <w:rsid w:val="717FE77F"/>
    <w:rsid w:val="71A6591B"/>
    <w:rsid w:val="71B27028"/>
    <w:rsid w:val="71BC3A02"/>
    <w:rsid w:val="737D59BA"/>
    <w:rsid w:val="737F32B1"/>
    <w:rsid w:val="73BD3FCA"/>
    <w:rsid w:val="73DB6BA8"/>
    <w:rsid w:val="7467440C"/>
    <w:rsid w:val="756A62B5"/>
    <w:rsid w:val="7691362C"/>
    <w:rsid w:val="776BDA01"/>
    <w:rsid w:val="778620CF"/>
    <w:rsid w:val="77C37683"/>
    <w:rsid w:val="797057FE"/>
    <w:rsid w:val="79C03F87"/>
    <w:rsid w:val="79DB2CBE"/>
    <w:rsid w:val="79FF515B"/>
    <w:rsid w:val="7D1B3CD3"/>
    <w:rsid w:val="7DBF0B02"/>
    <w:rsid w:val="7DFBFF20"/>
    <w:rsid w:val="7E9E1962"/>
    <w:rsid w:val="7E9F11B4"/>
    <w:rsid w:val="7EA366DE"/>
    <w:rsid w:val="7F37EC1E"/>
    <w:rsid w:val="7F7C0DDA"/>
    <w:rsid w:val="7F7DCD9D"/>
    <w:rsid w:val="7F970A6F"/>
    <w:rsid w:val="7FB20B86"/>
    <w:rsid w:val="7FC1FFF3"/>
    <w:rsid w:val="7FC69637"/>
    <w:rsid w:val="7FDF8620"/>
    <w:rsid w:val="7FFB242F"/>
    <w:rsid w:val="7FFDB408"/>
    <w:rsid w:val="7FFE4EEB"/>
    <w:rsid w:val="95FB2B98"/>
    <w:rsid w:val="9A639BC2"/>
    <w:rsid w:val="9FF7D786"/>
    <w:rsid w:val="ABBFB23D"/>
    <w:rsid w:val="B6BE5A03"/>
    <w:rsid w:val="B8C93228"/>
    <w:rsid w:val="C3B4DA5A"/>
    <w:rsid w:val="C4FF458C"/>
    <w:rsid w:val="C7BBD038"/>
    <w:rsid w:val="CBFF70E0"/>
    <w:rsid w:val="CFF50B82"/>
    <w:rsid w:val="CFFFAD89"/>
    <w:rsid w:val="DFFE359E"/>
    <w:rsid w:val="DFFE4FFD"/>
    <w:rsid w:val="DFFF5403"/>
    <w:rsid w:val="EBC3E00A"/>
    <w:rsid w:val="EDFBE100"/>
    <w:rsid w:val="EEABED75"/>
    <w:rsid w:val="EF7E8003"/>
    <w:rsid w:val="F56FDF51"/>
    <w:rsid w:val="F5F3EE78"/>
    <w:rsid w:val="F6B69F17"/>
    <w:rsid w:val="F6E5BB3A"/>
    <w:rsid w:val="F77F1D61"/>
    <w:rsid w:val="F7FED3A9"/>
    <w:rsid w:val="F8C9DB26"/>
    <w:rsid w:val="F97E8EAE"/>
    <w:rsid w:val="FB36E1A6"/>
    <w:rsid w:val="FB3BE134"/>
    <w:rsid w:val="FCFF4275"/>
    <w:rsid w:val="FD7FEEEA"/>
    <w:rsid w:val="FDFFB577"/>
    <w:rsid w:val="FEEA50FE"/>
    <w:rsid w:val="FF7D47A9"/>
    <w:rsid w:val="FFCF21CB"/>
    <w:rsid w:val="FFF94102"/>
    <w:rsid w:val="FFFF1C8B"/>
    <w:rsid w:val="FFFF743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qFormat="1" w:unhideWhenUsed="0" w:uiPriority="0" w:semiHidden="0" w:name="toc 5"/>
    <w:lsdException w:uiPriority="39" w:name="toc 6"/>
    <w:lsdException w:uiPriority="39" w:name="toc 7"/>
    <w:lsdException w:uiPriority="39" w:name="toc 8"/>
    <w:lsdException w:uiPriority="39" w:name="toc 9"/>
    <w:lsdException w:uiPriority="99" w:name="Normal Indent"/>
    <w:lsdException w:qFormat="1" w:unhideWhenUsed="0" w:uiPriority="0"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iPriority="99"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qFormat="1" w:uiPriority="99" w:semiHidden="0"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11">
    <w:name w:val="Default Paragraph Font"/>
    <w:semiHidden/>
    <w:unhideWhenUsed/>
    <w:qFormat/>
    <w:uiPriority w:val="1"/>
  </w:style>
  <w:style w:type="table" w:default="1" w:styleId="10">
    <w:name w:val="Normal Table"/>
    <w:semiHidden/>
    <w:unhideWhenUsed/>
    <w:qFormat/>
    <w:uiPriority w:val="99"/>
    <w:tblPr>
      <w:tblCellMar>
        <w:top w:w="0" w:type="dxa"/>
        <w:left w:w="108" w:type="dxa"/>
        <w:bottom w:w="0" w:type="dxa"/>
        <w:right w:w="108" w:type="dxa"/>
      </w:tblCellMar>
    </w:tblPr>
  </w:style>
  <w:style w:type="paragraph" w:styleId="2">
    <w:name w:val="Body Text"/>
    <w:basedOn w:val="1"/>
    <w:next w:val="3"/>
    <w:qFormat/>
    <w:uiPriority w:val="0"/>
    <w:pPr>
      <w:widowControl w:val="0"/>
      <w:jc w:val="both"/>
    </w:pPr>
    <w:rPr>
      <w:rFonts w:ascii="Calibri" w:hAnsi="Calibri" w:eastAsia="宋体" w:cs="Times New Roman"/>
      <w:kern w:val="2"/>
      <w:sz w:val="28"/>
      <w:szCs w:val="24"/>
      <w:lang w:val="en-US" w:eastAsia="zh-CN" w:bidi="ar-SA"/>
    </w:rPr>
  </w:style>
  <w:style w:type="paragraph" w:styleId="3">
    <w:name w:val="toc 5"/>
    <w:basedOn w:val="1"/>
    <w:next w:val="1"/>
    <w:qFormat/>
    <w:uiPriority w:val="0"/>
    <w:pPr>
      <w:ind w:left="1680" w:leftChars="800"/>
    </w:pPr>
  </w:style>
  <w:style w:type="paragraph" w:styleId="4">
    <w:name w:val="Body Text Indent"/>
    <w:basedOn w:val="1"/>
    <w:next w:val="5"/>
    <w:unhideWhenUsed/>
    <w:qFormat/>
    <w:uiPriority w:val="99"/>
    <w:pPr>
      <w:widowControl/>
      <w:spacing w:after="120"/>
      <w:ind w:left="420" w:leftChars="200"/>
      <w:jc w:val="left"/>
    </w:pPr>
    <w:rPr>
      <w:rFonts w:ascii="宋体" w:hAnsi="宋体" w:eastAsia="宋体" w:cs="宋体"/>
      <w:kern w:val="0"/>
      <w:sz w:val="24"/>
    </w:rPr>
  </w:style>
  <w:style w:type="paragraph" w:styleId="5">
    <w:name w:val="Body Text First Indent 2"/>
    <w:basedOn w:val="4"/>
    <w:next w:val="1"/>
    <w:unhideWhenUsed/>
    <w:qFormat/>
    <w:uiPriority w:val="99"/>
    <w:pPr>
      <w:ind w:firstLine="420" w:firstLineChars="200"/>
    </w:pPr>
  </w:style>
  <w:style w:type="paragraph" w:styleId="6">
    <w:name w:val="Balloon Text"/>
    <w:basedOn w:val="1"/>
    <w:link w:val="16"/>
    <w:semiHidden/>
    <w:unhideWhenUsed/>
    <w:qFormat/>
    <w:uiPriority w:val="99"/>
    <w:rPr>
      <w:sz w:val="18"/>
      <w:szCs w:val="18"/>
    </w:rPr>
  </w:style>
  <w:style w:type="paragraph" w:styleId="7">
    <w:name w:val="footer"/>
    <w:basedOn w:val="1"/>
    <w:link w:val="13"/>
    <w:unhideWhenUsed/>
    <w:qFormat/>
    <w:uiPriority w:val="99"/>
    <w:pPr>
      <w:tabs>
        <w:tab w:val="center" w:pos="4153"/>
        <w:tab w:val="right" w:pos="8306"/>
      </w:tabs>
      <w:snapToGrid w:val="0"/>
      <w:jc w:val="left"/>
    </w:pPr>
    <w:rPr>
      <w:sz w:val="18"/>
      <w:szCs w:val="18"/>
    </w:rPr>
  </w:style>
  <w:style w:type="paragraph" w:styleId="8">
    <w:name w:val="header"/>
    <w:basedOn w:val="1"/>
    <w:link w:val="12"/>
    <w:unhideWhenUsed/>
    <w:qFormat/>
    <w:uiPriority w:val="99"/>
    <w:pPr>
      <w:pBdr>
        <w:bottom w:val="single" w:color="auto" w:sz="6" w:space="1"/>
      </w:pBdr>
      <w:tabs>
        <w:tab w:val="center" w:pos="4153"/>
        <w:tab w:val="right" w:pos="8306"/>
      </w:tabs>
      <w:snapToGrid w:val="0"/>
      <w:jc w:val="center"/>
    </w:pPr>
    <w:rPr>
      <w:sz w:val="18"/>
      <w:szCs w:val="18"/>
    </w:rPr>
  </w:style>
  <w:style w:type="paragraph" w:styleId="9">
    <w:name w:val="footnote text"/>
    <w:basedOn w:val="1"/>
    <w:next w:val="5"/>
    <w:semiHidden/>
    <w:qFormat/>
    <w:uiPriority w:val="0"/>
    <w:pPr>
      <w:snapToGrid w:val="0"/>
      <w:jc w:val="left"/>
    </w:pPr>
    <w:rPr>
      <w:sz w:val="18"/>
      <w:szCs w:val="18"/>
    </w:rPr>
  </w:style>
  <w:style w:type="character" w:customStyle="1" w:styleId="12">
    <w:name w:val="页眉 Char"/>
    <w:basedOn w:val="11"/>
    <w:link w:val="8"/>
    <w:qFormat/>
    <w:uiPriority w:val="99"/>
    <w:rPr>
      <w:sz w:val="18"/>
      <w:szCs w:val="18"/>
    </w:rPr>
  </w:style>
  <w:style w:type="character" w:customStyle="1" w:styleId="13">
    <w:name w:val="页脚 Char"/>
    <w:basedOn w:val="11"/>
    <w:link w:val="7"/>
    <w:qFormat/>
    <w:uiPriority w:val="99"/>
    <w:rPr>
      <w:sz w:val="18"/>
      <w:szCs w:val="18"/>
    </w:rPr>
  </w:style>
  <w:style w:type="paragraph" w:customStyle="1" w:styleId="14">
    <w:name w:val="Default"/>
    <w:qFormat/>
    <w:uiPriority w:val="0"/>
    <w:pPr>
      <w:widowControl w:val="0"/>
      <w:autoSpaceDE w:val="0"/>
      <w:autoSpaceDN w:val="0"/>
      <w:adjustRightInd w:val="0"/>
    </w:pPr>
    <w:rPr>
      <w:rFonts w:ascii="黑体" w:eastAsia="黑体" w:cs="黑体" w:hAnsiTheme="minorHAnsi"/>
      <w:color w:val="000000"/>
      <w:kern w:val="0"/>
      <w:sz w:val="24"/>
      <w:szCs w:val="24"/>
      <w:lang w:val="en-US" w:eastAsia="zh-CN" w:bidi="ar-SA"/>
    </w:rPr>
  </w:style>
  <w:style w:type="paragraph" w:styleId="15">
    <w:name w:val="List Paragraph"/>
    <w:basedOn w:val="1"/>
    <w:qFormat/>
    <w:uiPriority w:val="34"/>
    <w:pPr>
      <w:ind w:firstLine="420" w:firstLineChars="200"/>
    </w:pPr>
  </w:style>
  <w:style w:type="character" w:customStyle="1" w:styleId="16">
    <w:name w:val="批注框文本 Char"/>
    <w:basedOn w:val="11"/>
    <w:link w:val="6"/>
    <w:semiHidden/>
    <w:qFormat/>
    <w:uiPriority w:val="99"/>
    <w:rPr>
      <w:sz w:val="18"/>
      <w:szCs w:val="18"/>
    </w:rPr>
  </w:style>
  <w:style w:type="character" w:customStyle="1" w:styleId="17">
    <w:name w:val="font01"/>
    <w:basedOn w:val="11"/>
    <w:qFormat/>
    <w:uiPriority w:val="0"/>
    <w:rPr>
      <w:rFonts w:hint="eastAsia" w:ascii="宋体" w:hAnsi="宋体" w:eastAsia="宋体" w:cs="宋体"/>
      <w:color w:val="000000"/>
      <w:sz w:val="22"/>
      <w:szCs w:val="22"/>
      <w:u w:val="none"/>
    </w:rPr>
  </w:style>
  <w:style w:type="character" w:customStyle="1" w:styleId="18">
    <w:name w:val="font21"/>
    <w:basedOn w:val="11"/>
    <w:qFormat/>
    <w:uiPriority w:val="0"/>
    <w:rPr>
      <w:rFonts w:hint="eastAsia" w:ascii="宋体" w:hAnsi="宋体" w:eastAsia="宋体" w:cs="宋体"/>
      <w:color w:val="000000"/>
      <w:sz w:val="24"/>
      <w:szCs w:val="24"/>
      <w:u w:val="none"/>
    </w:rPr>
  </w:style>
  <w:style w:type="character" w:customStyle="1" w:styleId="19">
    <w:name w:val="font11"/>
    <w:basedOn w:val="11"/>
    <w:qFormat/>
    <w:uiPriority w:val="0"/>
    <w:rPr>
      <w:rFonts w:hint="eastAsia" w:ascii="宋体" w:hAnsi="宋体" w:eastAsia="宋体" w:cs="宋体"/>
      <w:color w:val="000000"/>
      <w:sz w:val="24"/>
      <w:szCs w:val="24"/>
      <w:u w:val="none"/>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3" Type="http://schemas.openxmlformats.org/officeDocument/2006/relationships/fontTable" Target="fontTable.xml"/><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Company>Microsoft</Company>
  <Pages>32</Pages>
  <Words>9842</Words>
  <Characters>10515</Characters>
  <Lines>63</Lines>
  <Paragraphs>18</Paragraphs>
  <TotalTime>32</TotalTime>
  <ScaleCrop>false</ScaleCrop>
  <LinksUpToDate>false</LinksUpToDate>
  <CharactersWithSpaces>10525</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2020-07-10T18:32:00Z</dcterms:created>
  <dc:creator>李航 null</dc:creator>
  <cp:lastModifiedBy>许帝</cp:lastModifiedBy>
  <cp:lastPrinted>2025-09-24T07:30:00Z</cp:lastPrinted>
  <dcterms:modified xsi:type="dcterms:W3CDTF">2025-09-25T07:34:19Z</dcterms:modified>
  <cp:revision>67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ICV">
    <vt:lpwstr>B01090B1E40C49D3A59CDCE8BC96F33E_13</vt:lpwstr>
  </property>
  <property fmtid="{D5CDD505-2E9C-101B-9397-08002B2CF9AE}" pid="4" name="KSOTemplateDocerSaveRecord">
    <vt:lpwstr>eyJoZGlkIjoiYTM4NDE1ZTc5N2NhM2Q5MjE1ZDAyNGIzOWQzY2I4MjQiLCJ1c2VySWQiOiI0NTkyODA2NzYifQ==</vt:lpwstr>
  </property>
</Properties>
</file>