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31051">
      <w:pPr>
        <w:widowControl/>
        <w:spacing w:line="600" w:lineRule="exact"/>
        <w:jc w:val="left"/>
        <w:rPr>
          <w:rFonts w:hint="eastAsia" w:eastAsia="黑体"/>
          <w:kern w:val="0"/>
          <w:sz w:val="32"/>
          <w:szCs w:val="32"/>
          <w:lang w:val="en-US" w:eastAsia="zh-CN"/>
        </w:rPr>
      </w:pPr>
      <w:r>
        <w:rPr>
          <w:rFonts w:eastAsia="黑体"/>
          <w:kern w:val="0"/>
          <w:sz w:val="32"/>
          <w:szCs w:val="32"/>
        </w:rPr>
        <w:t>附件</w:t>
      </w:r>
      <w:r>
        <w:rPr>
          <w:rFonts w:hint="eastAsia" w:eastAsia="黑体"/>
          <w:kern w:val="0"/>
          <w:sz w:val="32"/>
          <w:szCs w:val="32"/>
          <w:lang w:val="en-US" w:eastAsia="zh-CN"/>
        </w:rPr>
        <w:t>3</w:t>
      </w:r>
    </w:p>
    <w:p w14:paraId="773FBD0A">
      <w:pPr>
        <w:spacing w:line="600" w:lineRule="exact"/>
        <w:rPr>
          <w:rFonts w:hint="default" w:ascii="Times New Roman" w:hAnsi="Times New Roman" w:eastAsia="黑体" w:cs="Times New Roman"/>
          <w:sz w:val="32"/>
          <w:szCs w:val="32"/>
        </w:rPr>
      </w:pPr>
    </w:p>
    <w:p w14:paraId="7C1BC31B">
      <w:pPr>
        <w:spacing w:line="600" w:lineRule="exact"/>
        <w:rPr>
          <w:rFonts w:hint="default" w:ascii="Times New Roman" w:hAnsi="Times New Roman" w:eastAsia="黑体" w:cs="Times New Roman"/>
          <w:sz w:val="32"/>
          <w:szCs w:val="32"/>
        </w:rPr>
      </w:pPr>
    </w:p>
    <w:p w14:paraId="62D86F24">
      <w:pPr>
        <w:spacing w:line="600" w:lineRule="exact"/>
        <w:rPr>
          <w:rFonts w:hint="default" w:ascii="Times New Roman" w:hAnsi="Times New Roman" w:eastAsia="黑体" w:cs="Times New Roman"/>
          <w:sz w:val="32"/>
          <w:szCs w:val="32"/>
        </w:rPr>
      </w:pPr>
    </w:p>
    <w:p w14:paraId="692D148D">
      <w:pPr>
        <w:spacing w:line="600" w:lineRule="exact"/>
        <w:rPr>
          <w:rFonts w:hint="default" w:ascii="Times New Roman" w:hAnsi="Times New Roman" w:eastAsia="黑体" w:cs="Times New Roman"/>
          <w:sz w:val="32"/>
          <w:szCs w:val="32"/>
        </w:rPr>
      </w:pPr>
    </w:p>
    <w:p w14:paraId="6190D748">
      <w:pPr>
        <w:jc w:val="center"/>
        <w:rPr>
          <w:rFonts w:hint="default" w:ascii="Times New Roman" w:hAnsi="Times New Roman" w:eastAsia="方正小标宋_GBK" w:cs="Times New Roman"/>
          <w:sz w:val="52"/>
          <w:szCs w:val="52"/>
        </w:rPr>
      </w:pPr>
      <w:r>
        <w:rPr>
          <w:rFonts w:hint="default" w:ascii="Times New Roman" w:hAnsi="Times New Roman" w:eastAsia="方正小标宋_GBK" w:cs="Times New Roman"/>
          <w:b/>
          <w:bCs/>
          <w:sz w:val="52"/>
          <w:szCs w:val="52"/>
        </w:rPr>
        <w:t>202</w:t>
      </w:r>
      <w:r>
        <w:rPr>
          <w:rFonts w:hint="eastAsia" w:ascii="Times New Roman" w:hAnsi="Times New Roman" w:eastAsia="方正小标宋_GBK" w:cs="Times New Roman"/>
          <w:b/>
          <w:bCs/>
          <w:sz w:val="52"/>
          <w:szCs w:val="52"/>
          <w:lang w:val="en-US" w:eastAsia="zh-CN"/>
        </w:rPr>
        <w:t>4</w:t>
      </w:r>
      <w:r>
        <w:rPr>
          <w:rFonts w:hint="default" w:ascii="Times New Roman" w:hAnsi="Times New Roman" w:eastAsia="方正小标宋_GBK" w:cs="Times New Roman"/>
          <w:sz w:val="52"/>
          <w:szCs w:val="52"/>
        </w:rPr>
        <w:t>年</w:t>
      </w:r>
      <w:r>
        <w:rPr>
          <w:rFonts w:hint="eastAsia" w:ascii="Times New Roman" w:hAnsi="Times New Roman" w:eastAsia="方正小标宋_GBK" w:cs="Times New Roman"/>
          <w:sz w:val="52"/>
          <w:szCs w:val="52"/>
          <w:lang w:eastAsia="zh-CN"/>
        </w:rPr>
        <w:t>度</w:t>
      </w:r>
      <w:r>
        <w:rPr>
          <w:rFonts w:hint="eastAsia" w:ascii="Times New Roman" w:hAnsi="Times New Roman" w:eastAsia="方正小标宋_GBK" w:cs="Times New Roman"/>
          <w:b/>
          <w:bCs/>
          <w:sz w:val="52"/>
          <w:szCs w:val="52"/>
          <w:lang w:eastAsia="zh-CN"/>
        </w:rPr>
        <w:t>岳阳市巴陵戏传承研究院</w:t>
      </w:r>
      <w:r>
        <w:rPr>
          <w:rFonts w:hint="default" w:ascii="Times New Roman" w:hAnsi="Times New Roman" w:eastAsia="方正小标宋_GBK" w:cs="Times New Roman"/>
          <w:sz w:val="52"/>
          <w:szCs w:val="52"/>
        </w:rPr>
        <w:t>部门整体支出绩效自评报告</w:t>
      </w:r>
    </w:p>
    <w:p w14:paraId="6C28EF0F">
      <w:pPr>
        <w:jc w:val="center"/>
        <w:rPr>
          <w:rFonts w:hint="default" w:ascii="Times New Roman" w:hAnsi="Times New Roman" w:eastAsia="方正小标宋_GBK" w:cs="Times New Roman"/>
          <w:b/>
          <w:sz w:val="52"/>
          <w:szCs w:val="52"/>
        </w:rPr>
      </w:pPr>
    </w:p>
    <w:p w14:paraId="7AE01495">
      <w:pPr>
        <w:jc w:val="center"/>
        <w:rPr>
          <w:rFonts w:hint="default" w:ascii="Times New Roman" w:hAnsi="Times New Roman" w:eastAsia="黑体" w:cs="Times New Roman"/>
          <w:sz w:val="32"/>
          <w:szCs w:val="32"/>
        </w:rPr>
      </w:pPr>
    </w:p>
    <w:p w14:paraId="74A52A5C">
      <w:pPr>
        <w:jc w:val="center"/>
        <w:rPr>
          <w:rFonts w:hint="default" w:ascii="Times New Roman" w:hAnsi="Times New Roman" w:eastAsia="黑体" w:cs="Times New Roman"/>
          <w:sz w:val="32"/>
          <w:szCs w:val="32"/>
        </w:rPr>
      </w:pPr>
    </w:p>
    <w:p w14:paraId="6104A193">
      <w:pPr>
        <w:jc w:val="center"/>
        <w:rPr>
          <w:rFonts w:hint="default" w:ascii="Times New Roman" w:hAnsi="Times New Roman" w:eastAsia="黑体" w:cs="Times New Roman"/>
          <w:sz w:val="32"/>
          <w:szCs w:val="32"/>
        </w:rPr>
      </w:pPr>
    </w:p>
    <w:p w14:paraId="225019C5">
      <w:pPr>
        <w:jc w:val="center"/>
        <w:rPr>
          <w:rFonts w:hint="default" w:ascii="Times New Roman" w:hAnsi="Times New Roman" w:eastAsia="黑体" w:cs="Times New Roman"/>
          <w:sz w:val="32"/>
          <w:szCs w:val="32"/>
        </w:rPr>
      </w:pPr>
    </w:p>
    <w:p w14:paraId="78864BF8">
      <w:pPr>
        <w:jc w:val="center"/>
        <w:rPr>
          <w:rFonts w:hint="default" w:ascii="Times New Roman" w:hAnsi="Times New Roman" w:eastAsia="黑体" w:cs="Times New Roman"/>
          <w:sz w:val="32"/>
          <w:szCs w:val="32"/>
        </w:rPr>
      </w:pPr>
    </w:p>
    <w:p w14:paraId="18E035E4">
      <w:pPr>
        <w:jc w:val="center"/>
        <w:rPr>
          <w:rFonts w:hint="default" w:ascii="Times New Roman" w:hAnsi="Times New Roman" w:eastAsia="黑体" w:cs="Times New Roman"/>
          <w:sz w:val="32"/>
          <w:szCs w:val="32"/>
        </w:rPr>
      </w:pPr>
    </w:p>
    <w:p w14:paraId="77657448">
      <w:pPr>
        <w:jc w:val="center"/>
        <w:rPr>
          <w:rFonts w:hint="default" w:ascii="Times New Roman" w:hAnsi="Times New Roman" w:eastAsia="黑体" w:cs="Times New Roman"/>
          <w:sz w:val="32"/>
          <w:szCs w:val="32"/>
        </w:rPr>
      </w:pPr>
    </w:p>
    <w:p w14:paraId="324816C3">
      <w:pPr>
        <w:jc w:val="center"/>
        <w:rPr>
          <w:rFonts w:hint="default" w:ascii="Times New Roman" w:hAnsi="Times New Roman" w:eastAsia="黑体" w:cs="Times New Roman"/>
          <w:sz w:val="32"/>
          <w:szCs w:val="32"/>
        </w:rPr>
      </w:pPr>
    </w:p>
    <w:p w14:paraId="01B4BD44">
      <w:pPr>
        <w:jc w:val="center"/>
        <w:rPr>
          <w:rFonts w:hint="default" w:ascii="Times New Roman" w:hAnsi="Times New Roman" w:eastAsia="黑体" w:cs="Times New Roman"/>
          <w:sz w:val="32"/>
          <w:szCs w:val="32"/>
        </w:rPr>
      </w:pPr>
    </w:p>
    <w:p w14:paraId="2DFACB90">
      <w:pPr>
        <w:spacing w:line="600" w:lineRule="exac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eastAsia" w:ascii="Times New Roman" w:hAnsi="Times New Roman" w:eastAsia="仿宋_GB2312" w:cs="Times New Roman"/>
          <w:sz w:val="32"/>
          <w:szCs w:val="32"/>
          <w:lang w:eastAsia="zh-CN"/>
        </w:rPr>
        <w:t>岳阳市巴陵戏传承研究院</w:t>
      </w:r>
      <w:r>
        <w:rPr>
          <w:rFonts w:hint="default" w:ascii="Times New Roman" w:hAnsi="Times New Roman" w:eastAsia="仿宋_GB2312" w:cs="Times New Roman"/>
          <w:sz w:val="32"/>
          <w:szCs w:val="32"/>
          <w:u w:val="single"/>
        </w:rPr>
        <w:t xml:space="preserve">（盖章）        </w:t>
      </w:r>
    </w:p>
    <w:p w14:paraId="3BA3FB08">
      <w:pPr>
        <w:spacing w:line="600" w:lineRule="exact"/>
        <w:ind w:firstLine="3200" w:firstLineChars="1000"/>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2025</w:t>
      </w:r>
      <w:r>
        <w:rPr>
          <w:rFonts w:hint="default" w:ascii="Times New Roman" w:hAnsi="Times New Roman" w:eastAsia="楷体_GB2312" w:cs="Times New Roman"/>
          <w:sz w:val="32"/>
          <w:szCs w:val="32"/>
        </w:rPr>
        <w:t xml:space="preserve">年 </w:t>
      </w:r>
      <w:r>
        <w:rPr>
          <w:rFonts w:hint="eastAsia" w:ascii="Times New Roman" w:hAnsi="Times New Roman" w:eastAsia="楷体_GB2312" w:cs="Times New Roman"/>
          <w:sz w:val="32"/>
          <w:szCs w:val="32"/>
          <w:lang w:val="en-US" w:eastAsia="zh-CN"/>
        </w:rPr>
        <w:t>3</w:t>
      </w:r>
      <w:r>
        <w:rPr>
          <w:rFonts w:hint="default" w:ascii="Times New Roman" w:hAnsi="Times New Roman" w:eastAsia="楷体_GB2312" w:cs="Times New Roman"/>
          <w:sz w:val="32"/>
          <w:szCs w:val="32"/>
        </w:rPr>
        <w:t xml:space="preserve"> 月 </w:t>
      </w:r>
      <w:r>
        <w:rPr>
          <w:rFonts w:hint="eastAsia" w:ascii="Times New Roman" w:hAnsi="Times New Roman" w:eastAsia="楷体_GB2312" w:cs="Times New Roman"/>
          <w:sz w:val="32"/>
          <w:szCs w:val="32"/>
          <w:lang w:val="en-US" w:eastAsia="zh-CN"/>
        </w:rPr>
        <w:t>11</w:t>
      </w:r>
      <w:r>
        <w:rPr>
          <w:rFonts w:hint="default" w:ascii="Times New Roman" w:hAnsi="Times New Roman" w:eastAsia="楷体_GB2312" w:cs="Times New Roman"/>
          <w:sz w:val="32"/>
          <w:szCs w:val="32"/>
        </w:rPr>
        <w:t xml:space="preserve"> 日</w:t>
      </w:r>
    </w:p>
    <w:p w14:paraId="648BD42E">
      <w:pPr>
        <w:jc w:val="center"/>
        <w:rPr>
          <w:rFonts w:hint="default" w:ascii="Times New Roman" w:hAnsi="Times New Roman" w:eastAsia="黑体" w:cs="Times New Roman"/>
          <w:sz w:val="32"/>
          <w:szCs w:val="32"/>
        </w:rPr>
      </w:pPr>
    </w:p>
    <w:p w14:paraId="595ADACF">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14:paraId="42751E01">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58C3C332">
      <w:pPr>
        <w:jc w:val="center"/>
        <w:rPr>
          <w:rFonts w:hint="eastAsia" w:ascii="Times New Roman" w:hAnsi="Times New Roman" w:eastAsia="方正小标宋_GBK" w:cs="Times New Roman"/>
          <w:b/>
          <w:bCs/>
          <w:sz w:val="44"/>
          <w:szCs w:val="44"/>
          <w:lang w:val="en-US" w:eastAsia="zh-CN"/>
        </w:rPr>
      </w:pPr>
      <w:r>
        <w:rPr>
          <w:rFonts w:hint="default" w:ascii="Times New Roman" w:hAnsi="Times New Roman" w:eastAsia="方正小标宋_GBK" w:cs="Times New Roman"/>
          <w:b/>
          <w:bCs/>
          <w:sz w:val="44"/>
          <w:szCs w:val="44"/>
        </w:rPr>
        <w:t>202</w:t>
      </w:r>
      <w:r>
        <w:rPr>
          <w:rFonts w:hint="eastAsia" w:ascii="Times New Roman" w:hAnsi="Times New Roman" w:eastAsia="方正小标宋_GBK" w:cs="Times New Roman"/>
          <w:b/>
          <w:bCs/>
          <w:sz w:val="44"/>
          <w:szCs w:val="44"/>
          <w:lang w:val="en-US" w:eastAsia="zh-CN"/>
        </w:rPr>
        <w:t>4</w:t>
      </w:r>
      <w:r>
        <w:rPr>
          <w:rFonts w:hint="default" w:ascii="Times New Roman" w:hAnsi="Times New Roman" w:eastAsia="方正小标宋_GBK" w:cs="Times New Roman"/>
          <w:sz w:val="44"/>
          <w:szCs w:val="44"/>
        </w:rPr>
        <w:t>年度</w:t>
      </w:r>
      <w:r>
        <w:rPr>
          <w:rFonts w:hint="eastAsia" w:ascii="Times New Roman" w:hAnsi="Times New Roman" w:eastAsia="方正小标宋_GBK" w:cs="Times New Roman"/>
          <w:b/>
          <w:bCs/>
          <w:sz w:val="44"/>
          <w:szCs w:val="44"/>
          <w:lang w:val="en-US" w:eastAsia="zh-CN"/>
        </w:rPr>
        <w:t>岳阳市巴陵戏传承研究院</w:t>
      </w:r>
    </w:p>
    <w:p w14:paraId="38353741">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整体支出绩效自评报告</w:t>
      </w:r>
    </w:p>
    <w:p w14:paraId="47EB3C93">
      <w:pPr>
        <w:rPr>
          <w:rFonts w:hint="default" w:ascii="Times New Roman" w:hAnsi="Times New Roman" w:eastAsia="黑体" w:cs="Times New Roman"/>
          <w:sz w:val="32"/>
          <w:szCs w:val="32"/>
        </w:rPr>
      </w:pPr>
    </w:p>
    <w:p w14:paraId="3530C700">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一、部门（单位）基本情况</w:t>
      </w:r>
    </w:p>
    <w:p w14:paraId="0E49CD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岳阳市巴陵戏传承研究院是</w:t>
      </w:r>
      <w:r>
        <w:rPr>
          <w:rFonts w:hint="eastAsia" w:ascii="仿宋" w:hAnsi="仿宋" w:eastAsia="仿宋" w:cs="仿宋"/>
          <w:sz w:val="32"/>
          <w:szCs w:val="32"/>
          <w:lang w:val="en-US" w:eastAsia="zh-CN"/>
        </w:rPr>
        <w:t>根据省委编办《关于反馈岳阳市市直深化事业单位改革试点涉及改科级机构情况表的函》（湘编办函（2021）55号）精神由原来的市巴陵戏传承研究院、市文学艺术研究所整合重新组建的市巴陵戏传承研究院。市巴陵戏传承研究院为文化旅游广电局管理的公益一类事业单位，机构规格为正科级。</w:t>
      </w:r>
    </w:p>
    <w:p w14:paraId="64D341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巴陵戏传承研究院贯彻落实党中央和省委、市委关于国有文艺院团工作的方针政策和决策部署。主要职责是：</w:t>
      </w:r>
    </w:p>
    <w:p w14:paraId="0417C8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承担相关文艺政策宣传、公共服务工作，2.承担我市对外文化艺术交流活动和艺术普及工作，3.承担国家级非物质文化遗产保护项目巴陵戏的挖掘、整理、保护、传承、研究工作；承担岳阳地方文艺形态发掘、整理和研究工作，</w:t>
      </w:r>
    </w:p>
    <w:p w14:paraId="57AEC32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承担巴陵戏、花鼓戏、歌舞、民乐等剧（节）目创作生产演出工作，5.承担全市重点剧（节）目的咨询、论证、辅导、推介工作，6．承担艺术课题的研究和艺术理论成果编辑出版工作，7．承担市直送戏曲进乡村、进社区、进厂矿、进学校等公益性演出工作，8．承担"一元剧场"惠民演出工作，9．完成市文化旅游广电局交办的其他工作任务。我院内设9个机构：综合部、巴陵戏剧室、花鼓戏剧室、歌舞工作室、民乐队、舞美工作室、艺术研究室、宣传普教室、后勤保障部。目前在岗事业编制117名，设院长1名（正科级），副院长4名（副科级），党组织专职副书记（副科级）1名，纪检员（副科级）1名。经费渠道为财政全额补助。</w:t>
      </w:r>
    </w:p>
    <w:p w14:paraId="205DD8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黑体" w:cs="Times New Roman"/>
          <w:sz w:val="32"/>
          <w:szCs w:val="32"/>
        </w:rPr>
      </w:pPr>
      <w:r>
        <w:rPr>
          <w:rFonts w:hint="eastAsia" w:ascii="仿宋" w:hAnsi="仿宋" w:eastAsia="仿宋" w:cs="仿宋"/>
          <w:sz w:val="32"/>
          <w:szCs w:val="32"/>
        </w:rPr>
        <w:t>巴陵戏发展至今已近四百年历史，曾被胡耀邦同志誉为“岳阳三绝”(即岳阳楼、君山岛、巴陵戏)，巴陵戏称谓也是由田汉、梅兰芳先生确定，是全国独一无二的地方大戏剧种，被文化部冠以“天下第一团”称号，因其深厚的文化底蕴、历史价值和艺术价值，2006 年被国务院列为首批国家级非物质文化遗产保护项目</w:t>
      </w:r>
      <w:r>
        <w:rPr>
          <w:rFonts w:hint="eastAsia" w:ascii="仿宋" w:hAnsi="仿宋" w:eastAsia="仿宋" w:cs="仿宋"/>
          <w:sz w:val="32"/>
          <w:szCs w:val="32"/>
          <w:lang w:eastAsia="zh-CN"/>
        </w:rPr>
        <w:t>。</w:t>
      </w:r>
    </w:p>
    <w:p w14:paraId="63D641F1">
      <w:pPr>
        <w:pStyle w:val="7"/>
        <w:widowControl/>
        <w:spacing w:line="600" w:lineRule="exact"/>
        <w:ind w:firstLine="64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14:paraId="0C727C99">
      <w:pPr>
        <w:pStyle w:val="7"/>
        <w:widowControl/>
        <w:spacing w:line="600" w:lineRule="exact"/>
        <w:ind w:firstLine="643"/>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（一）基本支出情况</w:t>
      </w:r>
    </w:p>
    <w:p w14:paraId="287EEB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年本单位</w:t>
      </w:r>
      <w:r>
        <w:rPr>
          <w:rFonts w:hint="eastAsia" w:ascii="仿宋" w:hAnsi="仿宋" w:eastAsia="仿宋" w:cs="仿宋"/>
          <w:sz w:val="32"/>
          <w:szCs w:val="32"/>
          <w:lang w:val="en-US" w:eastAsia="zh-CN"/>
        </w:rPr>
        <w:t>全年支出3151.63万元。</w:t>
      </w:r>
    </w:p>
    <w:p w14:paraId="1A4E18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楷体_GB2312" w:cs="Times New Roman"/>
          <w:b/>
          <w:sz w:val="32"/>
          <w:szCs w:val="32"/>
        </w:rPr>
      </w:pPr>
      <w:r>
        <w:rPr>
          <w:rFonts w:hint="eastAsia" w:ascii="仿宋" w:hAnsi="仿宋" w:eastAsia="仿宋" w:cs="仿宋"/>
          <w:sz w:val="32"/>
          <w:szCs w:val="32"/>
          <w:lang w:val="en-US" w:eastAsia="zh-CN"/>
        </w:rPr>
        <w:t>基本</w:t>
      </w:r>
      <w:r>
        <w:rPr>
          <w:rFonts w:hint="eastAsia" w:ascii="仿宋" w:hAnsi="仿宋" w:eastAsia="仿宋" w:cs="仿宋"/>
          <w:sz w:val="32"/>
          <w:szCs w:val="32"/>
        </w:rPr>
        <w:t>支出</w:t>
      </w:r>
      <w:r>
        <w:rPr>
          <w:rFonts w:hint="eastAsia" w:ascii="仿宋" w:hAnsi="仿宋" w:eastAsia="仿宋" w:cs="仿宋"/>
          <w:sz w:val="32"/>
          <w:szCs w:val="32"/>
          <w:lang w:val="en-US" w:eastAsia="zh-CN"/>
        </w:rPr>
        <w:t>2412.39万元，基本支出：人员经费2172.65万元，公用经费239.74万元，</w:t>
      </w:r>
      <w:r>
        <w:rPr>
          <w:rFonts w:hint="eastAsia" w:ascii="仿宋" w:hAnsi="仿宋" w:eastAsia="仿宋" w:cs="仿宋"/>
          <w:sz w:val="32"/>
          <w:szCs w:val="32"/>
        </w:rPr>
        <w:t>主要用于保障机关正常运转所需开支的办公费、差旅费、招待费、会议费、公务用车运行维护费、物业管理费等。</w:t>
      </w:r>
    </w:p>
    <w:p w14:paraId="526478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项目支出739.24万元，其中：基本建设类项目0万元</w:t>
      </w:r>
      <w:r>
        <w:rPr>
          <w:rFonts w:hint="eastAsia" w:ascii="仿宋" w:hAnsi="仿宋" w:eastAsia="仿宋" w:cs="仿宋"/>
          <w:sz w:val="32"/>
          <w:szCs w:val="32"/>
          <w:lang w:eastAsia="zh-CN"/>
        </w:rPr>
        <w:t>。</w:t>
      </w:r>
    </w:p>
    <w:p w14:paraId="56D09B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 w:cs="Times New Roman"/>
          <w:b/>
          <w:sz w:val="32"/>
          <w:szCs w:val="32"/>
          <w:lang w:eastAsia="zh-CN"/>
        </w:rPr>
      </w:pPr>
      <w:r>
        <w:rPr>
          <w:rFonts w:hint="eastAsia" w:ascii="仿宋" w:hAnsi="仿宋" w:eastAsia="仿宋" w:cs="仿宋"/>
          <w:sz w:val="32"/>
          <w:szCs w:val="32"/>
          <w:lang w:val="en-US" w:eastAsia="zh-CN"/>
        </w:rPr>
        <w:t>工资福利支出1858.97万元，商品和服务支出719.58万元，对个人和家庭的补助313.67万元</w:t>
      </w:r>
      <w:r>
        <w:rPr>
          <w:rFonts w:hint="eastAsia" w:ascii="仿宋" w:hAnsi="仿宋" w:eastAsia="仿宋" w:cs="仿宋"/>
          <w:sz w:val="32"/>
          <w:szCs w:val="32"/>
        </w:rPr>
        <w:t>。主要用于发放行政人员、事业人员、工勤人员以及临时工工资及津补贴；支付机关离退休员工的工资及津补贴、抚恤金、丧葬费、生活补助等</w:t>
      </w:r>
      <w:r>
        <w:rPr>
          <w:rFonts w:hint="eastAsia" w:ascii="仿宋" w:hAnsi="仿宋" w:eastAsia="仿宋" w:cs="仿宋"/>
          <w:sz w:val="32"/>
          <w:szCs w:val="32"/>
          <w:lang w:eastAsia="zh-CN"/>
        </w:rPr>
        <w:t>。</w:t>
      </w:r>
    </w:p>
    <w:p w14:paraId="2A1A5BDB">
      <w:pPr>
        <w:pStyle w:val="7"/>
        <w:widowControl/>
        <w:spacing w:line="600" w:lineRule="exact"/>
        <w:ind w:firstLine="643"/>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（二）项目支出情况</w:t>
      </w:r>
    </w:p>
    <w:p w14:paraId="6A943550">
      <w:pPr>
        <w:spacing w:line="240" w:lineRule="auto"/>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（1）、2024年中央补助地方公共文化服务体系建设专项资金（濒危剧种免费或低票价演出）项目拨付经费55万。</w:t>
      </w:r>
    </w:p>
    <w:p w14:paraId="60C3E8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专项经费下达后，我院严格按照中央和省、市财政要求，规范、合理使用专项资金，无违规或挪用专项资金的做法。</w:t>
      </w:r>
      <w:r>
        <w:rPr>
          <w:rFonts w:hint="eastAsia" w:ascii="仿宋" w:hAnsi="仿宋" w:eastAsia="仿宋" w:cs="仿宋"/>
          <w:sz w:val="32"/>
          <w:szCs w:val="32"/>
          <w:lang w:val="en-US" w:eastAsia="zh-CN"/>
        </w:rPr>
        <w:t>2024年，顺利完成濒危剧种各项演出90场，开展青年演员培训抵扣20场，合计110场。</w:t>
      </w:r>
      <w:r>
        <w:rPr>
          <w:rFonts w:hint="eastAsia" w:ascii="仿宋" w:hAnsi="仿宋" w:eastAsia="仿宋" w:cs="仿宋"/>
          <w:sz w:val="32"/>
          <w:szCs w:val="32"/>
        </w:rPr>
        <w:t>共支出</w:t>
      </w:r>
      <w:r>
        <w:rPr>
          <w:rFonts w:hint="eastAsia" w:ascii="仿宋" w:hAnsi="仿宋" w:eastAsia="仿宋" w:cs="仿宋"/>
          <w:sz w:val="32"/>
          <w:szCs w:val="32"/>
          <w:lang w:val="en-US" w:eastAsia="zh-CN"/>
        </w:rPr>
        <w:t>55</w:t>
      </w:r>
      <w:r>
        <w:rPr>
          <w:rFonts w:hint="eastAsia" w:ascii="仿宋" w:hAnsi="仿宋" w:eastAsia="仿宋" w:cs="仿宋"/>
          <w:sz w:val="32"/>
          <w:szCs w:val="32"/>
        </w:rPr>
        <w:t>万元。</w:t>
      </w:r>
    </w:p>
    <w:p w14:paraId="08416A9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（2）、2023年旅游文化演艺活动项目（岳阳楼记）拨付经费100万元。</w:t>
      </w:r>
    </w:p>
    <w:p w14:paraId="0AB443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大型歌舞巴陵戏（岳阳楼记）为文旅提质营销演艺活动，已于2024年完成经费使用。</w:t>
      </w:r>
    </w:p>
    <w:p w14:paraId="2F146E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（3）小型舞台精品艺术创作（专业口）2023年拨付经费15万元。</w:t>
      </w:r>
    </w:p>
    <w:p w14:paraId="5D0B12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小戏《穿越时空的重逢》为湖南省第八届艺术节参赛剧目，剧本打磨提质，已于2024年完成经费使用。</w:t>
      </w:r>
    </w:p>
    <w:p w14:paraId="65C71A8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sz w:val="32"/>
          <w:szCs w:val="32"/>
          <w:lang w:val="en-US" w:eastAsia="zh-CN"/>
        </w:rPr>
        <w:t>（4）家艺术基金大型新编历史巴陵戏《共饮一江水》（专业口）拨付经费60万元（其他资金），已完成60万元。</w:t>
      </w:r>
    </w:p>
    <w:p w14:paraId="44FC16EB">
      <w:pPr>
        <w:rPr>
          <w:rFonts w:hint="eastAsia"/>
          <w:lang w:val="en-US" w:eastAsia="zh-CN"/>
        </w:rPr>
      </w:pPr>
    </w:p>
    <w:p w14:paraId="4D8F0BEE">
      <w:pPr>
        <w:pStyle w:val="7"/>
        <w:widowControl/>
        <w:spacing w:line="600" w:lineRule="exact"/>
        <w:ind w:left="0" w:leftChars="0"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三、政府性基金预算支出情况</w:t>
      </w:r>
    </w:p>
    <w:p w14:paraId="1099BD78">
      <w:pPr>
        <w:pStyle w:val="7"/>
        <w:widowControl/>
        <w:spacing w:line="600" w:lineRule="exact"/>
        <w:ind w:firstLine="64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2024年政府性基金支出117.56万元。</w:t>
      </w:r>
    </w:p>
    <w:p w14:paraId="3BA6CD5E">
      <w:pPr>
        <w:pStyle w:val="7"/>
        <w:widowControl/>
        <w:spacing w:line="600" w:lineRule="exact"/>
        <w:ind w:firstLine="64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四、国有资本经营预算支出情况</w:t>
      </w:r>
    </w:p>
    <w:p w14:paraId="43B6A47B">
      <w:pPr>
        <w:pStyle w:val="7"/>
        <w:widowControl/>
        <w:spacing w:line="600" w:lineRule="exact"/>
        <w:ind w:firstLine="640"/>
        <w:jc w:val="left"/>
        <w:rPr>
          <w:rFonts w:hint="default" w:ascii="Times New Roman" w:hAnsi="Times New Roman" w:eastAsia="黑体" w:cs="Times New Roman"/>
          <w:sz w:val="32"/>
          <w:szCs w:val="32"/>
          <w:lang w:val="en-US" w:eastAsia="zh-CN"/>
        </w:rPr>
      </w:pPr>
      <w:r>
        <w:rPr>
          <w:rFonts w:hint="eastAsia" w:ascii="仿宋" w:hAnsi="仿宋" w:eastAsia="仿宋" w:cs="仿宋"/>
          <w:sz w:val="32"/>
          <w:szCs w:val="32"/>
          <w:lang w:val="en-US" w:eastAsia="zh-CN"/>
        </w:rPr>
        <w:t>2024年度我院无国有资本经营预算支出情况。</w:t>
      </w:r>
    </w:p>
    <w:p w14:paraId="73B83D6C">
      <w:pPr>
        <w:pStyle w:val="7"/>
        <w:widowControl/>
        <w:spacing w:line="600" w:lineRule="exact"/>
        <w:ind w:firstLine="64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五、社会保险基金预算支出情况</w:t>
      </w:r>
    </w:p>
    <w:p w14:paraId="339E69E6">
      <w:pPr>
        <w:pStyle w:val="7"/>
        <w:widowControl/>
        <w:spacing w:line="600" w:lineRule="exact"/>
        <w:ind w:firstLine="640"/>
        <w:jc w:val="left"/>
        <w:rPr>
          <w:rFonts w:hint="default" w:ascii="Times New Roman" w:hAnsi="Times New Roman" w:eastAsia="黑体" w:cs="Times New Roman"/>
          <w:sz w:val="32"/>
          <w:szCs w:val="32"/>
        </w:rPr>
      </w:pPr>
      <w:r>
        <w:rPr>
          <w:rFonts w:hint="eastAsia" w:ascii="仿宋" w:hAnsi="仿宋" w:eastAsia="仿宋" w:cs="仿宋"/>
          <w:sz w:val="32"/>
          <w:szCs w:val="32"/>
          <w:lang w:val="en-US" w:eastAsia="zh-CN"/>
        </w:rPr>
        <w:t>2024年度我院无社会保险基金预算支出情况。</w:t>
      </w:r>
      <w:bookmarkStart w:id="1" w:name="_GoBack"/>
      <w:bookmarkEnd w:id="1"/>
    </w:p>
    <w:p w14:paraId="7AE1B849">
      <w:pPr>
        <w:widowControl/>
        <w:spacing w:line="600" w:lineRule="exact"/>
        <w:ind w:firstLine="645"/>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14:paraId="3B5CF3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我院的项目绩效目标全部完成，总评价为</w:t>
      </w:r>
      <w:r>
        <w:rPr>
          <w:rFonts w:hint="eastAsia" w:ascii="仿宋" w:hAnsi="仿宋" w:eastAsia="仿宋" w:cs="仿宋"/>
          <w:sz w:val="32"/>
          <w:szCs w:val="32"/>
          <w:lang w:val="en-US" w:eastAsia="zh-CN"/>
        </w:rPr>
        <w:t>优</w:t>
      </w:r>
      <w:r>
        <w:rPr>
          <w:rFonts w:hint="eastAsia" w:ascii="仿宋" w:hAnsi="仿宋" w:eastAsia="仿宋" w:cs="仿宋"/>
          <w:sz w:val="32"/>
          <w:szCs w:val="32"/>
        </w:rPr>
        <w:t>。具体如下:</w:t>
      </w:r>
    </w:p>
    <w:p w14:paraId="62D7BE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楷体" w:hAnsi="楷体" w:eastAsia="楷体" w:cs="楷体"/>
          <w:sz w:val="32"/>
          <w:szCs w:val="32"/>
        </w:rPr>
        <w:t>1、经济性。</w:t>
      </w:r>
      <w:r>
        <w:rPr>
          <w:rFonts w:hint="eastAsia" w:ascii="仿宋" w:hAnsi="仿宋" w:eastAsia="仿宋" w:cs="仿宋"/>
          <w:sz w:val="32"/>
          <w:szCs w:val="32"/>
        </w:rPr>
        <w:t>项目在实施过程中，严格控制经费支出实际总支出未超出预算。</w:t>
      </w:r>
    </w:p>
    <w:p w14:paraId="2E1EFD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2、安全性。</w:t>
      </w:r>
      <w:r>
        <w:rPr>
          <w:rFonts w:hint="eastAsia" w:ascii="仿宋" w:hAnsi="仿宋" w:eastAsia="仿宋" w:cs="仿宋"/>
          <w:i w:val="0"/>
          <w:iCs w:val="0"/>
          <w:caps w:val="0"/>
          <w:color w:val="4A4A4A"/>
          <w:spacing w:val="0"/>
          <w:sz w:val="32"/>
          <w:szCs w:val="32"/>
          <w:shd w:val="clear" w:fill="FFFFFF"/>
        </w:rPr>
        <w:t>不断规范单位用款行为</w:t>
      </w:r>
      <w:r>
        <w:rPr>
          <w:rFonts w:hint="eastAsia" w:ascii="仿宋" w:hAnsi="仿宋" w:eastAsia="仿宋" w:cs="仿宋"/>
          <w:i w:val="0"/>
          <w:iCs w:val="0"/>
          <w:caps w:val="0"/>
          <w:color w:val="4A4A4A"/>
          <w:spacing w:val="0"/>
          <w:sz w:val="32"/>
          <w:szCs w:val="32"/>
          <w:shd w:val="clear" w:fill="FFFFFF"/>
          <w:lang w:eastAsia="zh-CN"/>
        </w:rPr>
        <w:t>，</w:t>
      </w:r>
      <w:r>
        <w:rPr>
          <w:rFonts w:hint="eastAsia" w:ascii="仿宋" w:hAnsi="仿宋" w:eastAsia="仿宋" w:cs="仿宋"/>
          <w:i w:val="0"/>
          <w:iCs w:val="0"/>
          <w:caps w:val="0"/>
          <w:color w:val="4A4A4A"/>
          <w:spacing w:val="0"/>
          <w:sz w:val="32"/>
          <w:szCs w:val="32"/>
          <w:shd w:val="clear" w:fill="FFFFFF"/>
        </w:rPr>
        <w:t>全面推进内控建设，“源头治腐”防线已经构建。</w:t>
      </w:r>
      <w:r>
        <w:rPr>
          <w:rFonts w:hint="eastAsia" w:ascii="仿宋" w:hAnsi="仿宋" w:eastAsia="仿宋" w:cs="仿宋"/>
          <w:i w:val="0"/>
          <w:iCs w:val="0"/>
          <w:caps w:val="0"/>
          <w:color w:val="4A4A4A"/>
          <w:spacing w:val="0"/>
          <w:sz w:val="32"/>
          <w:szCs w:val="32"/>
          <w:shd w:val="clear" w:fill="FFFFFF"/>
          <w:lang w:val="en-US" w:eastAsia="zh-CN"/>
        </w:rPr>
        <w:t>项目</w:t>
      </w:r>
      <w:r>
        <w:rPr>
          <w:rFonts w:hint="eastAsia" w:ascii="仿宋" w:hAnsi="仿宋" w:eastAsia="仿宋" w:cs="仿宋"/>
          <w:i w:val="0"/>
          <w:iCs w:val="0"/>
          <w:caps w:val="0"/>
          <w:color w:val="4A4A4A"/>
          <w:spacing w:val="0"/>
          <w:sz w:val="32"/>
          <w:szCs w:val="32"/>
          <w:shd w:val="clear" w:fill="FFFFFF"/>
        </w:rPr>
        <w:t>开展政府采购全流程电子化交易工作</w:t>
      </w:r>
      <w:r>
        <w:rPr>
          <w:rFonts w:hint="eastAsia" w:ascii="仿宋" w:hAnsi="仿宋" w:eastAsia="仿宋" w:cs="仿宋"/>
          <w:i w:val="0"/>
          <w:iCs w:val="0"/>
          <w:caps w:val="0"/>
          <w:color w:val="4A4A4A"/>
          <w:spacing w:val="0"/>
          <w:sz w:val="32"/>
          <w:szCs w:val="32"/>
          <w:shd w:val="clear" w:fill="FFFFFF"/>
          <w:lang w:eastAsia="zh-CN"/>
        </w:rPr>
        <w:t>，</w:t>
      </w:r>
      <w:r>
        <w:rPr>
          <w:rFonts w:hint="eastAsia" w:ascii="仿宋" w:hAnsi="仿宋" w:eastAsia="仿宋" w:cs="仿宋"/>
          <w:i w:val="0"/>
          <w:iCs w:val="0"/>
          <w:caps w:val="0"/>
          <w:color w:val="4A4A4A"/>
          <w:spacing w:val="0"/>
          <w:sz w:val="32"/>
          <w:szCs w:val="32"/>
          <w:shd w:val="clear" w:fill="FFFFFF"/>
        </w:rPr>
        <w:t>严格“三公”经费管理，规范购买服务行为，有效节约预算资金。从严抓实，强化财</w:t>
      </w:r>
      <w:r>
        <w:rPr>
          <w:rFonts w:hint="eastAsia" w:ascii="仿宋" w:hAnsi="仿宋" w:eastAsia="仿宋" w:cs="仿宋"/>
          <w:i w:val="0"/>
          <w:iCs w:val="0"/>
          <w:caps w:val="0"/>
          <w:color w:val="4A4A4A"/>
          <w:spacing w:val="0"/>
          <w:sz w:val="32"/>
          <w:szCs w:val="32"/>
          <w:shd w:val="clear" w:fill="FFFFFF"/>
          <w:lang w:val="en-US" w:eastAsia="zh-CN"/>
        </w:rPr>
        <w:t>务</w:t>
      </w:r>
      <w:r>
        <w:rPr>
          <w:rFonts w:hint="eastAsia" w:ascii="仿宋" w:hAnsi="仿宋" w:eastAsia="仿宋" w:cs="仿宋"/>
          <w:i w:val="0"/>
          <w:iCs w:val="0"/>
          <w:caps w:val="0"/>
          <w:color w:val="4A4A4A"/>
          <w:spacing w:val="0"/>
          <w:sz w:val="32"/>
          <w:szCs w:val="32"/>
          <w:shd w:val="clear" w:fill="FFFFFF"/>
        </w:rPr>
        <w:t>监督。</w:t>
      </w:r>
    </w:p>
    <w:p w14:paraId="0B8C42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3</w:t>
      </w:r>
      <w:r>
        <w:rPr>
          <w:rFonts w:hint="eastAsia" w:ascii="楷体" w:hAnsi="楷体" w:eastAsia="楷体" w:cs="楷体"/>
          <w:sz w:val="32"/>
          <w:szCs w:val="32"/>
        </w:rPr>
        <w:t>、效率性。</w:t>
      </w:r>
      <w:r>
        <w:rPr>
          <w:rFonts w:hint="eastAsia" w:ascii="仿宋" w:hAnsi="仿宋" w:eastAsia="仿宋" w:cs="仿宋"/>
          <w:kern w:val="2"/>
          <w:sz w:val="32"/>
          <w:szCs w:val="32"/>
          <w:lang w:val="en-US" w:eastAsia="zh-CN" w:bidi="ar-SA"/>
        </w:rPr>
        <w:t>2</w:t>
      </w:r>
      <w:r>
        <w:rPr>
          <w:rFonts w:hint="eastAsia" w:ascii="仿宋" w:hAnsi="仿宋" w:eastAsia="仿宋" w:cs="仿宋"/>
          <w:sz w:val="32"/>
          <w:szCs w:val="32"/>
          <w:lang w:val="en-US" w:eastAsia="zh-CN"/>
        </w:rPr>
        <w:t>024年，我院除高效完成常态化工作及上级布置的中心工作外，全年核心工作均围绕第八届湖南艺术节开展。</w:t>
      </w:r>
    </w:p>
    <w:p w14:paraId="27A51B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一是全力以赴进行</w:t>
      </w:r>
      <w:r>
        <w:rPr>
          <w:rFonts w:hint="eastAsia" w:ascii="仿宋" w:hAnsi="仿宋" w:eastAsia="仿宋" w:cs="仿宋"/>
          <w:sz w:val="32"/>
          <w:szCs w:val="32"/>
          <w:lang w:val="en-US" w:eastAsia="zh-CN"/>
        </w:rPr>
        <w:t>新编大型现代巴陵戏《共饮一江水》排练演出，我院主创团队听取多方意见，不断打磨提升，为观众呈现了一部“思想精深、艺术精湛、制作精良”的优秀作品。</w:t>
      </w:r>
      <w:r>
        <w:rPr>
          <w:rFonts w:hint="eastAsia" w:ascii="仿宋" w:hAnsi="仿宋" w:eastAsia="仿宋" w:cs="仿宋"/>
          <w:sz w:val="32"/>
          <w:szCs w:val="32"/>
          <w:lang w:val="en-US" w:eastAsia="zh-CN"/>
        </w:rPr>
        <w:t>在</w:t>
      </w:r>
      <w:r>
        <w:rPr>
          <w:rFonts w:hint="eastAsia" w:ascii="仿宋" w:hAnsi="仿宋" w:eastAsia="仿宋" w:cs="仿宋"/>
          <w:sz w:val="32"/>
          <w:szCs w:val="32"/>
        </w:rPr>
        <w:t>4月25日习近平总书记视察岳阳并提出“守护好一江碧水”殷殷嘱托六周年岳阳4·25系列活动</w:t>
      </w:r>
      <w:r>
        <w:rPr>
          <w:rFonts w:hint="eastAsia" w:ascii="仿宋" w:hAnsi="仿宋" w:eastAsia="仿宋" w:cs="仿宋"/>
          <w:sz w:val="32"/>
          <w:szCs w:val="32"/>
          <w:lang w:val="en-US" w:eastAsia="zh-CN"/>
        </w:rPr>
        <w:t>中</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共饮一江水</w:t>
      </w:r>
      <w:r>
        <w:rPr>
          <w:rFonts w:hint="eastAsia" w:ascii="仿宋" w:hAnsi="仿宋" w:eastAsia="仿宋" w:cs="仿宋"/>
          <w:sz w:val="32"/>
          <w:szCs w:val="32"/>
          <w:lang w:eastAsia="zh-CN"/>
        </w:rPr>
        <w:t>》</w:t>
      </w:r>
      <w:r>
        <w:rPr>
          <w:rFonts w:hint="eastAsia" w:ascii="仿宋" w:hAnsi="仿宋" w:eastAsia="仿宋" w:cs="仿宋"/>
          <w:sz w:val="32"/>
          <w:szCs w:val="32"/>
        </w:rPr>
        <w:t>为期三天的专场演出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获得</w:t>
      </w:r>
      <w:r>
        <w:rPr>
          <w:rFonts w:hint="eastAsia" w:ascii="仿宋" w:hAnsi="仿宋" w:eastAsia="仿宋" w:cs="仿宋"/>
          <w:sz w:val="32"/>
          <w:szCs w:val="32"/>
        </w:rPr>
        <w:t>好评如潮，取得了良好的社会效益。</w:t>
      </w:r>
      <w:r>
        <w:rPr>
          <w:rFonts w:hint="eastAsia" w:ascii="仿宋" w:hAnsi="仿宋" w:eastAsia="仿宋" w:cs="仿宋"/>
          <w:sz w:val="32"/>
          <w:szCs w:val="32"/>
          <w:lang w:val="en-US" w:eastAsia="zh-CN"/>
        </w:rPr>
        <w:t>11月参加第八届湖南艺术节新创大型舞台剧目展演，</w:t>
      </w:r>
      <w:r>
        <w:rPr>
          <w:rFonts w:hint="eastAsia" w:ascii="仿宋" w:hAnsi="仿宋" w:eastAsia="仿宋" w:cs="仿宋"/>
          <w:sz w:val="32"/>
          <w:szCs w:val="32"/>
          <w:lang w:val="en-US" w:eastAsia="zh-CN"/>
        </w:rPr>
        <w:t>《共饮一江水》荣获“田汉新剧目奖”。编剧曹雨获“田汉编剧奖”，演员李政红、方帆获“田汉表演奖”。</w:t>
      </w:r>
    </w:p>
    <w:p w14:paraId="1868BD9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是我院创排了讲述两位抗美援朝战争老兵数十年后超越时空重逢，讴歌英雄赞美英雄满溢正能量的新编小型现代巴陵戏《超越时空的重逢》，编织生动感人的历史画面，为观众呈现既真实又超越现实的红色主题舞台空间。10月参加第八届湖南艺术节新创小戏小品展演，《超越时空的重逢》荣获“田汉小剧目奖”。</w:t>
      </w:r>
    </w:p>
    <w:p w14:paraId="6348DA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是我院编创的情景表演唱《岳州印记》巧妙融入巴陵戏唱腔，词美韵足，不仅展示岳阳的精神气质，更提升城市的知名度美誉度。4月，由洞庭风情文化发展有限公司表演的《岳州印记》荣获2024年全国社区春晚“优秀节目奖”，7月，</w:t>
      </w:r>
      <w:r>
        <w:rPr>
          <w:rFonts w:hint="eastAsia" w:ascii="仿宋" w:hAnsi="仿宋" w:eastAsia="仿宋" w:cs="仿宋"/>
          <w:sz w:val="32"/>
          <w:szCs w:val="32"/>
          <w:lang w:val="en-US" w:eastAsia="zh-CN"/>
        </w:rPr>
        <w:t>《岳州印记》荣获“湘”约现代化新时代新湖南新形象系列歌曲创作推广工程“十佳优秀歌曲奖”、“十佳听众最喜爱歌曲奖”，9月参加</w:t>
      </w:r>
      <w:r>
        <w:rPr>
          <w:rFonts w:hint="eastAsia" w:ascii="仿宋" w:hAnsi="仿宋" w:eastAsia="仿宋" w:cs="仿宋"/>
          <w:sz w:val="32"/>
          <w:szCs w:val="32"/>
          <w:lang w:val="en-US" w:eastAsia="zh-CN"/>
        </w:rPr>
        <w:t>第八届湖南艺术节音乐类决赛，《岳州印记》荣获“三湘群星奖”最佳作品奖。</w:t>
      </w:r>
    </w:p>
    <w:p w14:paraId="5396EB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四是“岳阳楼日”巴陵戏《岳阳楼记》全国首演</w:t>
      </w:r>
    </w:p>
    <w:p w14:paraId="00D264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为深入贯彻习近平文化思想，积极践行"两个融合"命题，我院创作生产了文化与旅游融合，文化与科技融合的新国风环境式巴陵戏《岳阳楼记》，于《岳阳楼记》诞生978周年“岳阳楼日”10月17日全国首演，</w:t>
      </w:r>
      <w:r>
        <w:rPr>
          <w:rFonts w:hint="eastAsia" w:ascii="仿宋" w:hAnsi="仿宋" w:eastAsia="仿宋" w:cs="仿宋"/>
          <w:sz w:val="32"/>
          <w:szCs w:val="32"/>
          <w:lang w:val="en-US" w:eastAsia="zh-CN"/>
        </w:rPr>
        <w:t>通过新国风环境式的舞台表现，将岳阳楼、洞庭湖和巴陵戏三大文化元素融合，让观众获得沉浸式的文化体验，为岳阳的文化旅游发展注入了新的活力。</w:t>
      </w:r>
    </w:p>
    <w:p w14:paraId="2B076D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五是复排经典剧目</w:t>
      </w:r>
    </w:p>
    <w:p w14:paraId="1ED069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我院</w:t>
      </w:r>
      <w:r>
        <w:rPr>
          <w:rFonts w:hint="eastAsia" w:ascii="仿宋" w:hAnsi="仿宋" w:eastAsia="仿宋" w:cs="仿宋"/>
          <w:sz w:val="32"/>
          <w:szCs w:val="32"/>
        </w:rPr>
        <w:t>复排</w:t>
      </w:r>
      <w:r>
        <w:rPr>
          <w:rFonts w:hint="eastAsia" w:ascii="仿宋" w:hAnsi="仿宋" w:eastAsia="仿宋" w:cs="仿宋"/>
          <w:sz w:val="32"/>
          <w:szCs w:val="32"/>
          <w:lang w:val="en-US" w:eastAsia="zh-CN"/>
        </w:rPr>
        <w:t>了巴陵戏</w:t>
      </w:r>
      <w:r>
        <w:rPr>
          <w:rFonts w:hint="eastAsia" w:ascii="仿宋" w:hAnsi="仿宋" w:eastAsia="仿宋" w:cs="仿宋"/>
          <w:sz w:val="32"/>
          <w:szCs w:val="32"/>
        </w:rPr>
        <w:t>《</w:t>
      </w:r>
      <w:r>
        <w:rPr>
          <w:rFonts w:hint="eastAsia" w:ascii="仿宋" w:hAnsi="仿宋" w:eastAsia="仿宋" w:cs="仿宋"/>
          <w:sz w:val="32"/>
          <w:szCs w:val="32"/>
          <w:lang w:val="en-US" w:eastAsia="zh-CN"/>
        </w:rPr>
        <w:t>穆桂英</w:t>
      </w:r>
      <w:r>
        <w:rPr>
          <w:rFonts w:hint="eastAsia" w:ascii="仿宋" w:hAnsi="仿宋" w:eastAsia="仿宋" w:cs="仿宋"/>
          <w:sz w:val="32"/>
          <w:szCs w:val="32"/>
        </w:rPr>
        <w:t>大破天门阵》</w:t>
      </w:r>
      <w:r>
        <w:rPr>
          <w:rFonts w:hint="eastAsia" w:ascii="仿宋" w:hAnsi="仿宋" w:eastAsia="仿宋" w:cs="仿宋"/>
          <w:sz w:val="32"/>
          <w:szCs w:val="32"/>
          <w:lang w:val="en-US" w:eastAsia="zh-CN"/>
        </w:rPr>
        <w:t>和花鼓戏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朱买臣卖柴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两部传统经典剧目</w:t>
      </w:r>
      <w:r>
        <w:rPr>
          <w:rFonts w:hint="eastAsia" w:ascii="仿宋" w:hAnsi="仿宋" w:eastAsia="仿宋" w:cs="仿宋"/>
          <w:sz w:val="32"/>
          <w:szCs w:val="32"/>
          <w:lang w:eastAsia="zh-CN"/>
        </w:rPr>
        <w:t>。</w:t>
      </w:r>
    </w:p>
    <w:p w14:paraId="571FFD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六是2024年，我院参加全国社区春晚、四季“村晚”等各类演出活动百余场，精心创排戏曲、歌舞节目32个，给演出活动增添了靓丽的风采，也为我院今后争取各级部门，各个团体的支持赢得了口碑。</w:t>
      </w:r>
    </w:p>
    <w:p w14:paraId="4F3F84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2024年，我院开展“进基层、进社区、进校园、进景区”文化惠民系列公益性演出</w:t>
      </w:r>
      <w:r>
        <w:rPr>
          <w:rFonts w:hint="eastAsia" w:ascii="仿宋" w:hAnsi="仿宋" w:eastAsia="仿宋" w:cs="仿宋"/>
          <w:sz w:val="32"/>
          <w:szCs w:val="32"/>
        </w:rPr>
        <w:t>活动</w:t>
      </w:r>
      <w:r>
        <w:rPr>
          <w:rFonts w:hint="eastAsia" w:ascii="仿宋" w:hAnsi="仿宋" w:eastAsia="仿宋" w:cs="仿宋"/>
          <w:sz w:val="32"/>
          <w:szCs w:val="32"/>
          <w:lang w:val="en-US" w:eastAsia="zh-CN"/>
        </w:rPr>
        <w:t>100</w:t>
      </w:r>
      <w:r>
        <w:rPr>
          <w:rFonts w:hint="eastAsia" w:ascii="仿宋" w:hAnsi="仿宋" w:eastAsia="仿宋" w:cs="仿宋"/>
          <w:sz w:val="32"/>
          <w:szCs w:val="32"/>
          <w:lang w:val="en-US" w:eastAsia="zh-CN"/>
        </w:rPr>
        <w:t>场，服务人民群众6万余人。巴陵戏消防宣传服务队，积极宣传消防安全知识。“强国复兴有我”专场文艺展演，深入</w:t>
      </w:r>
      <w:r>
        <w:rPr>
          <w:rFonts w:hint="eastAsia" w:ascii="仿宋" w:hAnsi="仿宋" w:eastAsia="仿宋" w:cs="仿宋"/>
          <w:sz w:val="32"/>
          <w:szCs w:val="32"/>
        </w:rPr>
        <w:t>宣传爱国主义教育，弘扬社会主义核心价值观。</w:t>
      </w:r>
      <w:r>
        <w:rPr>
          <w:rFonts w:hint="eastAsia" w:ascii="仿宋" w:hAnsi="仿宋" w:eastAsia="仿宋" w:cs="仿宋"/>
          <w:sz w:val="32"/>
          <w:szCs w:val="32"/>
          <w:lang w:val="en-US" w:eastAsia="zh-CN"/>
        </w:rPr>
        <w:t>坚持文艺惠民，打造非遗文化传播阵地。</w:t>
      </w:r>
    </w:p>
    <w:p w14:paraId="1367AA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还通过“院校联合”，我院</w:t>
      </w:r>
      <w:r>
        <w:rPr>
          <w:rFonts w:hint="eastAsia" w:ascii="仿宋" w:hAnsi="仿宋" w:eastAsia="仿宋" w:cs="仿宋"/>
          <w:sz w:val="32"/>
          <w:szCs w:val="32"/>
        </w:rPr>
        <w:t>以巴陵戏展演、技艺展示、专题讲座为载体，指导</w:t>
      </w:r>
      <w:r>
        <w:rPr>
          <w:rFonts w:hint="eastAsia" w:ascii="仿宋" w:hAnsi="仿宋" w:eastAsia="仿宋" w:cs="仿宋"/>
          <w:sz w:val="32"/>
          <w:szCs w:val="32"/>
          <w:lang w:val="en-US" w:eastAsia="zh-CN"/>
        </w:rPr>
        <w:t>各中小学</w:t>
      </w:r>
      <w:r>
        <w:rPr>
          <w:rFonts w:hint="eastAsia" w:ascii="仿宋" w:hAnsi="仿宋" w:eastAsia="仿宋" w:cs="仿宋"/>
          <w:sz w:val="32"/>
          <w:szCs w:val="32"/>
        </w:rPr>
        <w:t>打造多种形态的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巴陵戏普及教育基地</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我院精心编创的少儿巴陵戏《日出东方》</w:t>
      </w:r>
      <w:r>
        <w:rPr>
          <w:rFonts w:hint="eastAsia" w:ascii="仿宋" w:hAnsi="仿宋" w:eastAsia="仿宋" w:cs="仿宋"/>
          <w:sz w:val="32"/>
          <w:szCs w:val="32"/>
        </w:rPr>
        <w:t>喜获</w:t>
      </w:r>
      <w:r>
        <w:rPr>
          <w:rFonts w:hint="eastAsia" w:ascii="仿宋" w:hAnsi="仿宋" w:eastAsia="仿宋" w:cs="仿宋"/>
          <w:sz w:val="32"/>
          <w:szCs w:val="32"/>
          <w:lang w:val="en-US" w:eastAsia="zh-CN"/>
        </w:rPr>
        <w:t>2024年湖南省</w:t>
      </w:r>
      <w:r>
        <w:rPr>
          <w:rFonts w:hint="eastAsia" w:ascii="仿宋" w:hAnsi="仿宋" w:eastAsia="仿宋" w:cs="仿宋"/>
          <w:sz w:val="32"/>
          <w:szCs w:val="32"/>
        </w:rPr>
        <w:t>“小小金角”、</w:t>
      </w:r>
      <w:r>
        <w:rPr>
          <w:rFonts w:hint="eastAsia" w:ascii="仿宋" w:hAnsi="仿宋" w:eastAsia="仿宋" w:cs="仿宋"/>
          <w:sz w:val="32"/>
          <w:szCs w:val="32"/>
          <w:lang w:val="en-US" w:eastAsia="zh-CN"/>
        </w:rPr>
        <w:t>湖南省少儿戏曲</w:t>
      </w:r>
      <w:r>
        <w:rPr>
          <w:rFonts w:hint="eastAsia" w:ascii="仿宋" w:hAnsi="仿宋" w:eastAsia="仿宋" w:cs="仿宋"/>
          <w:sz w:val="32"/>
          <w:szCs w:val="32"/>
        </w:rPr>
        <w:t>“小</w:t>
      </w:r>
      <w:r>
        <w:rPr>
          <w:rFonts w:hint="eastAsia" w:ascii="仿宋" w:hAnsi="仿宋" w:eastAsia="仿宋" w:cs="仿宋"/>
          <w:sz w:val="32"/>
          <w:szCs w:val="32"/>
          <w:lang w:val="en-US" w:eastAsia="zh-CN"/>
        </w:rPr>
        <w:t>金</w:t>
      </w:r>
      <w:r>
        <w:rPr>
          <w:rFonts w:hint="eastAsia" w:ascii="仿宋" w:hAnsi="仿宋" w:eastAsia="仿宋" w:cs="仿宋"/>
          <w:sz w:val="32"/>
          <w:szCs w:val="32"/>
        </w:rPr>
        <w:t>花”等多项荣誉，</w:t>
      </w:r>
      <w:r>
        <w:rPr>
          <w:rFonts w:hint="eastAsia" w:ascii="仿宋" w:hAnsi="仿宋" w:eastAsia="仿宋" w:cs="仿宋"/>
          <w:sz w:val="32"/>
          <w:szCs w:val="32"/>
          <w:lang w:val="en-US" w:eastAsia="zh-CN"/>
        </w:rPr>
        <w:t>并于7月参加第28届中国少儿戏曲小梅花荟萃再获佳绩，</w:t>
      </w:r>
      <w:r>
        <w:rPr>
          <w:rFonts w:hint="eastAsia" w:ascii="仿宋" w:hAnsi="仿宋" w:eastAsia="仿宋" w:cs="仿宋"/>
          <w:sz w:val="32"/>
          <w:szCs w:val="32"/>
        </w:rPr>
        <w:t>荣获“小梅花”荣誉称号。</w:t>
      </w:r>
    </w:p>
    <w:p w14:paraId="6C60D6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我院</w:t>
      </w:r>
      <w:r>
        <w:rPr>
          <w:rFonts w:hint="eastAsia" w:ascii="仿宋" w:hAnsi="仿宋" w:eastAsia="仿宋" w:cs="仿宋"/>
          <w:sz w:val="32"/>
          <w:szCs w:val="32"/>
          <w:lang w:val="en-US" w:eastAsia="zh-CN"/>
        </w:rPr>
        <w:t>采取外请专业老师，与工作实践相结合的方式，以创作生产大、小型剧（节）目、复排经典剧目为抓手，外请知名导演，青年演职员担纲重要角色及主鼓、主胡、主岗等、青年舞台技术人员（灯光、舞美）承担主岗，为院团人才梯队建设及良性发展打好基础。</w:t>
      </w:r>
    </w:p>
    <w:p w14:paraId="5E91AAF4">
      <w:pPr>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w:t>
      </w:r>
      <w:r>
        <w:rPr>
          <w:rFonts w:hint="eastAsia" w:ascii="楷体" w:hAnsi="楷体" w:eastAsia="楷体" w:cs="楷体"/>
          <w:sz w:val="32"/>
          <w:szCs w:val="32"/>
        </w:rPr>
        <w:t>、项目效益性。</w:t>
      </w:r>
      <w:r>
        <w:rPr>
          <w:rFonts w:hint="eastAsia" w:ascii="仿宋" w:hAnsi="仿宋" w:eastAsia="仿宋" w:cs="仿宋"/>
          <w:sz w:val="32"/>
          <w:szCs w:val="32"/>
        </w:rPr>
        <w:t>在项目的实施过程中，我院始终秉持传承和发展巴陵戏这一宗旨，以公益演出为抓手，广泛收集传统戏剧目资料并加以规范整理，去除糟粕、保留精华。在保留本剧种声腔、语言、独特表演程式的前提下努力探索创新路子。在传统剧目演出过程中，我院采取的是代表性传承人代表性剧目演出（40%以上）、青年演员学演剧目演出（30%）以及老带新同台演出（30%）轮流上演的方式进行。既充分展示了传统巴陵戏的艺术魅力、代表性传承人的艺术风采，同时也为青年演员提供了较多的舞台实践机会，进而达到了公益惠民、传承普及、培养新人的有效目的。</w:t>
      </w:r>
    </w:p>
    <w:p w14:paraId="76FD0534">
      <w:pPr>
        <w:ind w:firstLine="640" w:firstLineChars="200"/>
        <w:rPr>
          <w:rFonts w:hint="eastAsia" w:ascii="仿宋" w:hAnsi="仿宋" w:eastAsia="仿宋" w:cs="仿宋"/>
          <w:sz w:val="32"/>
          <w:szCs w:val="32"/>
        </w:rPr>
      </w:pPr>
      <w:r>
        <w:rPr>
          <w:rFonts w:hint="eastAsia" w:ascii="楷体" w:hAnsi="楷体" w:eastAsia="楷体" w:cs="楷体"/>
          <w:sz w:val="32"/>
          <w:szCs w:val="32"/>
          <w:lang w:val="en-US" w:eastAsia="zh-CN"/>
        </w:rPr>
        <w:t>5</w:t>
      </w:r>
      <w:r>
        <w:rPr>
          <w:rFonts w:hint="eastAsia" w:ascii="楷体" w:hAnsi="楷体" w:eastAsia="楷体" w:cs="楷体"/>
          <w:sz w:val="32"/>
          <w:szCs w:val="32"/>
        </w:rPr>
        <w:t>、项目</w:t>
      </w:r>
      <w:r>
        <w:rPr>
          <w:rFonts w:hint="eastAsia" w:ascii="楷体" w:hAnsi="楷体" w:eastAsia="楷体" w:cs="楷体"/>
          <w:sz w:val="32"/>
          <w:szCs w:val="32"/>
          <w:lang w:val="en-US" w:eastAsia="zh-CN"/>
        </w:rPr>
        <w:t>公益</w:t>
      </w:r>
      <w:r>
        <w:rPr>
          <w:rFonts w:hint="eastAsia" w:ascii="楷体" w:hAnsi="楷体" w:eastAsia="楷体" w:cs="楷体"/>
          <w:sz w:val="32"/>
          <w:szCs w:val="32"/>
        </w:rPr>
        <w:t>性。</w:t>
      </w:r>
      <w:r>
        <w:rPr>
          <w:rFonts w:hint="eastAsia" w:ascii="仿宋" w:hAnsi="仿宋" w:eastAsia="仿宋" w:cs="仿宋"/>
          <w:sz w:val="32"/>
          <w:szCs w:val="32"/>
          <w:lang w:val="en-US" w:eastAsia="zh-CN"/>
        </w:rPr>
        <w:t>为了进一步提升服务意识，了解观众需求，我院开展了一次2024年度观众满意度调查，根据回收的数据，观众好评度为百分之一百。</w:t>
      </w:r>
      <w:r>
        <w:rPr>
          <w:rFonts w:hint="eastAsia" w:ascii="仿宋" w:hAnsi="仿宋" w:eastAsia="仿宋" w:cs="仿宋"/>
          <w:sz w:val="32"/>
          <w:szCs w:val="32"/>
        </w:rPr>
        <w:t>通过全年在景区、社区开展的公益惠民演出，惠及观众达</w:t>
      </w:r>
      <w:r>
        <w:rPr>
          <w:rFonts w:hint="eastAsia" w:ascii="仿宋" w:hAnsi="仿宋" w:eastAsia="仿宋" w:cs="仿宋"/>
          <w:sz w:val="32"/>
          <w:szCs w:val="32"/>
          <w:lang w:val="en-US" w:eastAsia="zh-CN"/>
        </w:rPr>
        <w:t>数</w:t>
      </w:r>
      <w:r>
        <w:rPr>
          <w:rFonts w:hint="eastAsia" w:ascii="仿宋" w:hAnsi="仿宋" w:eastAsia="仿宋" w:cs="仿宋"/>
          <w:sz w:val="32"/>
          <w:szCs w:val="32"/>
        </w:rPr>
        <w:t>万人次，深受观众的欢迎和喜爱，取得良好社会效益。为了进一步扩大社会影响，我院通过</w:t>
      </w:r>
      <w:r>
        <w:rPr>
          <w:rFonts w:hint="eastAsia" w:ascii="仿宋" w:hAnsi="仿宋" w:eastAsia="仿宋" w:cs="仿宋"/>
          <w:sz w:val="32"/>
          <w:szCs w:val="32"/>
          <w:lang w:val="en-US" w:eastAsia="zh-CN"/>
        </w:rPr>
        <w:t>线上微信公共号、自媒体和线下电视、电台，</w:t>
      </w:r>
      <w:r>
        <w:rPr>
          <w:rFonts w:hint="eastAsia" w:ascii="仿宋" w:hAnsi="仿宋" w:eastAsia="仿宋" w:cs="仿宋"/>
          <w:sz w:val="32"/>
          <w:szCs w:val="32"/>
        </w:rPr>
        <w:t>定期发布“戏讯”、发表演出动态文章等形式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对非遗巴陵戏文化</w:t>
      </w:r>
      <w:r>
        <w:rPr>
          <w:rFonts w:hint="eastAsia" w:ascii="仿宋" w:hAnsi="仿宋" w:eastAsia="仿宋" w:cs="仿宋"/>
          <w:sz w:val="32"/>
          <w:szCs w:val="32"/>
        </w:rPr>
        <w:t>进行广泛宣传，颇具成效。周末逛景区</w:t>
      </w:r>
      <w:r>
        <w:rPr>
          <w:rFonts w:hint="eastAsia" w:ascii="仿宋" w:hAnsi="仿宋" w:eastAsia="仿宋" w:cs="仿宋"/>
          <w:sz w:val="32"/>
          <w:szCs w:val="32"/>
          <w:lang w:eastAsia="zh-CN"/>
        </w:rPr>
        <w:t>、</w:t>
      </w:r>
      <w:r>
        <w:rPr>
          <w:rFonts w:hint="eastAsia" w:ascii="仿宋" w:hAnsi="仿宋" w:eastAsia="仿宋" w:cs="仿宋"/>
          <w:sz w:val="32"/>
          <w:szCs w:val="32"/>
        </w:rPr>
        <w:t>社区看巴陵戏、去</w:t>
      </w:r>
      <w:r>
        <w:rPr>
          <w:rFonts w:hint="eastAsia" w:ascii="仿宋" w:hAnsi="仿宋" w:eastAsia="仿宋" w:cs="仿宋"/>
          <w:sz w:val="32"/>
          <w:szCs w:val="32"/>
          <w:lang w:val="en-US" w:eastAsia="zh-CN"/>
        </w:rPr>
        <w:t>巴陵戏展演中心</w:t>
      </w:r>
      <w:r>
        <w:rPr>
          <w:rFonts w:hint="eastAsia" w:ascii="仿宋" w:hAnsi="仿宋" w:eastAsia="仿宋" w:cs="仿宋"/>
          <w:sz w:val="32"/>
          <w:szCs w:val="32"/>
        </w:rPr>
        <w:t>看巴陵戏已逐渐成为部分市民的生活常态。</w:t>
      </w:r>
    </w:p>
    <w:p w14:paraId="7E143BA0">
      <w:pPr>
        <w:pStyle w:val="7"/>
        <w:widowControl/>
        <w:spacing w:line="600" w:lineRule="exact"/>
        <w:ind w:firstLine="64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14:paraId="3D8E9B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262626"/>
          <w:sz w:val="32"/>
          <w:szCs w:val="32"/>
        </w:rPr>
      </w:pPr>
      <w:r>
        <w:rPr>
          <w:rFonts w:hint="eastAsia" w:ascii="仿宋" w:hAnsi="仿宋" w:eastAsia="仿宋" w:cs="仿宋"/>
          <w:color w:val="262626"/>
          <w:sz w:val="32"/>
          <w:szCs w:val="32"/>
          <w:lang w:val="en-US" w:eastAsia="zh-CN"/>
        </w:rPr>
        <w:t>随着</w:t>
      </w:r>
      <w:r>
        <w:rPr>
          <w:rFonts w:hint="eastAsia" w:ascii="仿宋" w:hAnsi="仿宋" w:eastAsia="仿宋" w:cs="仿宋"/>
          <w:b w:val="0"/>
          <w:bCs w:val="0"/>
          <w:sz w:val="32"/>
          <w:szCs w:val="32"/>
          <w:lang w:val="en-US" w:eastAsia="zh-CN"/>
        </w:rPr>
        <w:t>2017年巴陵戏大专班21名学员通过公开招聘进入</w:t>
      </w:r>
      <w:r>
        <w:rPr>
          <w:rFonts w:hint="eastAsia" w:ascii="仿宋" w:hAnsi="仿宋" w:eastAsia="仿宋" w:cs="仿宋"/>
          <w:color w:val="262626"/>
          <w:sz w:val="32"/>
          <w:szCs w:val="32"/>
          <w:lang w:val="en-US" w:eastAsia="zh-CN"/>
        </w:rPr>
        <w:t>院团，</w:t>
      </w:r>
      <w:r>
        <w:rPr>
          <w:rFonts w:hint="eastAsia" w:ascii="仿宋" w:hAnsi="仿宋" w:eastAsia="仿宋" w:cs="仿宋"/>
          <w:b w:val="0"/>
          <w:bCs w:val="0"/>
          <w:sz w:val="32"/>
          <w:szCs w:val="32"/>
          <w:lang w:val="en-US" w:eastAsia="zh-CN"/>
        </w:rPr>
        <w:t>巴陵戏演艺人才匮乏的现状得到缓解。当前线下演出市场的火爆衍生出诸多文旅消费新场景，展示了文旅融合的巨大潜力，打造情景交融的沉浸式演出逐渐成为城市文旅消费的新风尚。</w:t>
      </w:r>
      <w:r>
        <w:rPr>
          <w:rFonts w:hint="eastAsia" w:ascii="仿宋" w:hAnsi="仿宋" w:eastAsia="仿宋" w:cs="仿宋"/>
          <w:color w:val="262626"/>
          <w:sz w:val="32"/>
          <w:szCs w:val="32"/>
        </w:rPr>
        <w:t>外部环境和内部条件发生变化，</w:t>
      </w:r>
      <w:r>
        <w:rPr>
          <w:rFonts w:hint="eastAsia" w:ascii="仿宋" w:hAnsi="仿宋" w:eastAsia="仿宋" w:cs="仿宋"/>
          <w:color w:val="262626"/>
          <w:sz w:val="32"/>
          <w:szCs w:val="32"/>
          <w:lang w:val="en-US" w:eastAsia="zh-CN"/>
        </w:rPr>
        <w:t>巴陵戏的传承和发展也</w:t>
      </w:r>
      <w:r>
        <w:rPr>
          <w:rFonts w:hint="eastAsia" w:ascii="仿宋" w:hAnsi="仿宋" w:eastAsia="仿宋" w:cs="仿宋"/>
          <w:color w:val="262626"/>
          <w:sz w:val="32"/>
          <w:szCs w:val="32"/>
        </w:rPr>
        <w:t>面临历史机遇和挑战，必须增强机遇意识、发展意识和创新意识，牢牢把握新特征新要求，全面贯彻落实新发展理念，努力实现更高质量、更有效率、更加公平、更可持续的发展，为</w:t>
      </w:r>
      <w:r>
        <w:rPr>
          <w:rFonts w:hint="eastAsia" w:ascii="仿宋" w:hAnsi="仿宋" w:eastAsia="仿宋" w:cs="仿宋"/>
          <w:sz w:val="32"/>
          <w:szCs w:val="32"/>
        </w:rPr>
        <w:t>建一流院团、出一批精品、育一代</w:t>
      </w:r>
      <w:r>
        <w:rPr>
          <w:rFonts w:hint="eastAsia" w:ascii="仿宋" w:hAnsi="仿宋" w:eastAsia="仿宋" w:cs="仿宋"/>
          <w:sz w:val="32"/>
          <w:szCs w:val="32"/>
          <w:lang w:val="en-US" w:eastAsia="zh-CN"/>
        </w:rPr>
        <w:t>新秀目标</w:t>
      </w:r>
      <w:r>
        <w:rPr>
          <w:rFonts w:hint="eastAsia" w:ascii="仿宋" w:hAnsi="仿宋" w:eastAsia="仿宋" w:cs="仿宋"/>
          <w:color w:val="262626"/>
          <w:sz w:val="32"/>
          <w:szCs w:val="32"/>
        </w:rPr>
        <w:t>提供</w:t>
      </w:r>
      <w:r>
        <w:rPr>
          <w:rFonts w:hint="eastAsia" w:ascii="仿宋" w:hAnsi="仿宋" w:eastAsia="仿宋" w:cs="仿宋"/>
          <w:color w:val="262626"/>
          <w:sz w:val="32"/>
          <w:szCs w:val="32"/>
          <w:lang w:val="en-US" w:eastAsia="zh-CN"/>
        </w:rPr>
        <w:t>强有力的</w:t>
      </w:r>
      <w:r>
        <w:rPr>
          <w:rFonts w:hint="eastAsia" w:ascii="仿宋" w:hAnsi="仿宋" w:eastAsia="仿宋" w:cs="仿宋"/>
          <w:color w:val="262626"/>
          <w:sz w:val="32"/>
          <w:szCs w:val="32"/>
        </w:rPr>
        <w:t>支撑。</w:t>
      </w:r>
    </w:p>
    <w:p w14:paraId="51B3D4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认真分析2024年度的工作，我院主要存在三个方面的问题：</w:t>
      </w:r>
    </w:p>
    <w:p w14:paraId="1D5874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（一）在政治思想方面，存在学习的自觉性、主动性不够。</w:t>
      </w:r>
      <w:r>
        <w:rPr>
          <w:rFonts w:hint="eastAsia" w:ascii="仿宋" w:hAnsi="仿宋" w:eastAsia="仿宋" w:cs="仿宋"/>
          <w:color w:val="262626"/>
          <w:sz w:val="32"/>
          <w:szCs w:val="32"/>
          <w:lang w:val="en-US" w:eastAsia="zh-CN"/>
        </w:rPr>
        <w:t>在</w:t>
      </w:r>
      <w:r>
        <w:rPr>
          <w:rFonts w:hint="eastAsia" w:ascii="仿宋" w:hAnsi="仿宋" w:eastAsia="仿宋" w:cs="仿宋"/>
          <w:color w:val="262626"/>
          <w:sz w:val="32"/>
          <w:szCs w:val="32"/>
        </w:rPr>
        <w:t>依法治</w:t>
      </w:r>
      <w:r>
        <w:rPr>
          <w:rFonts w:hint="eastAsia" w:ascii="仿宋" w:hAnsi="仿宋" w:eastAsia="仿宋" w:cs="仿宋"/>
          <w:color w:val="262626"/>
          <w:sz w:val="32"/>
          <w:szCs w:val="32"/>
          <w:lang w:val="en-US" w:eastAsia="zh-CN"/>
        </w:rPr>
        <w:t>院</w:t>
      </w:r>
      <w:r>
        <w:rPr>
          <w:rFonts w:hint="eastAsia" w:ascii="仿宋" w:hAnsi="仿宋" w:eastAsia="仿宋" w:cs="仿宋"/>
          <w:color w:val="262626"/>
          <w:sz w:val="32"/>
          <w:szCs w:val="32"/>
        </w:rPr>
        <w:t>、从严治</w:t>
      </w:r>
      <w:r>
        <w:rPr>
          <w:rFonts w:hint="eastAsia" w:ascii="仿宋" w:hAnsi="仿宋" w:eastAsia="仿宋" w:cs="仿宋"/>
          <w:color w:val="262626"/>
          <w:sz w:val="32"/>
          <w:szCs w:val="32"/>
          <w:lang w:val="en-US" w:eastAsia="zh-CN"/>
        </w:rPr>
        <w:t>院、</w:t>
      </w:r>
      <w:r>
        <w:rPr>
          <w:rFonts w:hint="eastAsia" w:ascii="仿宋" w:hAnsi="仿宋" w:eastAsia="仿宋" w:cs="仿宋"/>
          <w:color w:val="262626"/>
          <w:sz w:val="32"/>
          <w:szCs w:val="32"/>
        </w:rPr>
        <w:t>严格教育</w:t>
      </w:r>
      <w:r>
        <w:rPr>
          <w:rFonts w:hint="eastAsia" w:ascii="仿宋" w:hAnsi="仿宋" w:eastAsia="仿宋" w:cs="仿宋"/>
          <w:color w:val="262626"/>
          <w:sz w:val="32"/>
          <w:szCs w:val="32"/>
          <w:lang w:val="en-US" w:eastAsia="zh-CN"/>
        </w:rPr>
        <w:t>学习</w:t>
      </w:r>
      <w:r>
        <w:rPr>
          <w:rFonts w:hint="eastAsia" w:ascii="仿宋" w:hAnsi="仿宋" w:eastAsia="仿宋" w:cs="仿宋"/>
          <w:color w:val="262626"/>
          <w:sz w:val="32"/>
          <w:szCs w:val="32"/>
        </w:rPr>
        <w:t>管理</w:t>
      </w:r>
      <w:r>
        <w:rPr>
          <w:rFonts w:hint="eastAsia" w:ascii="仿宋" w:hAnsi="仿宋" w:eastAsia="仿宋" w:cs="仿宋"/>
          <w:color w:val="262626"/>
          <w:sz w:val="32"/>
          <w:szCs w:val="32"/>
          <w:lang w:val="en-US" w:eastAsia="zh-CN"/>
        </w:rPr>
        <w:t>、</w:t>
      </w:r>
      <w:r>
        <w:rPr>
          <w:rFonts w:hint="eastAsia" w:ascii="仿宋" w:hAnsi="仿宋" w:eastAsia="仿宋" w:cs="仿宋"/>
          <w:color w:val="262626"/>
          <w:sz w:val="32"/>
          <w:szCs w:val="32"/>
        </w:rPr>
        <w:t>激发全</w:t>
      </w:r>
      <w:r>
        <w:rPr>
          <w:rFonts w:hint="eastAsia" w:ascii="仿宋" w:hAnsi="仿宋" w:eastAsia="仿宋" w:cs="仿宋"/>
          <w:color w:val="262626"/>
          <w:sz w:val="32"/>
          <w:szCs w:val="32"/>
          <w:lang w:val="en-US" w:eastAsia="zh-CN"/>
        </w:rPr>
        <w:t>院干部职工</w:t>
      </w:r>
      <w:r>
        <w:rPr>
          <w:rFonts w:hint="eastAsia" w:ascii="仿宋" w:hAnsi="仿宋" w:eastAsia="仿宋" w:cs="仿宋"/>
          <w:color w:val="262626"/>
          <w:sz w:val="32"/>
          <w:szCs w:val="32"/>
        </w:rPr>
        <w:t>干事创业积极性，齐心协力开创</w:t>
      </w:r>
      <w:r>
        <w:rPr>
          <w:rFonts w:hint="eastAsia" w:ascii="仿宋" w:hAnsi="仿宋" w:eastAsia="仿宋" w:cs="仿宋"/>
          <w:color w:val="262626"/>
          <w:sz w:val="32"/>
          <w:szCs w:val="32"/>
          <w:lang w:val="en-US" w:eastAsia="zh-CN"/>
        </w:rPr>
        <w:t>院团</w:t>
      </w:r>
      <w:r>
        <w:rPr>
          <w:rFonts w:hint="eastAsia" w:ascii="仿宋" w:hAnsi="仿宋" w:eastAsia="仿宋" w:cs="仿宋"/>
          <w:color w:val="262626"/>
          <w:sz w:val="32"/>
          <w:szCs w:val="32"/>
        </w:rPr>
        <w:t>建设新局面</w:t>
      </w:r>
      <w:r>
        <w:rPr>
          <w:rFonts w:hint="eastAsia" w:ascii="仿宋" w:hAnsi="仿宋" w:eastAsia="仿宋" w:cs="仿宋"/>
          <w:color w:val="262626"/>
          <w:sz w:val="32"/>
          <w:szCs w:val="32"/>
          <w:lang w:val="en-US" w:eastAsia="zh-CN"/>
        </w:rPr>
        <w:t>等方面</w:t>
      </w:r>
      <w:r>
        <w:rPr>
          <w:rFonts w:hint="eastAsia" w:ascii="仿宋" w:hAnsi="仿宋" w:eastAsia="仿宋" w:cs="仿宋"/>
          <w:sz w:val="32"/>
          <w:szCs w:val="32"/>
          <w:lang w:val="en-US" w:eastAsia="zh-CN"/>
        </w:rPr>
        <w:t>还需要进一步加强。</w:t>
      </w:r>
    </w:p>
    <w:p w14:paraId="4DE9BD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（二）矛盾纠纷排查化解、风险源头防控工作还存在问题。有的干部职工对调解工作没有引起重视，没有形成化解矛盾纠纷的整体合力，没有发挥好“第一道防线”的作用。</w:t>
      </w:r>
    </w:p>
    <w:p w14:paraId="61203C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黑体" w:hAnsi="黑体" w:eastAsia="黑体" w:cs="黑体"/>
          <w:color w:val="262626"/>
          <w:sz w:val="32"/>
          <w:szCs w:val="32"/>
          <w:lang w:val="en-US" w:eastAsia="zh-CN"/>
        </w:rPr>
      </w:pPr>
      <w:r>
        <w:rPr>
          <w:rFonts w:hint="eastAsia" w:ascii="仿宋" w:hAnsi="仿宋" w:eastAsia="仿宋" w:cs="仿宋"/>
          <w:sz w:val="32"/>
          <w:szCs w:val="32"/>
          <w:lang w:val="en-US" w:eastAsia="zh-CN"/>
        </w:rPr>
        <w:t>（三）工作纪律自我约束方面，有待加强。市传承院属于文艺单位，演出活动频繁，党员干部职工组织纪律不强，有迟到早退现象。</w:t>
      </w:r>
    </w:p>
    <w:p w14:paraId="177FA179">
      <w:pPr>
        <w:widowControl/>
        <w:spacing w:line="600" w:lineRule="exact"/>
        <w:ind w:firstLine="320" w:firstLineChars="1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八、下一步改进措施</w:t>
      </w:r>
    </w:p>
    <w:p w14:paraId="36EB48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我院将围绕贯彻落实习近平总书记考察湖南重要讲话和指示精神，贯彻党的二十届三中全会关于深化文化体制机制改革等战略部署，坚持从</w:t>
      </w:r>
      <w:r>
        <w:rPr>
          <w:rFonts w:hint="eastAsia" w:ascii="仿宋" w:hAnsi="仿宋" w:eastAsia="仿宋" w:cs="Times New Roman"/>
          <w:color w:val="000000"/>
          <w:kern w:val="2"/>
          <w:sz w:val="32"/>
          <w:szCs w:val="32"/>
          <w:lang w:val="en-US" w:eastAsia="zh-CN" w:bidi="ar-SA"/>
        </w:rPr>
        <w:t>提供优质的艺术精品和公共服务惠民两端发力，具体聚集以下工作：</w:t>
      </w:r>
    </w:p>
    <w:p w14:paraId="71AA329E">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（一）实施艺术创作精品工程</w:t>
      </w:r>
    </w:p>
    <w:p w14:paraId="38DAFE75">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我院文艺创作</w:t>
      </w:r>
      <w:r>
        <w:rPr>
          <w:rFonts w:hint="eastAsia" w:ascii="仿宋" w:hAnsi="仿宋" w:eastAsia="仿宋" w:cs="仿宋"/>
          <w:sz w:val="32"/>
          <w:szCs w:val="32"/>
        </w:rPr>
        <w:t>始终坚持“以人民为中心”的创作导向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2025年将推动红色革命题材《红色特工》（暂定名）剧本创作，</w:t>
      </w:r>
      <w:r>
        <w:rPr>
          <w:rFonts w:hint="eastAsia" w:ascii="仿宋" w:hAnsi="仿宋" w:eastAsia="仿宋" w:cs="仿宋"/>
          <w:sz w:val="32"/>
          <w:szCs w:val="32"/>
        </w:rPr>
        <w:t>在提高原创力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内容、唱腔</w:t>
      </w:r>
      <w:r>
        <w:rPr>
          <w:rFonts w:hint="eastAsia" w:ascii="仿宋" w:hAnsi="仿宋" w:eastAsia="仿宋" w:cs="仿宋"/>
          <w:sz w:val="32"/>
          <w:szCs w:val="32"/>
        </w:rPr>
        <w:t>上下功夫，推动内容和形式相融合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戏曲</w:t>
      </w:r>
      <w:r>
        <w:rPr>
          <w:rFonts w:hint="eastAsia" w:ascii="仿宋" w:hAnsi="仿宋" w:eastAsia="仿宋" w:cs="仿宋"/>
          <w:sz w:val="32"/>
          <w:szCs w:val="32"/>
        </w:rPr>
        <w:t>艺术要素和技术要素相辉映，</w:t>
      </w:r>
      <w:r>
        <w:rPr>
          <w:rFonts w:hint="eastAsia" w:ascii="仿宋" w:hAnsi="仿宋" w:eastAsia="仿宋" w:cs="仿宋"/>
          <w:i w:val="0"/>
          <w:iCs w:val="0"/>
          <w:caps w:val="0"/>
          <w:color w:val="262626"/>
          <w:spacing w:val="0"/>
          <w:sz w:val="32"/>
          <w:szCs w:val="32"/>
          <w:shd w:val="clear" w:fill="FFFFFF"/>
          <w:lang w:val="en-US" w:eastAsia="zh-CN"/>
        </w:rPr>
        <w:t>力争</w:t>
      </w:r>
      <w:r>
        <w:rPr>
          <w:rFonts w:hint="eastAsia" w:ascii="仿宋" w:hAnsi="仿宋" w:eastAsia="仿宋" w:cs="仿宋"/>
          <w:i w:val="0"/>
          <w:iCs w:val="0"/>
          <w:caps w:val="0"/>
          <w:color w:val="262626"/>
          <w:spacing w:val="0"/>
          <w:sz w:val="32"/>
          <w:szCs w:val="32"/>
          <w:shd w:val="clear" w:fill="FFFFFF"/>
        </w:rPr>
        <w:t>作品不仅能够深</w:t>
      </w:r>
      <w:r>
        <w:rPr>
          <w:rFonts w:hint="eastAsia" w:ascii="仿宋" w:hAnsi="仿宋" w:eastAsia="仿宋" w:cs="仿宋"/>
          <w:sz w:val="32"/>
          <w:szCs w:val="32"/>
          <w:lang w:val="en-US" w:eastAsia="zh-CN"/>
        </w:rPr>
        <w:t>入人心，同时产生广泛的社会影响，</w:t>
      </w:r>
      <w:r>
        <w:rPr>
          <w:rFonts w:hint="eastAsia" w:ascii="仿宋" w:hAnsi="仿宋" w:eastAsia="仿宋" w:cs="仿宋"/>
          <w:i w:val="0"/>
          <w:iCs w:val="0"/>
          <w:caps w:val="0"/>
          <w:color w:val="262626"/>
          <w:spacing w:val="0"/>
          <w:sz w:val="32"/>
          <w:szCs w:val="32"/>
          <w:shd w:val="clear" w:fill="FFFFFF"/>
        </w:rPr>
        <w:t>以正确的价值导向传递正能量，激发广大群众的奋斗精神</w:t>
      </w:r>
      <w:r>
        <w:rPr>
          <w:rFonts w:hint="eastAsia" w:ascii="仿宋" w:hAnsi="仿宋" w:eastAsia="仿宋" w:cs="仿宋"/>
          <w:i w:val="0"/>
          <w:iCs w:val="0"/>
          <w:caps w:val="0"/>
          <w:color w:val="262626"/>
          <w:spacing w:val="0"/>
          <w:sz w:val="32"/>
          <w:szCs w:val="32"/>
          <w:shd w:val="clear" w:fill="FFFFFF"/>
          <w:lang w:eastAsia="zh-CN"/>
        </w:rPr>
        <w:t>。</w:t>
      </w:r>
    </w:p>
    <w:p w14:paraId="49956F84">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color w:val="000000"/>
          <w:sz w:val="32"/>
          <w:szCs w:val="32"/>
          <w:lang w:val="en-US" w:eastAsia="zh-CN"/>
        </w:rPr>
        <w:t>（二）实施公共服务惠民工程</w:t>
      </w:r>
    </w:p>
    <w:p w14:paraId="3C4FFC97">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2025年</w:t>
      </w:r>
      <w:r>
        <w:rPr>
          <w:rFonts w:hint="eastAsia" w:ascii="仿宋" w:hAnsi="仿宋" w:eastAsia="仿宋" w:cs="仿宋"/>
          <w:snapToGrid w:val="0"/>
          <w:color w:val="000000"/>
          <w:spacing w:val="5"/>
          <w:kern w:val="0"/>
          <w:sz w:val="32"/>
          <w:szCs w:val="32"/>
          <w:lang w:val="en-US" w:eastAsia="zh-CN" w:bidi="ar-SA"/>
        </w:rPr>
        <w:t>我院</w:t>
      </w:r>
      <w:r>
        <w:rPr>
          <w:rFonts w:hint="eastAsia" w:ascii="仿宋" w:hAnsi="仿宋" w:eastAsia="仿宋" w:cs="仿宋"/>
          <w:sz w:val="32"/>
          <w:szCs w:val="32"/>
          <w:lang w:val="en-US" w:eastAsia="zh-CN"/>
        </w:rPr>
        <w:t>将开展公益惠民演出100场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持续打造“您身边的巴陵戏”活动品牌，“巴陵戏进景区”免费或低票价公益性演出</w:t>
      </w:r>
      <w:r>
        <w:rPr>
          <w:rFonts w:hint="eastAsia" w:ascii="仿宋" w:hAnsi="仿宋" w:eastAsia="仿宋" w:cs="仿宋"/>
          <w:sz w:val="32"/>
          <w:szCs w:val="32"/>
        </w:rPr>
        <w:t>进一步增加景区吸引力，提升游客参与度和体验感</w:t>
      </w:r>
      <w:r>
        <w:rPr>
          <w:rFonts w:hint="eastAsia" w:ascii="仿宋" w:hAnsi="仿宋" w:eastAsia="仿宋" w:cs="仿宋"/>
          <w:sz w:val="32"/>
          <w:szCs w:val="32"/>
          <w:lang w:eastAsia="zh-CN"/>
        </w:rPr>
        <w:t>，助推</w:t>
      </w:r>
      <w:r>
        <w:rPr>
          <w:rFonts w:hint="eastAsia" w:ascii="仿宋" w:hAnsi="仿宋" w:eastAsia="仿宋" w:cs="仿宋"/>
          <w:sz w:val="32"/>
          <w:szCs w:val="32"/>
          <w:lang w:val="en-US" w:eastAsia="zh-CN"/>
        </w:rPr>
        <w:t>文旅</w:t>
      </w:r>
      <w:r>
        <w:rPr>
          <w:rFonts w:hint="eastAsia" w:ascii="仿宋" w:hAnsi="仿宋" w:eastAsia="仿宋" w:cs="仿宋"/>
          <w:sz w:val="32"/>
          <w:szCs w:val="32"/>
          <w:lang w:eastAsia="zh-CN"/>
        </w:rPr>
        <w:t>发展。</w:t>
      </w:r>
      <w:r>
        <w:rPr>
          <w:rFonts w:hint="eastAsia" w:ascii="仿宋" w:hAnsi="仿宋" w:eastAsia="仿宋" w:cs="仿宋"/>
          <w:sz w:val="32"/>
          <w:szCs w:val="32"/>
          <w:lang w:val="en-US" w:eastAsia="zh-CN"/>
        </w:rPr>
        <w:t>组织开展</w:t>
      </w:r>
      <w:r>
        <w:rPr>
          <w:rFonts w:hint="eastAsia" w:ascii="仿宋" w:hAnsi="仿宋" w:eastAsia="仿宋" w:cs="仿宋"/>
          <w:snapToGrid w:val="0"/>
          <w:color w:val="000000"/>
          <w:spacing w:val="5"/>
          <w:kern w:val="0"/>
          <w:sz w:val="32"/>
          <w:szCs w:val="32"/>
          <w:lang w:val="en-US" w:eastAsia="zh-CN" w:bidi="ar-SA"/>
        </w:rPr>
        <w:t>“进校园、进基层”公益性传播及演出活动</w:t>
      </w:r>
      <w:r>
        <w:rPr>
          <w:rFonts w:hint="eastAsia" w:ascii="仿宋" w:hAnsi="仿宋" w:eastAsia="仿宋" w:cs="仿宋"/>
          <w:sz w:val="32"/>
          <w:szCs w:val="32"/>
          <w:lang w:eastAsia="zh-CN"/>
        </w:rPr>
        <w:t>。</w:t>
      </w:r>
    </w:p>
    <w:p w14:paraId="2B2BAC98">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我院将启动“巴陵戏社会普及教师研修班”项目，以每年培训一批以中小学音乐教师为主体的骨干教师群体为目标，将巴陵戏普及课程开设到其所在学校。预计通过3—5年的时间，对中心城区中小学做到“全覆盖”。在此基础上，积极建立一批“巴陵戏校园普及基地”，采取“院校联点、专人联络、一校一品”的方式，计划陆续在高校、中学、幼儿园再建设5所示范学校，推出一批在全国、全省有影响力的巴陵戏校园普教成果，形成全教育体系的示范效益。</w:t>
      </w:r>
    </w:p>
    <w:p w14:paraId="54988568">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（三）实施青年人才培养工程</w:t>
      </w:r>
    </w:p>
    <w:p w14:paraId="7C61D442">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根据优秀青年演员自身的特点和优长，有组织、有系统、有考核、有奖励地定向培养，进一步通过“剧目制”的形式做好现有人才培养工作，</w:t>
      </w:r>
      <w:r>
        <w:rPr>
          <w:rFonts w:hint="eastAsia" w:ascii="仿宋" w:hAnsi="仿宋" w:eastAsia="仿宋" w:cs="仿宋"/>
          <w:sz w:val="32"/>
          <w:szCs w:val="32"/>
        </w:rPr>
        <w:t>加强对后继人才的动态跟踪和扶持。</w:t>
      </w:r>
      <w:r>
        <w:rPr>
          <w:rFonts w:hint="eastAsia" w:ascii="仿宋" w:hAnsi="仿宋" w:eastAsia="仿宋" w:cs="仿宋"/>
          <w:i w:val="0"/>
          <w:iCs w:val="0"/>
          <w:caps w:val="0"/>
          <w:color w:val="262626"/>
          <w:spacing w:val="0"/>
          <w:sz w:val="32"/>
          <w:szCs w:val="32"/>
        </w:rPr>
        <w:t>给人才提供更多展示、锻炼平台</w:t>
      </w:r>
      <w:r>
        <w:rPr>
          <w:rFonts w:hint="eastAsia" w:ascii="仿宋" w:hAnsi="仿宋" w:eastAsia="仿宋" w:cs="仿宋"/>
          <w:i w:val="0"/>
          <w:iCs w:val="0"/>
          <w:caps w:val="0"/>
          <w:color w:val="262626"/>
          <w:spacing w:val="0"/>
          <w:sz w:val="32"/>
          <w:szCs w:val="32"/>
          <w:lang w:eastAsia="zh-CN"/>
        </w:rPr>
        <w:t>。</w:t>
      </w:r>
      <w:r>
        <w:rPr>
          <w:rFonts w:hint="eastAsia" w:ascii="仿宋" w:hAnsi="仿宋" w:eastAsia="仿宋" w:cs="仿宋"/>
          <w:i w:val="0"/>
          <w:iCs w:val="0"/>
          <w:caps w:val="0"/>
          <w:color w:val="262626"/>
          <w:spacing w:val="0"/>
          <w:sz w:val="32"/>
          <w:szCs w:val="32"/>
          <w:lang w:val="en-US" w:eastAsia="zh-CN"/>
        </w:rPr>
        <w:t>开展折子戏和青年演员、乐手专业技能比赛，助力优秀人才积极参加“湘戏新角”等省内外</w:t>
      </w:r>
      <w:r>
        <w:rPr>
          <w:rFonts w:hint="eastAsia" w:ascii="仿宋" w:hAnsi="仿宋" w:eastAsia="仿宋" w:cs="仿宋"/>
          <w:i w:val="0"/>
          <w:iCs w:val="0"/>
          <w:caps w:val="0"/>
          <w:color w:val="262626"/>
          <w:spacing w:val="0"/>
          <w:sz w:val="32"/>
          <w:szCs w:val="32"/>
        </w:rPr>
        <w:t>文艺赛事，加速推动人才成长</w:t>
      </w:r>
      <w:r>
        <w:rPr>
          <w:rFonts w:hint="eastAsia" w:ascii="仿宋" w:hAnsi="仿宋" w:eastAsia="仿宋" w:cs="仿宋"/>
          <w:i w:val="0"/>
          <w:iCs w:val="0"/>
          <w:caps w:val="0"/>
          <w:color w:val="262626"/>
          <w:spacing w:val="0"/>
          <w:sz w:val="32"/>
          <w:szCs w:val="32"/>
          <w:lang w:eastAsia="zh-CN"/>
        </w:rPr>
        <w:t>，</w:t>
      </w:r>
      <w:r>
        <w:rPr>
          <w:rFonts w:hint="eastAsia" w:ascii="仿宋" w:hAnsi="仿宋" w:eastAsia="仿宋" w:cs="仿宋"/>
          <w:i w:val="0"/>
          <w:iCs w:val="0"/>
          <w:caps w:val="0"/>
          <w:color w:val="262626"/>
          <w:spacing w:val="0"/>
          <w:sz w:val="32"/>
          <w:szCs w:val="32"/>
        </w:rPr>
        <w:t>聚焦对青年人才的创作扶持，壮大艺术创新力量。</w:t>
      </w:r>
    </w:p>
    <w:p w14:paraId="38EEA1A0">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（四）推动传统剧目复排行动</w:t>
      </w:r>
    </w:p>
    <w:p w14:paraId="5C963E81">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我院计划从巴陵戏、花鼓戏诸多优秀传统剧本中，通过传帮带的形式，复排2个传统经典巴陵戏和2个传统经典花鼓戏。</w:t>
      </w:r>
    </w:p>
    <w:p w14:paraId="7BDD45A7">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（六）推动院团文化建设行动</w:t>
      </w:r>
    </w:p>
    <w:p w14:paraId="54FA2584">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我院将始终坚持培育核心发展价值观，实现传承发展的目标。一从</w:t>
      </w:r>
      <w:r>
        <w:rPr>
          <w:rFonts w:hint="eastAsia" w:ascii="仿宋" w:hAnsi="仿宋" w:eastAsia="仿宋" w:cs="仿宋"/>
          <w:sz w:val="32"/>
          <w:szCs w:val="32"/>
        </w:rPr>
        <w:t>改进工作作风、提高工作水平、强化工作落实入手，树立工作担当和责任意识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凝心聚力</w:t>
      </w:r>
      <w:r>
        <w:rPr>
          <w:rFonts w:hint="eastAsia" w:ascii="仿宋" w:hAnsi="仿宋" w:eastAsia="仿宋" w:cs="仿宋"/>
          <w:sz w:val="32"/>
          <w:szCs w:val="32"/>
          <w:lang w:val="en-US" w:eastAsia="zh-CN"/>
        </w:rPr>
        <w:t>群策群力</w:t>
      </w:r>
      <w:r>
        <w:rPr>
          <w:rFonts w:hint="eastAsia" w:ascii="仿宋" w:hAnsi="仿宋" w:eastAsia="仿宋" w:cs="仿宋"/>
          <w:sz w:val="32"/>
          <w:szCs w:val="32"/>
        </w:rPr>
        <w:t>，谋划</w:t>
      </w:r>
      <w:r>
        <w:rPr>
          <w:rFonts w:hint="eastAsia" w:ascii="仿宋" w:hAnsi="仿宋" w:eastAsia="仿宋" w:cs="仿宋"/>
          <w:sz w:val="32"/>
          <w:szCs w:val="32"/>
          <w:lang w:val="en-US" w:eastAsia="zh-CN"/>
        </w:rPr>
        <w:t>巴陵戏</w:t>
      </w:r>
      <w:r>
        <w:rPr>
          <w:rFonts w:hint="eastAsia" w:ascii="仿宋" w:hAnsi="仿宋" w:eastAsia="仿宋" w:cs="仿宋"/>
          <w:sz w:val="32"/>
          <w:szCs w:val="32"/>
        </w:rPr>
        <w:t>事业发展，共同创造新业绩。</w:t>
      </w:r>
      <w:r>
        <w:rPr>
          <w:rFonts w:hint="eastAsia" w:ascii="仿宋" w:hAnsi="仿宋" w:eastAsia="仿宋" w:cs="仿宋"/>
          <w:sz w:val="32"/>
          <w:szCs w:val="32"/>
          <w:lang w:val="en-US" w:eastAsia="zh-CN"/>
        </w:rPr>
        <w:t>三在硬件建设、资金使用依法依规，有序实施，确保不出现质量、安全问题。四</w:t>
      </w:r>
      <w:r>
        <w:rPr>
          <w:rFonts w:hint="eastAsia" w:ascii="仿宋" w:hAnsi="仿宋" w:eastAsia="仿宋" w:cs="仿宋"/>
          <w:color w:val="000000"/>
          <w:kern w:val="0"/>
          <w:sz w:val="32"/>
          <w:szCs w:val="32"/>
          <w:lang w:val="en-US" w:eastAsia="zh-CN" w:bidi="ar"/>
        </w:rPr>
        <w:t>加强党纪和法规学习，</w:t>
      </w:r>
      <w:r>
        <w:rPr>
          <w:rFonts w:hint="eastAsia" w:ascii="仿宋" w:hAnsi="仿宋" w:eastAsia="仿宋" w:cs="仿宋"/>
          <w:sz w:val="32"/>
          <w:szCs w:val="32"/>
          <w:lang w:eastAsia="zh-CN"/>
        </w:rPr>
        <w:t>持续开展廉政建设、行风建设，提高职工队伍的思想政治和职业道德。</w:t>
      </w:r>
    </w:p>
    <w:p w14:paraId="750A0A83">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sz w:val="32"/>
          <w:szCs w:val="32"/>
          <w:lang w:val="en-US" w:eastAsia="zh-CN"/>
        </w:rPr>
        <w:t>2025年，我院将</w:t>
      </w:r>
      <w:r>
        <w:rPr>
          <w:rFonts w:hint="eastAsia" w:ascii="仿宋" w:hAnsi="仿宋" w:eastAsia="仿宋" w:cs="仿宋"/>
          <w:color w:val="000000"/>
          <w:sz w:val="32"/>
          <w:szCs w:val="32"/>
          <w:lang w:val="en-US" w:eastAsia="zh-CN"/>
        </w:rPr>
        <w:t>深入践行市委“1376”总体思路，围绕市局“1235”作好文章，</w:t>
      </w:r>
      <w:bookmarkStart w:id="0" w:name="OLE_LINK1"/>
      <w:r>
        <w:rPr>
          <w:rFonts w:hint="eastAsia" w:ascii="仿宋" w:hAnsi="仿宋" w:eastAsia="仿宋" w:cs="仿宋"/>
          <w:sz w:val="32"/>
          <w:szCs w:val="32"/>
          <w:lang w:val="en-US" w:eastAsia="zh-CN"/>
        </w:rPr>
        <w:t>加强学习，不断提高自身的政治素质和工作能力，不断加强队伍建设，在服务</w:t>
      </w:r>
      <w:r>
        <w:rPr>
          <w:rFonts w:hint="eastAsia" w:ascii="仿宋" w:hAnsi="仿宋" w:eastAsia="仿宋" w:cs="仿宋"/>
          <w:color w:val="000000"/>
          <w:sz w:val="32"/>
          <w:szCs w:val="32"/>
        </w:rPr>
        <w:t>中心大局</w:t>
      </w:r>
      <w:r>
        <w:rPr>
          <w:rFonts w:hint="eastAsia" w:ascii="仿宋" w:hAnsi="仿宋" w:eastAsia="仿宋" w:cs="仿宋"/>
          <w:color w:val="000000"/>
          <w:sz w:val="32"/>
          <w:szCs w:val="32"/>
          <w:lang w:val="en-US" w:eastAsia="zh-CN"/>
        </w:rPr>
        <w:t>中展现新担当新作为</w:t>
      </w:r>
      <w:r>
        <w:rPr>
          <w:rFonts w:hint="eastAsia" w:ascii="仿宋" w:hAnsi="仿宋" w:eastAsia="仿宋" w:cs="仿宋"/>
          <w:color w:val="000000"/>
          <w:sz w:val="32"/>
          <w:szCs w:val="32"/>
          <w:lang w:eastAsia="zh-CN"/>
        </w:rPr>
        <w:t>，</w:t>
      </w:r>
      <w:bookmarkEnd w:id="0"/>
      <w:r>
        <w:rPr>
          <w:rFonts w:hint="eastAsia" w:ascii="仿宋" w:hAnsi="仿宋" w:eastAsia="仿宋" w:cs="仿宋"/>
          <w:color w:val="000000"/>
          <w:sz w:val="32"/>
          <w:szCs w:val="32"/>
          <w:lang w:val="en-US" w:eastAsia="zh-CN"/>
        </w:rPr>
        <w:t>圆满完成上级指派的各类大型演出活动。</w:t>
      </w:r>
    </w:p>
    <w:p w14:paraId="6B9B9D60">
      <w:pPr>
        <w:widowControl/>
        <w:spacing w:line="600" w:lineRule="exact"/>
        <w:ind w:firstLine="320" w:firstLineChars="100"/>
        <w:jc w:val="left"/>
        <w:rPr>
          <w:rFonts w:hint="eastAsia" w:ascii="Times New Roman" w:hAnsi="Times New Roman" w:eastAsia="黑体" w:cs="Times New Roman"/>
          <w:sz w:val="32"/>
          <w:szCs w:val="32"/>
        </w:rPr>
      </w:pPr>
    </w:p>
    <w:p w14:paraId="7A77FD5E">
      <w:pPr>
        <w:widowControl/>
        <w:spacing w:line="600" w:lineRule="exact"/>
        <w:ind w:firstLine="645"/>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14:paraId="3F565BDC">
      <w:pPr>
        <w:ind w:firstLine="640" w:firstLineChars="200"/>
        <w:rPr>
          <w:rFonts w:hint="default" w:ascii="Times New Roman" w:hAnsi="Times New Roman" w:eastAsia="黑体" w:cs="Times New Roman"/>
          <w:sz w:val="32"/>
          <w:szCs w:val="32"/>
        </w:rPr>
      </w:pPr>
      <w:r>
        <w:rPr>
          <w:rFonts w:hint="eastAsia" w:ascii="仿宋_GB2312" w:eastAsia="仿宋_GB2312"/>
          <w:sz w:val="32"/>
          <w:szCs w:val="32"/>
          <w:lang w:val="en-US" w:eastAsia="zh-CN"/>
        </w:rPr>
        <w:t>根据市财政相关部门统一部署，我院2024</w:t>
      </w:r>
      <w:r>
        <w:rPr>
          <w:rFonts w:hint="eastAsia" w:ascii="楷体" w:hAnsi="楷体" w:eastAsia="楷体" w:cs="楷体"/>
          <w:sz w:val="32"/>
          <w:szCs w:val="32"/>
          <w:lang w:val="en-US" w:eastAsia="zh-CN"/>
        </w:rPr>
        <w:t>年部门整体支出绩效自评情况将在岳阳市政府门户网站公开，接受社会监督。对绩效自评工作中发现的问题及时整改，解决好绩效评价管理中存在的问题，提高工作效能。根据部门整体支出绩效评价标准，2024年我院部门整体绩效评价自评为优。</w:t>
      </w:r>
    </w:p>
    <w:p w14:paraId="7766D32A">
      <w:pPr>
        <w:widowControl/>
        <w:spacing w:line="600" w:lineRule="exact"/>
        <w:ind w:firstLine="645"/>
        <w:jc w:val="left"/>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其他</w:t>
      </w:r>
      <w:r>
        <w:rPr>
          <w:rFonts w:hint="eastAsia" w:ascii="Times New Roman" w:hAnsi="Times New Roman" w:eastAsia="黑体" w:cs="Times New Roman"/>
          <w:sz w:val="32"/>
          <w:szCs w:val="32"/>
          <w:lang w:eastAsia="zh-CN"/>
        </w:rPr>
        <w:t>无</w:t>
      </w:r>
      <w:r>
        <w:rPr>
          <w:rFonts w:hint="default" w:ascii="Times New Roman" w:hAnsi="Times New Roman" w:eastAsia="黑体" w:cs="Times New Roman"/>
          <w:sz w:val="32"/>
          <w:szCs w:val="32"/>
        </w:rPr>
        <w:t>需要说明的情况</w:t>
      </w:r>
      <w:r>
        <w:rPr>
          <w:rFonts w:hint="eastAsia" w:ascii="Times New Roman" w:hAnsi="Times New Roman" w:eastAsia="黑体" w:cs="Times New Roman"/>
          <w:sz w:val="32"/>
          <w:szCs w:val="32"/>
          <w:lang w:eastAsia="zh-CN"/>
        </w:rPr>
        <w:t>。</w:t>
      </w:r>
    </w:p>
    <w:p w14:paraId="07E12425"/>
    <w:p w14:paraId="7781B679">
      <w:pPr>
        <w:jc w:val="center"/>
        <w:rPr>
          <w:rFonts w:hint="default" w:ascii="Times New Roman" w:hAnsi="Times New Roman" w:eastAsia="方正小标宋_GBK" w:cs="Times New Roman"/>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964D6E-53B0-41C9-BD66-AA4138F2766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E58A291-D29C-49D1-BB67-D042AEF315B9}"/>
  </w:font>
  <w:font w:name="方正小标宋_GBK">
    <w:panose1 w:val="02000000000000000000"/>
    <w:charset w:val="86"/>
    <w:family w:val="script"/>
    <w:pitch w:val="default"/>
    <w:sig w:usb0="A00002BF" w:usb1="38CF7CFA" w:usb2="00082016" w:usb3="00000000" w:csb0="00040001" w:csb1="00000000"/>
    <w:embedRegular r:id="rId3" w:fontKey="{9C2CEE31-9B2B-42A4-A8E4-4942322DF286}"/>
  </w:font>
  <w:font w:name="仿宋_GB2312">
    <w:panose1 w:val="02010609030101010101"/>
    <w:charset w:val="86"/>
    <w:family w:val="modern"/>
    <w:pitch w:val="default"/>
    <w:sig w:usb0="00000001" w:usb1="080E0000" w:usb2="00000000" w:usb3="00000000" w:csb0="00040000" w:csb1="00000000"/>
    <w:embedRegular r:id="rId4" w:fontKey="{93F04FB6-65D0-43E8-AA5B-0BE76AA8C344}"/>
  </w:font>
  <w:font w:name="楷体_GB2312">
    <w:panose1 w:val="02010609030101010101"/>
    <w:charset w:val="86"/>
    <w:family w:val="auto"/>
    <w:pitch w:val="default"/>
    <w:sig w:usb0="00000001" w:usb1="080E0000" w:usb2="00000000" w:usb3="00000000" w:csb0="00040000" w:csb1="00000000"/>
    <w:embedRegular r:id="rId5" w:fontKey="{C6406E08-8B74-4F16-94DA-4A447B54E25E}"/>
  </w:font>
  <w:font w:name="仿宋">
    <w:panose1 w:val="02010609060101010101"/>
    <w:charset w:val="86"/>
    <w:family w:val="auto"/>
    <w:pitch w:val="default"/>
    <w:sig w:usb0="800002BF" w:usb1="38CF7CFA" w:usb2="00000016" w:usb3="00000000" w:csb0="00040001" w:csb1="00000000"/>
    <w:embedRegular r:id="rId6" w:fontKey="{82F1927F-E6DD-4F3E-B005-11B2D884E6B9}"/>
  </w:font>
  <w:font w:name="楷体">
    <w:panose1 w:val="02010609060101010101"/>
    <w:charset w:val="86"/>
    <w:family w:val="auto"/>
    <w:pitch w:val="default"/>
    <w:sig w:usb0="800002BF" w:usb1="38CF7CFA" w:usb2="00000016" w:usb3="00000000" w:csb0="00040001" w:csb1="00000000"/>
    <w:embedRegular r:id="rId7" w:fontKey="{490D5BA1-0A36-4825-B07E-A2BB95189F04}"/>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4NDE1ZTc5N2NhM2Q5MjE1ZDAyNGIzOWQzY2I4MjQifQ=="/>
  </w:docVars>
  <w:rsids>
    <w:rsidRoot w:val="34000BBF"/>
    <w:rsid w:val="04044DE2"/>
    <w:rsid w:val="08C47FFD"/>
    <w:rsid w:val="0A5E1851"/>
    <w:rsid w:val="0E40054B"/>
    <w:rsid w:val="112847B9"/>
    <w:rsid w:val="151B08BC"/>
    <w:rsid w:val="1AB505D0"/>
    <w:rsid w:val="2274785E"/>
    <w:rsid w:val="31B71515"/>
    <w:rsid w:val="34000BBF"/>
    <w:rsid w:val="46A65722"/>
    <w:rsid w:val="4981448B"/>
    <w:rsid w:val="4F3F2E1E"/>
    <w:rsid w:val="541B4188"/>
    <w:rsid w:val="57B65C47"/>
    <w:rsid w:val="5E102FCA"/>
    <w:rsid w:val="6146003C"/>
    <w:rsid w:val="6B8547EB"/>
    <w:rsid w:val="6BB26250"/>
    <w:rsid w:val="6F330EBF"/>
    <w:rsid w:val="7490224A"/>
    <w:rsid w:val="74D53729"/>
    <w:rsid w:val="7A6C58FE"/>
    <w:rsid w:val="7F201BB7"/>
    <w:rsid w:val="7F566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jc w:val="both"/>
    </w:pPr>
    <w:rPr>
      <w:rFonts w:ascii="Calibri" w:hAnsi="Calibri" w:eastAsia="宋体" w:cs="Times New Roman"/>
      <w:kern w:val="2"/>
      <w:sz w:val="28"/>
      <w:szCs w:val="24"/>
      <w:lang w:val="en-US" w:eastAsia="zh-CN" w:bidi="ar-SA"/>
    </w:rPr>
  </w:style>
  <w:style w:type="paragraph" w:styleId="3">
    <w:name w:val="toc 5"/>
    <w:basedOn w:val="1"/>
    <w:next w:val="1"/>
    <w:qFormat/>
    <w:uiPriority w:val="0"/>
    <w:pPr>
      <w:ind w:left="1680" w:leftChars="8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2868</Words>
  <Characters>3000</Characters>
  <Lines>0</Lines>
  <Paragraphs>0</Paragraphs>
  <TotalTime>2</TotalTime>
  <ScaleCrop>false</ScaleCrop>
  <LinksUpToDate>false</LinksUpToDate>
  <CharactersWithSpaces>3013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2024-03-11T02:34:00Z</dcterms:created>
  <dc:creator>许帝</dc:creator>
  <cp:lastModifiedBy>许帝</cp:lastModifiedBy>
  <cp:lastPrinted>2024-06-25T09:18:00Z</cp:lastPrinted>
  <dcterms:modified xsi:type="dcterms:W3CDTF">2025-03-11T11:18:59Z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359612F3B8F844B6B0BF9BA02342B8BE_13</vt:lpwstr>
  </property>
  <property fmtid="{D5CDD505-2E9C-101B-9397-08002B2CF9AE}" pid="4" name="KSOTemplateDocerSaveRecord">
    <vt:lpwstr>eyJoZGlkIjoiYTM4NDE1ZTc5N2NhM2Q5MjE1ZDAyNGIzOWQzY2I4MjQiLCJ1c2VySWQiOiI0NTkyODA2NzYifQ==</vt:lpwstr>
  </property>
</Properties>
</file>