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DCFF1">
      <w:pPr>
        <w:pStyle w:val="12"/>
        <w:jc w:val="center"/>
        <w:rPr>
          <w:sz w:val="56"/>
          <w:szCs w:val="56"/>
        </w:rPr>
      </w:pPr>
    </w:p>
    <w:p w14:paraId="3BDF5AB8">
      <w:pPr>
        <w:pStyle w:val="12"/>
        <w:jc w:val="center"/>
        <w:rPr>
          <w:sz w:val="56"/>
          <w:szCs w:val="56"/>
        </w:rPr>
      </w:pPr>
    </w:p>
    <w:p w14:paraId="60CA4575">
      <w:pPr>
        <w:pStyle w:val="12"/>
        <w:jc w:val="center"/>
        <w:rPr>
          <w:sz w:val="84"/>
          <w:szCs w:val="84"/>
        </w:rPr>
      </w:pPr>
    </w:p>
    <w:p w14:paraId="215EB31D">
      <w:pPr>
        <w:pStyle w:val="12"/>
        <w:jc w:val="center"/>
        <w:rPr>
          <w:sz w:val="84"/>
          <w:szCs w:val="84"/>
        </w:rPr>
      </w:pPr>
    </w:p>
    <w:p w14:paraId="376C8602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6934EBE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岳阳市图书馆单位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决算</w:t>
      </w:r>
    </w:p>
    <w:p w14:paraId="3A699C16"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72C8FB58">
      <w:pPr>
        <w:pStyle w:val="12"/>
        <w:jc w:val="center"/>
        <w:rPr>
          <w:sz w:val="56"/>
          <w:szCs w:val="56"/>
        </w:rPr>
      </w:pPr>
    </w:p>
    <w:p w14:paraId="25018D25">
      <w:pPr>
        <w:pStyle w:val="12"/>
        <w:jc w:val="center"/>
        <w:rPr>
          <w:sz w:val="56"/>
          <w:szCs w:val="56"/>
        </w:rPr>
      </w:pPr>
    </w:p>
    <w:p w14:paraId="5EE73A38">
      <w:pPr>
        <w:pStyle w:val="12"/>
        <w:jc w:val="center"/>
        <w:rPr>
          <w:sz w:val="56"/>
          <w:szCs w:val="56"/>
        </w:rPr>
      </w:pPr>
    </w:p>
    <w:p w14:paraId="297571C5">
      <w:pPr>
        <w:pStyle w:val="12"/>
        <w:jc w:val="center"/>
        <w:rPr>
          <w:sz w:val="32"/>
          <w:szCs w:val="32"/>
        </w:rPr>
      </w:pPr>
    </w:p>
    <w:p w14:paraId="08493D1E">
      <w:pPr>
        <w:pStyle w:val="12"/>
        <w:jc w:val="center"/>
        <w:rPr>
          <w:sz w:val="32"/>
          <w:szCs w:val="32"/>
        </w:rPr>
      </w:pPr>
    </w:p>
    <w:p w14:paraId="5BD6E8BD">
      <w:pPr>
        <w:pStyle w:val="12"/>
        <w:jc w:val="center"/>
        <w:rPr>
          <w:sz w:val="32"/>
          <w:szCs w:val="32"/>
        </w:rPr>
      </w:pPr>
    </w:p>
    <w:p w14:paraId="1062A3B4">
      <w:pPr>
        <w:pStyle w:val="12"/>
        <w:jc w:val="center"/>
        <w:rPr>
          <w:sz w:val="32"/>
          <w:szCs w:val="32"/>
        </w:rPr>
      </w:pPr>
    </w:p>
    <w:p w14:paraId="6311DFC7">
      <w:pPr>
        <w:pStyle w:val="12"/>
        <w:jc w:val="center"/>
        <w:rPr>
          <w:sz w:val="32"/>
          <w:szCs w:val="32"/>
        </w:rPr>
      </w:pPr>
    </w:p>
    <w:p w14:paraId="50228290">
      <w:pPr>
        <w:pStyle w:val="12"/>
        <w:spacing w:line="540" w:lineRule="exact"/>
        <w:jc w:val="center"/>
        <w:rPr>
          <w:sz w:val="56"/>
          <w:szCs w:val="56"/>
        </w:rPr>
      </w:pPr>
    </w:p>
    <w:p w14:paraId="459C483D">
      <w:pPr>
        <w:pStyle w:val="12"/>
        <w:spacing w:line="500" w:lineRule="exact"/>
        <w:jc w:val="both"/>
        <w:rPr>
          <w:b/>
          <w:sz w:val="36"/>
          <w:szCs w:val="28"/>
        </w:rPr>
      </w:pPr>
    </w:p>
    <w:p w14:paraId="24F3309B"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6CBD0C22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 xml:space="preserve"> 岳阳市图书馆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单位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060CB1D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315E49DA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 w14:paraId="3CE431DD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4B1DE222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28DAEA9B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4189E14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0621647E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28E0B17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0A1DA969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62E9A33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316661B6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2382758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69B4707F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30D2819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F99AFEC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69796A8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42F5763D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4551B6B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0BC2CE30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11D85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5F6B5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情况</w:t>
      </w:r>
    </w:p>
    <w:p w14:paraId="71D91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71B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1624E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6C86A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5E15A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5BD7D26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绩效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管理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情况的说明</w:t>
      </w:r>
    </w:p>
    <w:p w14:paraId="51852483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7D866A9C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2E7F14A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095DEAB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EEC24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5C6A94F8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EF69A9D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岳阳市图书馆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 w14:paraId="77A0C778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97AC3FB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3F2C40A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28B0AE2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469560B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5E857AF"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2C0C5216">
      <w:pPr>
        <w:ind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（一）保存借阅图书资料，促进社会经济文化发展。 图书、报刊、文献等资料的采编与储藏，图书资料借阅、网络系统的维护与管理。</w:t>
      </w:r>
    </w:p>
    <w:p w14:paraId="1B9FB30D">
      <w:pPr>
        <w:ind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（二）参与图书馆学研究，提供知识培训与社会教育。</w:t>
      </w:r>
    </w:p>
    <w:p w14:paraId="2DC82B10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072EABD5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（一）内设机构设置。岳阳市图书馆内设机构包括七部一室：技术部含网络服务部、研究发展部、信息咨询部、社会活动推广部、采编部、文献流通服务部、儿童与青少年部和办公室。</w:t>
      </w:r>
    </w:p>
    <w:p w14:paraId="4CE2DC1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岳阳市图书馆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年部门决算汇总公开单位构成包括：岳阳市图书馆无独立核算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下属单位，202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年度部门决算汇总公开单位仅包括岳阳市图书馆本级。</w:t>
      </w:r>
    </w:p>
    <w:p w14:paraId="38152785"/>
    <w:p w14:paraId="3CE56614">
      <w:pPr>
        <w:pStyle w:val="2"/>
      </w:pPr>
    </w:p>
    <w:p w14:paraId="70B4D569">
      <w:pPr>
        <w:pStyle w:val="3"/>
      </w:pPr>
    </w:p>
    <w:p w14:paraId="5B1D6CBC"/>
    <w:p w14:paraId="7D6C31E4">
      <w:pPr>
        <w:pStyle w:val="2"/>
      </w:pPr>
    </w:p>
    <w:p w14:paraId="056E4ECA">
      <w:pPr>
        <w:pStyle w:val="3"/>
      </w:pPr>
    </w:p>
    <w:p w14:paraId="3288C9C5"/>
    <w:p w14:paraId="14507043">
      <w:pPr>
        <w:pStyle w:val="2"/>
      </w:pPr>
    </w:p>
    <w:p w14:paraId="465EA8BD">
      <w:pPr>
        <w:pStyle w:val="3"/>
      </w:pPr>
    </w:p>
    <w:p w14:paraId="49E51758"/>
    <w:p w14:paraId="3DC8C6CD">
      <w:pPr>
        <w:pStyle w:val="2"/>
      </w:pPr>
    </w:p>
    <w:p w14:paraId="36E702E5">
      <w:pPr>
        <w:pStyle w:val="3"/>
      </w:pPr>
    </w:p>
    <w:p w14:paraId="0416550A"/>
    <w:p w14:paraId="28B49BCE">
      <w:pPr>
        <w:pStyle w:val="2"/>
      </w:pPr>
    </w:p>
    <w:p w14:paraId="43291855">
      <w:pPr>
        <w:pStyle w:val="3"/>
      </w:pPr>
    </w:p>
    <w:p w14:paraId="7CD92489"/>
    <w:p w14:paraId="5267F12B">
      <w:pPr>
        <w:pStyle w:val="2"/>
      </w:pPr>
    </w:p>
    <w:p w14:paraId="28828498">
      <w:pPr>
        <w:pStyle w:val="3"/>
      </w:pPr>
    </w:p>
    <w:p w14:paraId="04E62672"/>
    <w:p w14:paraId="1D6D7A8B">
      <w:pPr>
        <w:pStyle w:val="2"/>
      </w:pPr>
    </w:p>
    <w:p w14:paraId="2E47952B">
      <w:pPr>
        <w:pStyle w:val="3"/>
      </w:pPr>
    </w:p>
    <w:p w14:paraId="18A19BE5"/>
    <w:p w14:paraId="7CCBF86D">
      <w:pPr>
        <w:pStyle w:val="2"/>
      </w:pPr>
    </w:p>
    <w:p w14:paraId="0017F5EC">
      <w:pPr>
        <w:pStyle w:val="3"/>
      </w:pPr>
    </w:p>
    <w:p w14:paraId="76181D4E"/>
    <w:p w14:paraId="1A17486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B49F2B7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61BBFC8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5FB02ED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860F18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50A5962C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325AF5B5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568D1B8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C65B646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2EA5E89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3BFFD84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565BABE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EEAB3EF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03C04A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A44A82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6211665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804FBAA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7D53C949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F77A5A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17862F9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EEC30AB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17367C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EF1049C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E4B3CF9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14C0722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11D7AB8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2411C08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27E90CA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1601.80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%，主要是因为新增设施设备维护费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和人员经费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F4445C9">
      <w:pPr>
        <w:pStyle w:val="2"/>
        <w:rPr>
          <w:rFonts w:hint="eastAsia"/>
          <w:lang w:val="en-US" w:eastAsia="zh-CN"/>
        </w:rPr>
      </w:pPr>
    </w:p>
    <w:p w14:paraId="07DA9E3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2A53B2A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1601.80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万元，其中：财政拨款收入1594.16万元，占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99.52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0.48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2D1A2B4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306115A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1596.33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965.52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60.48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%；项目支出630.81万元，占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39.52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985752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2B8B10A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年度财政拨款收、支总计1594.16万元，与上年相比，增加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%，主要是因为新增设施设备维护费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和人员经费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BB30A6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6023283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36F15B1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i/>
          <w:iCs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年度财政拨款支出1594.16万元，占本年支出合计的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99.52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3.15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%，主要是因为新增设施设备维护费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和人员经费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6C54C8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100B560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年度财政拨款支出1594.16万元，主要用于以下方面：</w:t>
      </w:r>
      <w:r>
        <w:rPr>
          <w:rFonts w:hint="eastAsia" w:ascii="Times New Roman" w:hAnsi="Times New Roman" w:eastAsia="仿宋_GB2312"/>
          <w:sz w:val="32"/>
          <w:szCs w:val="32"/>
        </w:rPr>
        <w:t>文化旅游体育与传媒支出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1299.56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81.52</w:t>
      </w:r>
      <w:r>
        <w:rPr>
          <w:rFonts w:hint="eastAsia" w:ascii="Times New Roman" w:hAnsi="Times New Roman" w:eastAsia="仿宋_GB2312"/>
          <w:sz w:val="32"/>
          <w:szCs w:val="32"/>
        </w:rPr>
        <w:t>%；社会保障和就业支出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184.69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11.59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_GB2312"/>
          <w:sz w:val="32"/>
          <w:szCs w:val="32"/>
        </w:rPr>
        <w:t>卫生健康支出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51.62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3.24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_GB2312"/>
          <w:sz w:val="32"/>
          <w:szCs w:val="32"/>
        </w:rPr>
        <w:t>住房保障支出58.29万元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_GB2312"/>
          <w:sz w:val="32"/>
          <w:szCs w:val="32"/>
        </w:rPr>
        <w:t>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3.66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hint="eastAsia" w:ascii="楷体" w:hAnsi="楷体" w:eastAsia="楷体" w:cs="楷体"/>
          <w:i/>
          <w:sz w:val="32"/>
          <w:szCs w:val="32"/>
        </w:rPr>
        <w:t>。</w:t>
      </w:r>
    </w:p>
    <w:p w14:paraId="5CDBADF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5B07DAE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964.60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1594.16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165.27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7B46A6B5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文化旅游体育与传媒支出（类）文化和旅游（款）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其他文化旅游体育与传媒支出（项）</w:t>
      </w:r>
    </w:p>
    <w:p w14:paraId="0C092161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年初预算为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万元，支出决算为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112.47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万元，决算数大于年初预算数的主要原因是：新图书馆社会知名度提高，进馆读者数量增多，增加日常经费。</w:t>
      </w:r>
    </w:p>
    <w:p w14:paraId="5B00BED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2、文化旅游体育与传媒支出（类）文化和旅游（款）图书馆（项）。</w:t>
      </w:r>
    </w:p>
    <w:p w14:paraId="2491B8B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年初预算为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682.39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万元，支出决算为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698.71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万元，完成年初预算的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102.39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%，决算数大于年初预算数的主要原因是：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为满足市民文化需求，2024年暑期、国庆节等时段开启延长开馆时间，水电费用增加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C39559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3、文化旅游体育与传媒支出（类）文化和旅游（款） 其他文化和旅游支出（项）。</w:t>
      </w:r>
    </w:p>
    <w:p w14:paraId="64BA042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年初预算为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万元，支出决算为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489.51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万元，决算数大于年初预算数的主要原因是：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为满足读者需求，我馆开展更加丰富的线上线下阅读推广活动、研学活动等，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网络维护费（原该项经费由项目公司负责管理）及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阅读推广活动费用增加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 w14:paraId="0C18894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4、社会保障和就业支出（类）行政事业单位养老支出（款）机关事业单位基本养老保险缴费支出（项）。</w:t>
      </w:r>
    </w:p>
    <w:p w14:paraId="59EED0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167.13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185.73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111.13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人员经费增加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03BC9B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5、卫生健康支出（类）行政事业单位医疗（款）事业单位医疗（项）。</w:t>
      </w:r>
    </w:p>
    <w:p w14:paraId="454F876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93.35</w:t>
      </w:r>
      <w:r>
        <w:rPr>
          <w:rFonts w:hint="eastAsia" w:ascii="仿宋_GB2312" w:hAnsi="仿宋_GB2312" w:eastAsia="仿宋_GB2312" w:cs="仿宋_GB2312"/>
          <w:sz w:val="32"/>
          <w:szCs w:val="32"/>
        </w:rPr>
        <w:t>%,决算数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本单位人员异动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26951B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6、住房保障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支出（类）行政事业单位住房改革支出（款）机关事业住房公积金支出（项）。</w:t>
      </w:r>
    </w:p>
    <w:p w14:paraId="0D888FB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97.49</w:t>
      </w:r>
      <w:r>
        <w:rPr>
          <w:rFonts w:hint="eastAsia" w:ascii="仿宋_GB2312" w:hAnsi="仿宋_GB2312" w:eastAsia="仿宋_GB2312" w:cs="仿宋_GB2312"/>
          <w:sz w:val="32"/>
          <w:szCs w:val="32"/>
        </w:rPr>
        <w:t>%,决算数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本单位人员异动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73E8BA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293AEB6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一般公共预算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963.34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763B784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894.15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92.82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%,主要包括基本工资、奖金、伙食补助费、绩效工资、机关事业单位基本养老保险缴费、职工基本医疗保险缴费、其他社会保障缴费、住房公积金、其他工资福利支出、退休费、生活补助、奖励金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8A9D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印刷费、水费、电费、邮电费、差旅费、维修（护）费、培训费、公务接待费、专用材料费、劳务费、工会经费、公务用车运行维护费，其他交通费用、其他商品和服务支出、办公设备购置。</w:t>
      </w:r>
    </w:p>
    <w:p w14:paraId="238B276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1259255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2024年度政府性基金预算财政拨款收入0万元；年初结转和结余0万元；支出0万元，其中基本支出0万元，项目支出0万元；年末结转和结余0万元。</w:t>
      </w:r>
    </w:p>
    <w:p w14:paraId="28BDC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155FE196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2024年度国有资本经营预算财政拨款收入0万元；年初结转和结余0万；支出0万元，其中：基本支出0万元，项目支出0万元；年末结转和结余0万元。</w:t>
      </w:r>
    </w:p>
    <w:p w14:paraId="5876C25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6298EF1D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经费财政拨款支出决算总体情况说明</w:t>
      </w:r>
    </w:p>
    <w:p w14:paraId="7335E3AA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2024年度“三公”经费财政拨款支出预算为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0.33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0.33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%；与上年相比增加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0.01</w:t>
      </w:r>
      <w:r>
        <w:rPr>
          <w:rFonts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3.13</w:t>
      </w:r>
      <w:r>
        <w:rPr>
          <w:rFonts w:ascii="Times New Roman" w:hAnsi="Times New Roman" w:eastAsia="仿宋_GB2312" w:cs="Times New Roman"/>
          <w:sz w:val="32"/>
          <w:szCs w:val="32"/>
        </w:rPr>
        <w:t>%。决算数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等于</w:t>
      </w:r>
      <w:r>
        <w:rPr>
          <w:rFonts w:ascii="Times New Roman" w:hAnsi="Times New Roman" w:eastAsia="仿宋_GB2312" w:cs="Times New Roman"/>
          <w:sz w:val="32"/>
          <w:szCs w:val="32"/>
        </w:rPr>
        <w:t>预算数的主要原因是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主要原因是我单位严格按预算执行决算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52D03A7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（二）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经费财政拨款支出决算具体情况说明</w:t>
      </w:r>
    </w:p>
    <w:p w14:paraId="31A1B304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因公出国（境）费支出预算为0万元，支出决算为0万元，决算数等于预算数，主要原因是我单位严格按预算执行决算；与上年一致，无增减变动，主要原因是未安排因公出国（境）活动。2024年度安排因公出国（境）团组0个，累计0人次。</w:t>
      </w:r>
    </w:p>
    <w:p w14:paraId="3B8FF5F7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2.公务用车购置费支出预算为0万元，支出决算为0万元，决算数等于预算数，主要原因是我单位严格按预算执行决算；与上年一致，无增减变动，主要原因是两年均未购置公务用车。本单位更新公务用车0辆。</w:t>
      </w:r>
    </w:p>
    <w:p w14:paraId="6A60862C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" w:cs="Times New Roman"/>
          <w:b/>
          <w:bCs/>
          <w:i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公务用车运行维护费支出预算为0万元，支出决算为0万元，决算数等于预算数，主要原因是我单位严格按预算执行决算；与上年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相比减少100%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公务用车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需运行维护。截止到2024年12月31日，我单位开支财政拨款的公务用车保有量为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辆。</w:t>
      </w:r>
    </w:p>
    <w:p w14:paraId="039328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 w:cs="Times New Roman"/>
          <w:sz w:val="32"/>
          <w:szCs w:val="32"/>
        </w:rPr>
        <w:t>公务接待费支出预算为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0.33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0.33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%；与上年相比增加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0.33</w:t>
      </w:r>
      <w:r>
        <w:rPr>
          <w:rFonts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%。决算数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等于</w:t>
      </w:r>
      <w:r>
        <w:rPr>
          <w:rFonts w:ascii="Times New Roman" w:hAnsi="Times New Roman" w:eastAsia="仿宋_GB2312" w:cs="Times New Roman"/>
          <w:sz w:val="32"/>
          <w:szCs w:val="32"/>
        </w:rPr>
        <w:t>预算数的主要原因是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我单位严格按预算执行决算</w:t>
      </w:r>
      <w:r>
        <w:rPr>
          <w:rFonts w:ascii="Times New Roman" w:hAnsi="Times New Roman" w:eastAsia="仿宋_GB2312" w:cs="Times New Roman"/>
          <w:sz w:val="32"/>
          <w:szCs w:val="32"/>
        </w:rPr>
        <w:t>。决算数大于上年数的主要原因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2023年12月5日阅读推广学习交流产生的公务接待费用年底科目无法调剂未支付，故2024年调整预算编制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2024年度共接待来访团组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个、来宾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人次。</w:t>
      </w:r>
    </w:p>
    <w:p w14:paraId="3D06ACE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38BA3ACD">
      <w:pPr>
        <w:pStyle w:val="12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2023年度岳阳市图书馆机关运行经费支出0万元，比年初预算数增加0万元，主要原因是：本级和所属单位均为事业单位，按照机关运行经费的口径，本年度机关运行经费为0。</w:t>
      </w:r>
    </w:p>
    <w:p w14:paraId="39684EF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5E588319">
      <w:pPr>
        <w:pStyle w:val="1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年度，会议费年初预算0.08万元，支出决算为0.08万元，完成年初预算的100%。用于召开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图书馆学会馆长联系会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内容为图书馆学会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会员发展情况及相关课题申报情况交流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BF19328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培训费年初预算2.14万元，支出决算为2.14万元，完成年初预算的100%。用于开展图书馆新增业务培训，人数30人，内容为图书馆学会培训。。</w:t>
      </w:r>
    </w:p>
    <w:p w14:paraId="362F9A0F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40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举办节庆、晚会、论坛、赛事活动年初预算0万元，支出决算为0万元，主要是本单位无举办节庆、晚会、论坛、赛事等活动的预算和支出决算数。</w:t>
      </w:r>
    </w:p>
    <w:p w14:paraId="252D0BE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087F52B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/>
          <w:i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176.55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110.26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176.55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176.55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246A0DF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61F9301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本单位共有车辆1辆，其中，主要领导干部用车0辆，机要通信用车0辆、应急保障用车0辆、执法执勤用车0辆、特种专业技术用车0辆、其他用车1辆，其他用车主要是图书馆流动服务车；单位价值50万元以上通用设备0台（套）；单位价值100万元以上专用设备0台（套）。</w:t>
      </w:r>
    </w:p>
    <w:p w14:paraId="0A8224A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绩效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管理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情况的说明</w:t>
      </w:r>
    </w:p>
    <w:p w14:paraId="0EB60D67"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</w:t>
      </w:r>
    </w:p>
    <w:p w14:paraId="4AF1E566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绩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效自评开展情况。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我单位组织对202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年度一般公共预算项目支出全面开展绩效自评，其中，一级项目0个，二级项目0个，共涉及资金0万元，占一般公共预算项目支出总额的0%。组织对202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年度0个政府性基金预算项目支出开展绩效自评，共涉及资金0万元，占政府性基金预算项目支出总额的0%。组织对202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年度0个国有资本经营预算项目支出开展绩效自评，共涉及资金0万元，占国有资本经营预算项目支出总额的0%。</w:t>
      </w:r>
    </w:p>
    <w:p w14:paraId="04347C8E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组织对0个项目开展了部门评价，涉及一般公共预算支出0万元，政府性基金预算支出0万元，国有资本经营预算支出0万元。从评价情况来看，未开展此项目部门评价。</w:t>
      </w:r>
    </w:p>
    <w:p w14:paraId="3E6B6DCD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组织对岳阳市图书馆开展整体支出绩效评价，涉及一般公共预算支出15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94.16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万元，政府性基金预算支出0万元。从评价情况来看，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高度重视、及时部署；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上下联动、推进有序；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参与广泛、种类丰富；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共同发力、反响热烈。</w:t>
      </w:r>
    </w:p>
    <w:p w14:paraId="7B8EEEF8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部门评价结果。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本单位为二级预算单位，部门评价结果可详见上级部门决算公开说明。</w:t>
      </w:r>
    </w:p>
    <w:p w14:paraId="5DC4775D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lang w:val="en-US" w:eastAsia="zh-CN"/>
        </w:rPr>
        <w:t>事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  <w:highlight w:val="none"/>
        </w:rPr>
        <w:t>前绩效评估结果。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本单位为二级预算单位，事前绩效评估结果可详见上级部门决算公开说明。</w:t>
      </w:r>
    </w:p>
    <w:p w14:paraId="2C89E516">
      <w:pPr>
        <w:numPr>
          <w:ilvl w:val="0"/>
          <w:numId w:val="3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  <w:t>评价结果应用情况</w:t>
      </w:r>
    </w:p>
    <w:p w14:paraId="2E1CBAA7">
      <w:pPr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请根据2024年度绩效自评结果、部门评价结果、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事前绩效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评价结果对本部门2025年度预算安排，支出结构调整，资金管理，制度建设等方面结果运用进行简要说明。</w:t>
      </w:r>
    </w:p>
    <w:p w14:paraId="147E06D0">
      <w:pPr>
        <w:autoSpaceDE w:val="0"/>
        <w:autoSpaceDN w:val="0"/>
        <w:adjustRightInd w:val="0"/>
        <w:ind w:firstLine="640" w:firstLineChars="200"/>
        <w:jc w:val="left"/>
        <w:rPr>
          <w:rFonts w:hint="eastAsia" w:ascii="方正小标宋_GBK" w:hAnsi="方正小标宋_GBK" w:eastAsia="方正小标宋_GBK" w:cs="方正小标宋_GBK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3D83FDA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FB6F21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A01B6B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75C100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A5A782C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2DDD6447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41992F8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571298D0">
      <w:pPr>
        <w:pStyle w:val="2"/>
      </w:pPr>
    </w:p>
    <w:p w14:paraId="5331F884">
      <w:pPr>
        <w:pStyle w:val="3"/>
      </w:pPr>
    </w:p>
    <w:p w14:paraId="2CCAD852"/>
    <w:p w14:paraId="440E89DF">
      <w:pPr>
        <w:pStyle w:val="2"/>
      </w:pPr>
    </w:p>
    <w:p w14:paraId="645B9B76">
      <w:pPr>
        <w:pStyle w:val="3"/>
      </w:pPr>
    </w:p>
    <w:p w14:paraId="539F25AC"/>
    <w:p w14:paraId="47AFAB8F">
      <w:pPr>
        <w:pStyle w:val="2"/>
      </w:pPr>
    </w:p>
    <w:p w14:paraId="479D6353">
      <w:pPr>
        <w:pStyle w:val="3"/>
      </w:pPr>
    </w:p>
    <w:p w14:paraId="648103ED"/>
    <w:p w14:paraId="08A5EA8F">
      <w:pPr>
        <w:pStyle w:val="2"/>
      </w:pPr>
    </w:p>
    <w:p w14:paraId="3FD0BAB6">
      <w:pPr>
        <w:pStyle w:val="3"/>
      </w:pPr>
    </w:p>
    <w:p w14:paraId="1CAE18D7"/>
    <w:p w14:paraId="5994BDDC">
      <w:pPr>
        <w:pStyle w:val="2"/>
      </w:pPr>
    </w:p>
    <w:p w14:paraId="51F60F8D">
      <w:pPr>
        <w:pStyle w:val="3"/>
      </w:pPr>
    </w:p>
    <w:p w14:paraId="715B8195"/>
    <w:p w14:paraId="3F608935">
      <w:pPr>
        <w:pStyle w:val="2"/>
      </w:pPr>
    </w:p>
    <w:p w14:paraId="274FE3C9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1741E604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02E59030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61CE71B9">
      <w:pPr>
        <w:pStyle w:val="2"/>
        <w:rPr>
          <w:rFonts w:hint="eastAsia"/>
        </w:rPr>
      </w:pPr>
    </w:p>
    <w:p w14:paraId="793F6BC2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6E8D92A8"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73E5FC85">
      <w:pPr>
        <w:pStyle w:val="3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62F7FFE3">
      <w:pPr>
        <w:rPr>
          <w:rFonts w:hint="eastAsia"/>
        </w:rPr>
      </w:pPr>
    </w:p>
    <w:p w14:paraId="433F5553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5D926B1A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262B2EAF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三、三、财政拨款收入:指市级财政当年拨付的资金。</w:t>
      </w:r>
    </w:p>
    <w:p w14:paraId="3690B49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四、上级补助收入:指单位从主管部门]和上级单位取得的非财政性补</w:t>
      </w:r>
    </w:p>
    <w:p w14:paraId="35B4090A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助收入。</w:t>
      </w:r>
    </w:p>
    <w:p w14:paraId="3554080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五、其他收入:指除上述“财政拨款收入”、“ 上级补助收入”、“事</w:t>
      </w:r>
    </w:p>
    <w:p w14:paraId="31C87572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业收入”、“经营收入” 、“附属 单位上缴收入”等以外的收入。</w:t>
      </w:r>
    </w:p>
    <w:p w14:paraId="54A712A2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六、上年结转和结余:指以前年度尚未完成、结转到本年按有关规定</w:t>
      </w:r>
    </w:p>
    <w:p w14:paraId="611D5036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继续使用的资金。</w:t>
      </w:r>
    </w:p>
    <w:p w14:paraId="21F7B837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七、基本支出:指保障机构正常运转、完成支日常工作任务而发生的</w:t>
      </w:r>
    </w:p>
    <w:p w14:paraId="17138348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人员支出和公用支出。</w:t>
      </w:r>
    </w:p>
    <w:p w14:paraId="0AFCD31A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八、项目支出:指在基本支出之外为完成特定行政任务和事业发展目</w:t>
      </w:r>
    </w:p>
    <w:p w14:paraId="1A0306F4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标所发生的支出。</w:t>
      </w:r>
    </w:p>
    <w:p w14:paraId="5ABAD063">
      <w:pPr>
        <w:pStyle w:val="3"/>
      </w:pPr>
    </w:p>
    <w:p w14:paraId="29D3A91E"/>
    <w:p w14:paraId="29230CAD">
      <w:pPr>
        <w:pStyle w:val="3"/>
        <w:ind w:left="0" w:leftChars="0" w:firstLine="0" w:firstLineChars="0"/>
      </w:pPr>
    </w:p>
    <w:p w14:paraId="724E0A54"/>
    <w:p w14:paraId="496F732E">
      <w:pPr>
        <w:pStyle w:val="2"/>
      </w:pPr>
    </w:p>
    <w:p w14:paraId="354ECFD8">
      <w:pPr>
        <w:pStyle w:val="3"/>
      </w:pPr>
    </w:p>
    <w:p w14:paraId="51C67B38"/>
    <w:p w14:paraId="4D131F3E"/>
    <w:p w14:paraId="7CFBCE3C">
      <w:pPr>
        <w:pStyle w:val="2"/>
      </w:pPr>
    </w:p>
    <w:p w14:paraId="5C3DE094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C1858E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592BF6CA"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490142D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3243C04E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4EAC9354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年部门决算公开表格</w:t>
      </w:r>
    </w:p>
    <w:p w14:paraId="27E2EE8B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045AD96C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ECFD4"/>
    <w:multiLevelType w:val="singleLevel"/>
    <w:tmpl w:val="8EDECFD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5CD75E"/>
    <w:multiLevelType w:val="singleLevel"/>
    <w:tmpl w:val="4C5CD75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59958AD"/>
    <w:rsid w:val="06C857E7"/>
    <w:rsid w:val="08C24A73"/>
    <w:rsid w:val="11944E2C"/>
    <w:rsid w:val="12583BA5"/>
    <w:rsid w:val="13BA5B9C"/>
    <w:rsid w:val="146A58DA"/>
    <w:rsid w:val="1D97DEFF"/>
    <w:rsid w:val="1DFF72E5"/>
    <w:rsid w:val="1EFC6F07"/>
    <w:rsid w:val="1F0527A6"/>
    <w:rsid w:val="22AC03C2"/>
    <w:rsid w:val="283B15FE"/>
    <w:rsid w:val="2F6A327C"/>
    <w:rsid w:val="2FDF85B8"/>
    <w:rsid w:val="2FFFEE04"/>
    <w:rsid w:val="31C95635"/>
    <w:rsid w:val="34D123D8"/>
    <w:rsid w:val="34DF85B0"/>
    <w:rsid w:val="39F42D4A"/>
    <w:rsid w:val="3B8F36BC"/>
    <w:rsid w:val="43EB5BA5"/>
    <w:rsid w:val="48807DF6"/>
    <w:rsid w:val="491FF225"/>
    <w:rsid w:val="4EC310A1"/>
    <w:rsid w:val="4FFD214C"/>
    <w:rsid w:val="5352765A"/>
    <w:rsid w:val="5777D4F5"/>
    <w:rsid w:val="57F22B6F"/>
    <w:rsid w:val="59DD8326"/>
    <w:rsid w:val="59F4445B"/>
    <w:rsid w:val="5DEF592A"/>
    <w:rsid w:val="5FC6BB1E"/>
    <w:rsid w:val="5FF720F1"/>
    <w:rsid w:val="622964C1"/>
    <w:rsid w:val="67FF5C0B"/>
    <w:rsid w:val="6BAA4A2F"/>
    <w:rsid w:val="6DDEC5C0"/>
    <w:rsid w:val="6EFC0924"/>
    <w:rsid w:val="6FB74722"/>
    <w:rsid w:val="6FEF8B7E"/>
    <w:rsid w:val="717FE77F"/>
    <w:rsid w:val="71A6591B"/>
    <w:rsid w:val="737D59BA"/>
    <w:rsid w:val="737F32B1"/>
    <w:rsid w:val="73BD3FCA"/>
    <w:rsid w:val="776BDA01"/>
    <w:rsid w:val="77C37683"/>
    <w:rsid w:val="79FF515B"/>
    <w:rsid w:val="7DFBFF20"/>
    <w:rsid w:val="7E9E1962"/>
    <w:rsid w:val="7E9F11B4"/>
    <w:rsid w:val="7F37EC1E"/>
    <w:rsid w:val="7F7C0DDA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B6BE5A03"/>
    <w:rsid w:val="B8C93228"/>
    <w:rsid w:val="C3B4DA5A"/>
    <w:rsid w:val="C4FF458C"/>
    <w:rsid w:val="C7BBD038"/>
    <w:rsid w:val="CBFF70E0"/>
    <w:rsid w:val="CFF50B82"/>
    <w:rsid w:val="CFFFAD89"/>
    <w:rsid w:val="DFFE359E"/>
    <w:rsid w:val="DFFE4FFD"/>
    <w:rsid w:val="DFFF5403"/>
    <w:rsid w:val="EBC3E00A"/>
    <w:rsid w:val="EDFBE100"/>
    <w:rsid w:val="EEABED75"/>
    <w:rsid w:val="EF7E8003"/>
    <w:rsid w:val="F56FDF51"/>
    <w:rsid w:val="F5F3EE78"/>
    <w:rsid w:val="F6B69F17"/>
    <w:rsid w:val="F6E5BB3A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94102"/>
    <w:rsid w:val="FFFF1C8B"/>
    <w:rsid w:val="FF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15</Pages>
  <Words>4943</Words>
  <Characters>5429</Characters>
  <Lines>63</Lines>
  <Paragraphs>18</Paragraphs>
  <TotalTime>45</TotalTime>
  <ScaleCrop>false</ScaleCrop>
  <LinksUpToDate>false</LinksUpToDate>
  <CharactersWithSpaces>5450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2020-07-10T18:32:00Z</dcterms:created>
  <dc:creator>李航 null</dc:creator>
  <cp:lastModifiedBy>夏天知了在叫</cp:lastModifiedBy>
  <cp:lastPrinted>2024-08-11T02:20:00Z</cp:lastPrinted>
  <dcterms:modified xsi:type="dcterms:W3CDTF">2025-09-29T03:32:47Z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CF024D43BC9E42AAB025109103033E07_13</vt:lpwstr>
  </property>
  <property fmtid="{D5CDD505-2E9C-101B-9397-08002B2CF9AE}" pid="4" name="KSOTemplateDocerSaveRecord">
    <vt:lpwstr>eyJoZGlkIjoiMTYyMTQ0NGZjYzA0ZWFhNzNiNGVhYjAyNDVjOTYwMjEiLCJ1c2VySWQiOiIyNTAwNzQ1NjMifQ==</vt:lpwstr>
  </property>
</Properties>
</file>