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2"/>
        <w:jc w:val="center"/>
        <w:rPr>
          <w:sz w:val="56"/>
          <w:szCs w:val="56"/>
        </w:rPr>
      </w:pPr>
    </w:p>
    <w:p w14:paraId="3BDF5AB8">
      <w:pPr>
        <w:pStyle w:val="12"/>
        <w:jc w:val="center"/>
        <w:rPr>
          <w:sz w:val="56"/>
          <w:szCs w:val="56"/>
        </w:rPr>
      </w:pPr>
    </w:p>
    <w:p w14:paraId="60CA4575">
      <w:pPr>
        <w:pStyle w:val="12"/>
        <w:jc w:val="center"/>
        <w:rPr>
          <w:sz w:val="84"/>
          <w:szCs w:val="84"/>
        </w:rPr>
      </w:pPr>
    </w:p>
    <w:p w14:paraId="215EB31D">
      <w:pPr>
        <w:pStyle w:val="12"/>
        <w:jc w:val="center"/>
        <w:rPr>
          <w:sz w:val="84"/>
          <w:szCs w:val="84"/>
        </w:rPr>
      </w:pPr>
    </w:p>
    <w:p w14:paraId="376C860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岳阳市博物馆</w:t>
      </w:r>
      <w:r>
        <w:rPr>
          <w:rFonts w:hint="eastAsia" w:ascii="方正小标宋_GBK" w:hAnsi="方正小标宋_GBK" w:eastAsia="方正小标宋_GBK" w:cs="方正小标宋_GBK"/>
          <w:sz w:val="84"/>
          <w:szCs w:val="84"/>
        </w:rPr>
        <w:t>部门部门决算</w:t>
      </w:r>
    </w:p>
    <w:p w14:paraId="3A699C16">
      <w:pPr>
        <w:pStyle w:val="12"/>
        <w:jc w:val="center"/>
        <w:rPr>
          <w:rFonts w:hint="eastAsia" w:ascii="方正小标宋_GBK" w:hAnsi="方正小标宋_GBK" w:eastAsia="方正小标宋_GBK" w:cs="方正小标宋_GBK"/>
          <w:sz w:val="56"/>
          <w:szCs w:val="56"/>
        </w:rPr>
      </w:pPr>
    </w:p>
    <w:p w14:paraId="72C8FB58">
      <w:pPr>
        <w:pStyle w:val="12"/>
        <w:jc w:val="center"/>
        <w:rPr>
          <w:sz w:val="56"/>
          <w:szCs w:val="56"/>
        </w:rPr>
      </w:pPr>
    </w:p>
    <w:p w14:paraId="25018D25">
      <w:pPr>
        <w:pStyle w:val="12"/>
        <w:jc w:val="center"/>
        <w:rPr>
          <w:sz w:val="56"/>
          <w:szCs w:val="56"/>
        </w:rPr>
      </w:pPr>
    </w:p>
    <w:p w14:paraId="5EE73A38">
      <w:pPr>
        <w:pStyle w:val="12"/>
        <w:jc w:val="center"/>
        <w:rPr>
          <w:sz w:val="56"/>
          <w:szCs w:val="56"/>
        </w:rPr>
      </w:pPr>
    </w:p>
    <w:p w14:paraId="297571C5">
      <w:pPr>
        <w:pStyle w:val="12"/>
        <w:jc w:val="center"/>
        <w:rPr>
          <w:sz w:val="32"/>
          <w:szCs w:val="32"/>
        </w:rPr>
      </w:pPr>
    </w:p>
    <w:p w14:paraId="08493D1E">
      <w:pPr>
        <w:pStyle w:val="12"/>
        <w:jc w:val="center"/>
        <w:rPr>
          <w:sz w:val="32"/>
          <w:szCs w:val="32"/>
        </w:rPr>
      </w:pPr>
    </w:p>
    <w:p w14:paraId="5BD6E8BD">
      <w:pPr>
        <w:pStyle w:val="12"/>
        <w:jc w:val="center"/>
        <w:rPr>
          <w:sz w:val="32"/>
          <w:szCs w:val="32"/>
        </w:rPr>
      </w:pPr>
    </w:p>
    <w:p w14:paraId="1062A3B4">
      <w:pPr>
        <w:pStyle w:val="12"/>
        <w:jc w:val="center"/>
        <w:rPr>
          <w:sz w:val="32"/>
          <w:szCs w:val="32"/>
        </w:rPr>
      </w:pPr>
    </w:p>
    <w:p w14:paraId="6311DFC7">
      <w:pPr>
        <w:pStyle w:val="12"/>
        <w:jc w:val="center"/>
        <w:rPr>
          <w:sz w:val="32"/>
          <w:szCs w:val="32"/>
        </w:rPr>
      </w:pPr>
    </w:p>
    <w:p w14:paraId="50228290">
      <w:pPr>
        <w:pStyle w:val="12"/>
        <w:spacing w:line="540" w:lineRule="exact"/>
        <w:jc w:val="center"/>
        <w:rPr>
          <w:sz w:val="56"/>
          <w:szCs w:val="56"/>
        </w:rPr>
      </w:pPr>
    </w:p>
    <w:p w14:paraId="459C483D">
      <w:pPr>
        <w:pStyle w:val="12"/>
        <w:spacing w:line="500" w:lineRule="exact"/>
        <w:jc w:val="both"/>
        <w:rPr>
          <w:b/>
          <w:sz w:val="36"/>
          <w:szCs w:val="28"/>
        </w:rPr>
      </w:pPr>
    </w:p>
    <w:p w14:paraId="24F3309B">
      <w:pPr>
        <w:pStyle w:val="12"/>
        <w:spacing w:line="500" w:lineRule="exact"/>
        <w:jc w:val="center"/>
        <w:rPr>
          <w:b/>
          <w:sz w:val="36"/>
          <w:szCs w:val="28"/>
        </w:rPr>
      </w:pPr>
      <w:r>
        <w:rPr>
          <w:rFonts w:hint="eastAsia"/>
          <w:b/>
          <w:sz w:val="36"/>
          <w:szCs w:val="28"/>
        </w:rPr>
        <w:t>目录</w:t>
      </w:r>
    </w:p>
    <w:p w14:paraId="6CBD0C2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岳阳市博物馆</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14:paraId="060CB1D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2"/>
        <w:jc w:val="center"/>
        <w:rPr>
          <w:rFonts w:hint="eastAsia" w:ascii="方正小标宋_GBK" w:hAnsi="方正小标宋_GBK" w:eastAsia="方正小标宋_GBK" w:cs="方正小标宋_GBK"/>
          <w:sz w:val="84"/>
          <w:szCs w:val="84"/>
        </w:rPr>
      </w:pPr>
    </w:p>
    <w:p w14:paraId="1095DEAB">
      <w:pPr>
        <w:pStyle w:val="12"/>
        <w:jc w:val="center"/>
        <w:rPr>
          <w:rFonts w:hint="eastAsia" w:ascii="方正小标宋_GBK" w:hAnsi="方正小标宋_GBK" w:eastAsia="方正小标宋_GBK" w:cs="方正小标宋_GBK"/>
          <w:sz w:val="84"/>
          <w:szCs w:val="84"/>
        </w:rPr>
      </w:pPr>
    </w:p>
    <w:p w14:paraId="0DEEC24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2"/>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岳阳市博物馆</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1469560B">
      <w:pPr>
        <w:pStyle w:val="3"/>
        <w:rPr>
          <w:rFonts w:hint="eastAsia" w:ascii="方正小标宋_GBK" w:hAnsi="方正小标宋_GBK" w:eastAsia="方正小标宋_GBK" w:cs="方正小标宋_GBK"/>
          <w:sz w:val="84"/>
          <w:szCs w:val="84"/>
        </w:rPr>
      </w:pPr>
    </w:p>
    <w:p w14:paraId="55E857AF">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1EC0B703">
      <w:pPr>
        <w:keepNext w:val="0"/>
        <w:keepLines w:val="0"/>
        <w:pageBreakBefore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right="0"/>
        <w:jc w:val="left"/>
        <w:outlineLvl w:val="9"/>
        <w:rPr>
          <w:rFonts w:ascii="仿宋_GB2312" w:hAnsi="仿宋_GB2312" w:eastAsia="仿宋_GB2312" w:cs="仿宋_GB2312"/>
          <w:color w:val="000000"/>
          <w:spacing w:val="0"/>
          <w:w w:val="100"/>
          <w:position w:val="0"/>
          <w:sz w:val="32"/>
          <w:szCs w:val="32"/>
          <w:u w:val="none" w:color="000000"/>
          <w:vertAlign w:val="baseline"/>
          <w:lang w:val="zh-TW" w:eastAsia="zh-TW"/>
        </w:rPr>
      </w:pPr>
      <w:r>
        <w:rPr>
          <w:rFonts w:ascii="仿宋_GB2312" w:hAnsi="仿宋_GB2312" w:eastAsia="仿宋_GB2312" w:cs="仿宋_GB2312"/>
          <w:color w:val="000000"/>
          <w:spacing w:val="0"/>
          <w:w w:val="100"/>
          <w:position w:val="0"/>
          <w:sz w:val="32"/>
          <w:szCs w:val="32"/>
          <w:u w:val="none" w:color="000000"/>
          <w:vertAlign w:val="baseline"/>
          <w:rtl w:val="0"/>
          <w:lang w:val="zh-TW" w:eastAsia="zh-TW"/>
        </w:rPr>
        <w:t>（一）</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负责岳阳博物馆的日常管理和运营工作，组织开展馆藏文物、博物馆学术研究。</w:t>
      </w:r>
    </w:p>
    <w:p w14:paraId="69ADE851">
      <w:pPr>
        <w:keepNext w:val="0"/>
        <w:keepLines w:val="0"/>
        <w:pageBreakBefore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right="0"/>
        <w:jc w:val="left"/>
        <w:outlineLvl w:val="9"/>
        <w:rPr>
          <w:rFonts w:ascii="Times New Roman" w:hAnsi="Times New Roman" w:eastAsia="Times New Roman" w:cs="Times New Roman"/>
          <w:color w:val="000000"/>
          <w:spacing w:val="0"/>
          <w:w w:val="100"/>
          <w:kern w:val="0"/>
          <w:position w:val="0"/>
          <w:sz w:val="32"/>
          <w:szCs w:val="32"/>
          <w:u w:val="none" w:color="000000"/>
          <w:vertAlign w:val="baseline"/>
          <w:lang w:val="zh-TW" w:eastAsia="zh-TW"/>
        </w:rPr>
      </w:pPr>
      <w:r>
        <w:rPr>
          <w:rFonts w:ascii="仿宋_GB2312" w:hAnsi="仿宋_GB2312" w:eastAsia="仿宋_GB2312" w:cs="仿宋_GB2312"/>
          <w:color w:val="000000"/>
          <w:spacing w:val="0"/>
          <w:w w:val="100"/>
          <w:position w:val="0"/>
          <w:sz w:val="32"/>
          <w:szCs w:val="32"/>
          <w:u w:val="none" w:color="000000"/>
          <w:vertAlign w:val="baseline"/>
          <w:rtl w:val="0"/>
          <w:lang w:val="zh-TW" w:eastAsia="zh-TW"/>
        </w:rPr>
        <w:t>（二）</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对馆藏文物按有关规定进行妥善保管，举办陈列展览，负责本地区文物征集、文物资料和档案的搜集和研究。</w:t>
      </w:r>
    </w:p>
    <w:p w14:paraId="59932BB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rPr>
          <w:rFonts w:ascii="仿宋_GB2312" w:hAnsi="仿宋_GB2312" w:eastAsia="仿宋_GB2312" w:cs="仿宋_GB2312"/>
          <w:color w:val="000000"/>
          <w:spacing w:val="0"/>
          <w:w w:val="100"/>
          <w:kern w:val="0"/>
          <w:position w:val="0"/>
          <w:sz w:val="32"/>
          <w:szCs w:val="32"/>
          <w:u w:val="none" w:color="000000"/>
          <w:vertAlign w:val="baseline"/>
          <w:lang w:val="zh-TW" w:eastAsia="zh-TW"/>
        </w:rPr>
      </w:pP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（三）配合本地区基本建设进行考古调查、勘探和发掘，并对出土文物及古建筑进行保护管理和考古研究。</w:t>
      </w:r>
    </w:p>
    <w:p w14:paraId="5088B594">
      <w:pPr>
        <w:keepNext/>
        <w:keepLines/>
        <w:shd w:val="clear" w:color="auto" w:fill="FFFFFF"/>
        <w:spacing w:beforeLines="0" w:afterLines="0"/>
        <w:jc w:val="left"/>
        <w:rPr>
          <w:rFonts w:hint="eastAsia" w:ascii="Times New Roman" w:hAnsi="Times New Roman" w:eastAsia="仿宋_GB2312" w:cs="仿宋_GB2312"/>
          <w:sz w:val="32"/>
          <w:szCs w:val="32"/>
        </w:rPr>
      </w:pP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（四）承办市委、市政府和上级主管部门交办的其他事项。</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3BE93B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pPr>
      <w:r>
        <w:rPr>
          <w:rFonts w:ascii="Times New Roman" w:hAnsi="Times New Roman" w:eastAsia="仿宋_GB2312" w:cs="Times New Roman"/>
          <w:bCs/>
          <w:kern w:val="0"/>
          <w:sz w:val="32"/>
          <w:szCs w:val="32"/>
        </w:rPr>
        <w:t>（一）内设机构设置。</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根据</w:t>
      </w:r>
      <w:r>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t>2021</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年</w:t>
      </w:r>
      <w:r>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t>9</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月</w:t>
      </w:r>
      <w:r>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t>9</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日市委机构编制委员会办公室下发了岳编办函</w:t>
      </w:r>
      <w:r>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t>[2021]284</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号文件，重新明确市博物馆（市文物考古研究所）机构编制，核定事业编制</w:t>
      </w:r>
      <w:r>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t>1</w:t>
      </w:r>
      <w:r>
        <w:rPr>
          <w:rFonts w:hint="eastAsia" w:ascii="仿宋_GB2312" w:hAnsi="仿宋_GB2312" w:eastAsia="仿宋_GB2312" w:cs="仿宋_GB2312"/>
          <w:color w:val="000000"/>
          <w:spacing w:val="0"/>
          <w:w w:val="100"/>
          <w:kern w:val="0"/>
          <w:position w:val="0"/>
          <w:sz w:val="32"/>
          <w:szCs w:val="32"/>
          <w:u w:val="none" w:color="000000"/>
          <w:vertAlign w:val="baseline"/>
          <w:rtl w:val="0"/>
          <w:lang w:val="en-US" w:eastAsia="zh-CN"/>
        </w:rPr>
        <w:t>3</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名，核定馆长（乡科级）</w:t>
      </w:r>
      <w:r>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t>1</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名，核定副馆长（副科级）</w:t>
      </w:r>
      <w:r>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t>2</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名，另核定临时用工计划数（讲解员）</w:t>
      </w:r>
      <w:r>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t>4</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名，其</w:t>
      </w:r>
      <w:r>
        <w:rPr>
          <w:rFonts w:hint="default" w:ascii="仿宋_GB2312" w:hAnsi="仿宋_GB2312" w:eastAsia="仿宋_GB2312" w:cs="仿宋_GB2312"/>
          <w:color w:val="000000"/>
          <w:spacing w:val="0"/>
          <w:w w:val="100"/>
          <w:kern w:val="0"/>
          <w:position w:val="0"/>
          <w:sz w:val="32"/>
          <w:szCs w:val="32"/>
          <w:u w:val="none" w:color="000000"/>
          <w:vertAlign w:val="baseline"/>
          <w:rtl w:val="0"/>
          <w:lang w:val="en-US" w:eastAsia="zh-TW"/>
        </w:rPr>
        <w:t>“</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三定</w:t>
      </w:r>
      <w:r>
        <w:rPr>
          <w:rFonts w:hint="default" w:ascii="仿宋_GB2312" w:hAnsi="仿宋_GB2312" w:eastAsia="仿宋_GB2312" w:cs="仿宋_GB2312"/>
          <w:color w:val="000000"/>
          <w:spacing w:val="0"/>
          <w:w w:val="100"/>
          <w:kern w:val="0"/>
          <w:position w:val="0"/>
          <w:sz w:val="32"/>
          <w:szCs w:val="32"/>
          <w:u w:val="none" w:color="000000"/>
          <w:vertAlign w:val="baseline"/>
          <w:rtl w:val="0"/>
          <w:lang w:val="en-US" w:eastAsia="zh-TW"/>
        </w:rPr>
        <w:t>”</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规定另行制定。内设机构包括办公室，考古部，征集保管部，展览教育部，文创办。</w:t>
      </w:r>
    </w:p>
    <w:p w14:paraId="662B21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pP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（二）决算单位构成。</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岳阳市博物馆</w:t>
      </w:r>
      <w:r>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t>202</w:t>
      </w:r>
      <w:r>
        <w:rPr>
          <w:rFonts w:hint="eastAsia" w:ascii="仿宋_GB2312" w:hAnsi="仿宋_GB2312" w:eastAsia="仿宋_GB2312" w:cs="仿宋_GB2312"/>
          <w:color w:val="000000"/>
          <w:spacing w:val="0"/>
          <w:w w:val="100"/>
          <w:kern w:val="0"/>
          <w:position w:val="0"/>
          <w:sz w:val="32"/>
          <w:szCs w:val="32"/>
          <w:u w:val="none" w:color="000000"/>
          <w:vertAlign w:val="baseline"/>
          <w:rtl w:val="0"/>
          <w:lang w:val="en-US" w:eastAsia="zh-CN"/>
        </w:rPr>
        <w:t>4</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年部门决算汇总公开单位构成包括：岳阳市博物馆本级。本单位无独立核算的下属单位，</w:t>
      </w:r>
      <w:r>
        <w:rPr>
          <w:rFonts w:ascii="仿宋_GB2312" w:hAnsi="仿宋_GB2312" w:eastAsia="仿宋_GB2312" w:cs="仿宋_GB2312"/>
          <w:color w:val="000000"/>
          <w:spacing w:val="0"/>
          <w:w w:val="100"/>
          <w:kern w:val="0"/>
          <w:position w:val="0"/>
          <w:sz w:val="32"/>
          <w:szCs w:val="32"/>
          <w:u w:val="none" w:color="000000"/>
          <w:vertAlign w:val="baseline"/>
          <w:rtl w:val="0"/>
          <w:lang w:val="en-US" w:eastAsia="zh-TW"/>
        </w:rPr>
        <w:t>202</w:t>
      </w:r>
      <w:r>
        <w:rPr>
          <w:rFonts w:hint="eastAsia" w:ascii="仿宋_GB2312" w:hAnsi="仿宋_GB2312" w:eastAsia="仿宋_GB2312" w:cs="仿宋_GB2312"/>
          <w:color w:val="000000"/>
          <w:spacing w:val="0"/>
          <w:w w:val="100"/>
          <w:kern w:val="0"/>
          <w:position w:val="0"/>
          <w:sz w:val="32"/>
          <w:szCs w:val="32"/>
          <w:u w:val="none" w:color="000000"/>
          <w:vertAlign w:val="baseline"/>
          <w:rtl w:val="0"/>
          <w:lang w:val="en-US" w:eastAsia="zh-CN"/>
        </w:rPr>
        <w:t>4</w:t>
      </w:r>
      <w:r>
        <w:rPr>
          <w:rFonts w:ascii="仿宋_GB2312" w:hAnsi="仿宋_GB2312" w:eastAsia="仿宋_GB2312" w:cs="仿宋_GB2312"/>
          <w:color w:val="000000"/>
          <w:spacing w:val="0"/>
          <w:w w:val="100"/>
          <w:kern w:val="0"/>
          <w:position w:val="0"/>
          <w:sz w:val="32"/>
          <w:szCs w:val="32"/>
          <w:u w:val="none" w:color="000000"/>
          <w:vertAlign w:val="baseline"/>
          <w:rtl w:val="0"/>
          <w:lang w:val="zh-TW" w:eastAsia="zh-TW"/>
        </w:rPr>
        <w:t>年度部门决算汇总公开单位仅包括岳阳市博物馆本级。</w:t>
      </w:r>
    </w:p>
    <w:p w14:paraId="715A5525"/>
    <w:p w14:paraId="3CE56614">
      <w:pPr>
        <w:pStyle w:val="2"/>
      </w:pPr>
    </w:p>
    <w:p w14:paraId="70B4D569">
      <w:pPr>
        <w:pStyle w:val="3"/>
      </w:pPr>
    </w:p>
    <w:p w14:paraId="5B1D6CBC"/>
    <w:p w14:paraId="7D6C31E4">
      <w:pPr>
        <w:pStyle w:val="2"/>
      </w:pPr>
    </w:p>
    <w:p w14:paraId="056E4ECA">
      <w:pPr>
        <w:pStyle w:val="3"/>
      </w:pPr>
    </w:p>
    <w:p w14:paraId="3288C9C5"/>
    <w:p w14:paraId="14507043">
      <w:pPr>
        <w:pStyle w:val="2"/>
      </w:pPr>
    </w:p>
    <w:p w14:paraId="465EA8BD">
      <w:pPr>
        <w:pStyle w:val="3"/>
      </w:pPr>
    </w:p>
    <w:p w14:paraId="49E51758"/>
    <w:p w14:paraId="3DC8C6CD">
      <w:pPr>
        <w:pStyle w:val="2"/>
      </w:pPr>
    </w:p>
    <w:p w14:paraId="36E702E5">
      <w:pPr>
        <w:pStyle w:val="3"/>
      </w:pPr>
    </w:p>
    <w:p w14:paraId="0416550A"/>
    <w:p w14:paraId="28B49BCE">
      <w:pPr>
        <w:pStyle w:val="2"/>
      </w:pPr>
    </w:p>
    <w:p w14:paraId="43291855">
      <w:pPr>
        <w:pStyle w:val="3"/>
      </w:pPr>
    </w:p>
    <w:p w14:paraId="7CD92489"/>
    <w:p w14:paraId="5267F12B">
      <w:pPr>
        <w:pStyle w:val="2"/>
      </w:pPr>
    </w:p>
    <w:p w14:paraId="28828498">
      <w:pPr>
        <w:pStyle w:val="3"/>
      </w:pPr>
    </w:p>
    <w:p w14:paraId="04E62672"/>
    <w:p w14:paraId="1D6D7A8B">
      <w:pPr>
        <w:pStyle w:val="2"/>
      </w:pPr>
    </w:p>
    <w:p w14:paraId="2E47952B">
      <w:pPr>
        <w:pStyle w:val="3"/>
      </w:pPr>
    </w:p>
    <w:p w14:paraId="18A19BE5"/>
    <w:p w14:paraId="7CCBF86D">
      <w:pPr>
        <w:pStyle w:val="2"/>
      </w:pPr>
    </w:p>
    <w:p w14:paraId="0017F5EC">
      <w:pPr>
        <w:pStyle w:val="3"/>
      </w:pPr>
    </w:p>
    <w:p w14:paraId="76181D4E"/>
    <w:p w14:paraId="1A174866">
      <w:pPr>
        <w:pStyle w:val="12"/>
        <w:jc w:val="center"/>
        <w:rPr>
          <w:rFonts w:hint="eastAsia" w:ascii="方正小标宋_GBK" w:hAnsi="方正小标宋_GBK" w:eastAsia="方正小标宋_GBK" w:cs="方正小标宋_GBK"/>
          <w:sz w:val="84"/>
          <w:szCs w:val="84"/>
        </w:rPr>
      </w:pPr>
    </w:p>
    <w:p w14:paraId="2B49F2B7">
      <w:pPr>
        <w:pStyle w:val="12"/>
        <w:jc w:val="center"/>
        <w:rPr>
          <w:rFonts w:hint="eastAsia" w:ascii="方正小标宋_GBK" w:hAnsi="方正小标宋_GBK" w:eastAsia="方正小标宋_GBK" w:cs="方正小标宋_GBK"/>
          <w:sz w:val="84"/>
          <w:szCs w:val="84"/>
        </w:rPr>
      </w:pPr>
    </w:p>
    <w:p w14:paraId="661BBFC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2"/>
        <w:jc w:val="center"/>
        <w:rPr>
          <w:rFonts w:hint="eastAsia" w:ascii="方正小标宋_GBK" w:hAnsi="方正小标宋_GBK" w:eastAsia="方正小标宋_GBK" w:cs="方正小标宋_GBK"/>
          <w:sz w:val="84"/>
          <w:szCs w:val="84"/>
        </w:rPr>
      </w:pPr>
    </w:p>
    <w:p w14:paraId="3860F18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2"/>
        <w:jc w:val="center"/>
        <w:rPr>
          <w:rFonts w:hint="eastAsia" w:ascii="仿宋_GB2312" w:hAnsi="仿宋_GB2312" w:eastAsia="仿宋_GB2312" w:cs="仿宋_GB2312"/>
          <w:b w:val="0"/>
          <w:bCs w:val="0"/>
          <w:sz w:val="72"/>
          <w:szCs w:val="72"/>
          <w:lang w:eastAsia="zh-CN"/>
        </w:rPr>
      </w:pPr>
    </w:p>
    <w:p w14:paraId="0568D1B8">
      <w:pPr>
        <w:pStyle w:val="12"/>
        <w:jc w:val="center"/>
        <w:rPr>
          <w:rFonts w:hint="eastAsia" w:ascii="仿宋_GB2312" w:hAnsi="仿宋_GB2312" w:eastAsia="仿宋_GB2312" w:cs="仿宋_GB2312"/>
          <w:b w:val="0"/>
          <w:bCs w:val="0"/>
          <w:sz w:val="72"/>
          <w:szCs w:val="72"/>
          <w:lang w:eastAsia="zh-CN"/>
        </w:rPr>
      </w:pPr>
    </w:p>
    <w:p w14:paraId="5C65B646">
      <w:pPr>
        <w:pStyle w:val="12"/>
        <w:jc w:val="center"/>
        <w:rPr>
          <w:rFonts w:hint="eastAsia" w:ascii="仿宋_GB2312" w:hAnsi="仿宋_GB2312" w:eastAsia="仿宋_GB2312" w:cs="仿宋_GB2312"/>
          <w:b w:val="0"/>
          <w:bCs w:val="0"/>
          <w:sz w:val="72"/>
          <w:szCs w:val="72"/>
          <w:lang w:eastAsia="zh-CN"/>
        </w:rPr>
      </w:pPr>
    </w:p>
    <w:p w14:paraId="62EA5E89">
      <w:pPr>
        <w:pStyle w:val="12"/>
        <w:jc w:val="center"/>
        <w:rPr>
          <w:rFonts w:hint="eastAsia" w:ascii="仿宋_GB2312" w:hAnsi="仿宋_GB2312" w:eastAsia="仿宋_GB2312" w:cs="仿宋_GB2312"/>
          <w:b w:val="0"/>
          <w:bCs w:val="0"/>
          <w:sz w:val="72"/>
          <w:szCs w:val="72"/>
          <w:lang w:eastAsia="zh-CN"/>
        </w:rPr>
      </w:pPr>
    </w:p>
    <w:p w14:paraId="63BFFD84">
      <w:pPr>
        <w:pStyle w:val="12"/>
        <w:jc w:val="center"/>
        <w:rPr>
          <w:rFonts w:hint="eastAsia" w:ascii="仿宋_GB2312" w:hAnsi="仿宋_GB2312" w:eastAsia="仿宋_GB2312" w:cs="仿宋_GB2312"/>
          <w:b w:val="0"/>
          <w:bCs w:val="0"/>
          <w:sz w:val="72"/>
          <w:szCs w:val="72"/>
          <w:lang w:eastAsia="zh-CN"/>
        </w:rPr>
      </w:pPr>
    </w:p>
    <w:p w14:paraId="4565BABE">
      <w:pPr>
        <w:pStyle w:val="12"/>
        <w:jc w:val="center"/>
        <w:rPr>
          <w:rFonts w:hint="eastAsia" w:ascii="仿宋_GB2312" w:hAnsi="仿宋_GB2312" w:eastAsia="仿宋_GB2312" w:cs="仿宋_GB2312"/>
          <w:b w:val="0"/>
          <w:bCs w:val="0"/>
          <w:sz w:val="72"/>
          <w:szCs w:val="72"/>
          <w:lang w:eastAsia="zh-CN"/>
        </w:rPr>
      </w:pPr>
    </w:p>
    <w:p w14:paraId="6EEAB3EF">
      <w:pPr>
        <w:pStyle w:val="12"/>
        <w:jc w:val="center"/>
        <w:rPr>
          <w:rFonts w:hint="eastAsia" w:ascii="仿宋_GB2312" w:hAnsi="仿宋_GB2312" w:eastAsia="仿宋_GB2312" w:cs="仿宋_GB2312"/>
          <w:b w:val="0"/>
          <w:bCs w:val="0"/>
          <w:sz w:val="72"/>
          <w:szCs w:val="72"/>
          <w:lang w:eastAsia="zh-CN"/>
        </w:rPr>
      </w:pPr>
    </w:p>
    <w:p w14:paraId="603C04A7">
      <w:pPr>
        <w:pStyle w:val="12"/>
        <w:jc w:val="center"/>
        <w:rPr>
          <w:rFonts w:hint="eastAsia" w:ascii="方正小标宋_GBK" w:hAnsi="方正小标宋_GBK" w:eastAsia="方正小标宋_GBK" w:cs="方正小标宋_GBK"/>
          <w:sz w:val="72"/>
          <w:szCs w:val="72"/>
        </w:rPr>
      </w:pPr>
    </w:p>
    <w:p w14:paraId="7A44A82E">
      <w:pPr>
        <w:pStyle w:val="12"/>
        <w:jc w:val="center"/>
        <w:rPr>
          <w:rFonts w:hint="eastAsia" w:ascii="方正小标宋_GBK" w:hAnsi="方正小标宋_GBK" w:eastAsia="方正小标宋_GBK" w:cs="方正小标宋_GBK"/>
          <w:sz w:val="72"/>
          <w:szCs w:val="72"/>
        </w:rPr>
      </w:pPr>
    </w:p>
    <w:p w14:paraId="06211665">
      <w:pPr>
        <w:pStyle w:val="12"/>
        <w:jc w:val="both"/>
        <w:rPr>
          <w:rFonts w:hint="eastAsia" w:ascii="方正小标宋_GBK" w:hAnsi="方正小标宋_GBK" w:eastAsia="方正小标宋_GBK" w:cs="方正小标宋_GBK"/>
          <w:sz w:val="72"/>
          <w:szCs w:val="72"/>
        </w:rPr>
      </w:pPr>
    </w:p>
    <w:p w14:paraId="7804FBA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2"/>
        <w:jc w:val="center"/>
        <w:rPr>
          <w:rFonts w:hint="eastAsia" w:ascii="方正小标宋_GBK" w:hAnsi="方正小标宋_GBK" w:eastAsia="方正小标宋_GBK" w:cs="方正小标宋_GBK"/>
          <w:sz w:val="70"/>
          <w:szCs w:val="70"/>
        </w:rPr>
      </w:pPr>
    </w:p>
    <w:p w14:paraId="4F77A5A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2"/>
        <w:jc w:val="center"/>
        <w:rPr>
          <w:rFonts w:hint="eastAsia" w:ascii="方正小标宋_GBK" w:hAnsi="方正小标宋_GBK" w:eastAsia="方正小标宋_GBK" w:cs="方正小标宋_GBK"/>
          <w:sz w:val="70"/>
          <w:szCs w:val="70"/>
        </w:rPr>
      </w:pPr>
    </w:p>
    <w:p w14:paraId="6EEC30AB">
      <w:pPr>
        <w:pStyle w:val="12"/>
        <w:jc w:val="center"/>
        <w:rPr>
          <w:rFonts w:hint="eastAsia" w:ascii="方正小标宋_GBK" w:hAnsi="方正小标宋_GBK" w:eastAsia="方正小标宋_GBK" w:cs="方正小标宋_GBK"/>
          <w:sz w:val="70"/>
          <w:szCs w:val="70"/>
        </w:rPr>
      </w:pPr>
    </w:p>
    <w:p w14:paraId="417367C1">
      <w:pPr>
        <w:pStyle w:val="12"/>
        <w:jc w:val="center"/>
        <w:rPr>
          <w:rFonts w:hint="eastAsia" w:ascii="方正小标宋_GBK" w:hAnsi="方正小标宋_GBK" w:eastAsia="方正小标宋_GBK" w:cs="方正小标宋_GBK"/>
          <w:sz w:val="70"/>
          <w:szCs w:val="70"/>
        </w:rPr>
      </w:pPr>
    </w:p>
    <w:p w14:paraId="5EF1049C">
      <w:pPr>
        <w:pStyle w:val="12"/>
        <w:jc w:val="center"/>
        <w:rPr>
          <w:rFonts w:hint="eastAsia" w:ascii="方正小标宋_GBK" w:hAnsi="方正小标宋_GBK" w:eastAsia="方正小标宋_GBK" w:cs="方正小标宋_GBK"/>
          <w:sz w:val="70"/>
          <w:szCs w:val="70"/>
        </w:rPr>
      </w:pPr>
    </w:p>
    <w:p w14:paraId="7E4B3CF9">
      <w:pPr>
        <w:pStyle w:val="12"/>
        <w:jc w:val="center"/>
        <w:rPr>
          <w:rFonts w:hint="eastAsia" w:ascii="方正小标宋_GBK" w:hAnsi="方正小标宋_GBK" w:eastAsia="方正小标宋_GBK" w:cs="方正小标宋_GBK"/>
          <w:sz w:val="70"/>
          <w:szCs w:val="70"/>
        </w:rPr>
      </w:pPr>
    </w:p>
    <w:p w14:paraId="514C0722">
      <w:pPr>
        <w:pStyle w:val="12"/>
        <w:jc w:val="center"/>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411C08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8264551">
      <w:pPr>
        <w:widowControl w:val="0"/>
        <w:overflowPunct w:val="0"/>
        <w:autoSpaceDE/>
        <w:autoSpaceDN/>
        <w:adjustRightInd w:val="0"/>
        <w:spacing w:line="600" w:lineRule="exact"/>
        <w:ind w:firstLine="640" w:firstLineChars="200"/>
        <w:jc w:val="both"/>
        <w:rPr>
          <w:rFonts w:hint="eastAsia" w:ascii="Times New Roman" w:hAnsi="Times New Roman" w:eastAsia="仿宋_GB2312" w:cs="Times New Roman"/>
          <w:color w:val="000000"/>
          <w:sz w:val="32"/>
          <w:szCs w:val="32"/>
          <w:lang w:val="en-US" w:eastAsia="zh-CN" w:bidi="ar-SA"/>
        </w:rPr>
      </w:pPr>
      <w:r>
        <w:rPr>
          <w:rFonts w:hint="eastAsia" w:ascii="仿宋_GB2312" w:hAnsi="仿宋_GB2312" w:eastAsia="仿宋_GB2312" w:cs="仿宋_GB2312"/>
          <w:kern w:val="2"/>
          <w:sz w:val="32"/>
          <w:szCs w:val="32"/>
          <w:lang w:val="en-US" w:eastAsia="zh-CN" w:bidi="ar-SA"/>
        </w:rPr>
        <w:t>2024年度收、支总计654.34万元。与上年相比，减少265.88万元，降低28.89%，主要是因为</w:t>
      </w:r>
      <w:r>
        <w:rPr>
          <w:rFonts w:hint="eastAsia" w:ascii="仿宋_GB2312" w:hAnsi="仿宋_GB2312" w:eastAsia="仿宋_GB2312" w:cs="仿宋_GB2312"/>
          <w:kern w:val="2"/>
          <w:sz w:val="32"/>
          <w:szCs w:val="32"/>
          <w:rtl w:val="0"/>
          <w:lang w:val="zh-TW" w:eastAsia="zh-TW" w:bidi="ar-SA"/>
        </w:rPr>
        <w:t>根据财政要求一般商品和服务支出要缩减</w:t>
      </w:r>
      <w:r>
        <w:rPr>
          <w:rFonts w:hint="eastAsia" w:ascii="仿宋_GB2312" w:hAnsi="仿宋_GB2312" w:eastAsia="仿宋_GB2312" w:cs="仿宋_GB2312"/>
          <w:color w:val="000000"/>
          <w:sz w:val="32"/>
          <w:szCs w:val="32"/>
          <w:rtl w:val="0"/>
          <w:lang w:val="zh-TW" w:eastAsia="zh-CN" w:bidi="ar-SA"/>
        </w:rPr>
        <w:t>。</w:t>
      </w:r>
    </w:p>
    <w:p w14:paraId="07DA9E3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36AB1EE2">
      <w:pPr>
        <w:widowControl w:val="0"/>
        <w:overflowPunct w:val="0"/>
        <w:autoSpaceDE/>
        <w:autoSpaceDN/>
        <w:adjustRightInd w:val="0"/>
        <w:spacing w:line="600" w:lineRule="exact"/>
        <w:ind w:firstLine="640" w:firstLineChars="200"/>
        <w:jc w:val="both"/>
        <w:rPr>
          <w:rFonts w:ascii="Times New Roman" w:hAnsi="Times New Roman" w:eastAsia="仿宋_GB2312" w:cs="Times New Roman"/>
          <w:color w:val="000000"/>
          <w:sz w:val="32"/>
          <w:szCs w:val="32"/>
          <w:lang w:val="en-US" w:eastAsia="zh-CN" w:bidi="ar-SA"/>
        </w:rPr>
      </w:pPr>
      <w:r>
        <w:rPr>
          <w:rFonts w:hint="eastAsia" w:ascii="仿宋_GB2312" w:hAnsi="仿宋_GB2312" w:eastAsia="仿宋_GB2312" w:cs="仿宋_GB2312"/>
          <w:kern w:val="2"/>
          <w:sz w:val="32"/>
          <w:szCs w:val="32"/>
          <w:lang w:val="en-US" w:eastAsia="zh-CN" w:bidi="ar-SA"/>
        </w:rPr>
        <w:t>2024年度收入合计649.44万元，其中：财政拨款收入616.27万元，占94.89%；上级补助收入0.00万元，占0.00%；事业收入0.00万元，占0.00%；经营收入0.00万元，占0.00%；附属单位上缴收入0.00万元，占0.00%；其他收入33.17万元，占5.11%</w:t>
      </w:r>
      <w:r>
        <w:rPr>
          <w:rFonts w:ascii="Times New Roman" w:hAnsi="Times New Roman" w:eastAsia="仿宋_GB2312" w:cs="Times New Roman"/>
          <w:color w:val="000000"/>
          <w:sz w:val="32"/>
          <w:szCs w:val="32"/>
          <w:lang w:val="en-US" w:eastAsia="zh-CN" w:bidi="ar-SA"/>
        </w:rPr>
        <w:t>。</w:t>
      </w:r>
    </w:p>
    <w:p w14:paraId="2D1A2B4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306115A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2024年度支出合计654.34万元，其中：基本支出273.69万元，占41.83%；项目支出380.65万元，占58.17%；上缴上级支出0.00万元，占0.00%；经营支出0.00万元，占0.00%；对附属单位补助支出0.00万元，占0.00%</w:t>
      </w:r>
      <w:r>
        <w:rPr>
          <w:rFonts w:hint="eastAsia" w:ascii="仿宋_GB2312" w:hAnsi="仿宋_GB2312" w:eastAsia="仿宋_GB2312" w:cs="仿宋_GB2312"/>
          <w:sz w:val="32"/>
          <w:szCs w:val="32"/>
        </w:rPr>
        <w:t>。</w:t>
      </w:r>
    </w:p>
    <w:p w14:paraId="698575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5EEE207">
      <w:pPr>
        <w:pStyle w:val="12"/>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i/>
          <w:iCs/>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auto"/>
          <w:kern w:val="2"/>
          <w:sz w:val="32"/>
          <w:szCs w:val="32"/>
          <w:lang w:val="en-US" w:eastAsia="zh-CN" w:bidi="ar-SA"/>
        </w:rPr>
        <w:t>2024年度财政拨款收、支总计616.27万元，与上年相比，减少240.11万元,降低28.04%，主要是因为</w:t>
      </w:r>
      <w:r>
        <w:rPr>
          <w:rFonts w:hint="eastAsia" w:ascii="仿宋_GB2312" w:hAnsi="仿宋_GB2312" w:eastAsia="仿宋_GB2312" w:cs="仿宋_GB2312"/>
          <w:color w:val="auto"/>
          <w:kern w:val="2"/>
          <w:sz w:val="32"/>
          <w:szCs w:val="32"/>
          <w:rtl w:val="0"/>
          <w:lang w:val="zh-CN" w:eastAsia="zh-CN" w:bidi="ar-SA"/>
        </w:rPr>
        <w:t>根</w:t>
      </w:r>
      <w:r>
        <w:rPr>
          <w:rFonts w:hint="eastAsia" w:ascii="仿宋_GB2312" w:hAnsi="仿宋_GB2312" w:eastAsia="仿宋_GB2312" w:cs="仿宋_GB2312"/>
          <w:color w:val="auto"/>
          <w:kern w:val="2"/>
          <w:sz w:val="32"/>
          <w:szCs w:val="32"/>
          <w:rtl w:val="0"/>
          <w:lang w:val="zh-TW" w:eastAsia="zh-TW" w:bidi="ar-SA"/>
        </w:rPr>
        <w:t>据财政要求一般商品和服务支出要缩减</w:t>
      </w:r>
      <w:r>
        <w:rPr>
          <w:rFonts w:hint="eastAsia" w:ascii="仿宋_GB2312" w:hAnsi="仿宋_GB2312" w:eastAsia="仿宋_GB2312" w:cs="仿宋_GB2312"/>
          <w:color w:val="auto"/>
          <w:kern w:val="2"/>
          <w:sz w:val="32"/>
          <w:szCs w:val="32"/>
          <w:rtl w:val="0"/>
          <w:lang w:val="zh-TW" w:eastAsia="zh-CN" w:bidi="ar-SA"/>
        </w:rPr>
        <w:t>。</w:t>
      </w:r>
    </w:p>
    <w:p w14:paraId="4BB30A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7B8B728B">
      <w:pPr>
        <w:widowControl w:val="0"/>
        <w:overflowPunct w:val="0"/>
        <w:autoSpaceDE/>
        <w:autoSpaceDN/>
        <w:adjustRightInd w:val="0"/>
        <w:spacing w:line="600" w:lineRule="exact"/>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（一）一般公共预算财政拨款支出决算总体情况</w:t>
      </w:r>
    </w:p>
    <w:p w14:paraId="5E377837">
      <w:pPr>
        <w:widowControl w:val="0"/>
        <w:overflowPunct w:val="0"/>
        <w:autoSpaceDE/>
        <w:autoSpaceDN/>
        <w:adjustRightInd w:val="0"/>
        <w:spacing w:line="600" w:lineRule="exact"/>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2024年度财政拨款支出616.27万元，占本年支出合计的94.18%，与上年相比，财政拨款支出减少240.11万元，降低28.04%，主要是因为</w:t>
      </w:r>
      <w:r>
        <w:rPr>
          <w:rFonts w:hint="eastAsia" w:ascii="仿宋_GB2312" w:hAnsi="仿宋_GB2312" w:eastAsia="仿宋_GB2312" w:cs="仿宋_GB2312"/>
          <w:color w:val="auto"/>
          <w:kern w:val="2"/>
          <w:sz w:val="32"/>
          <w:szCs w:val="32"/>
          <w:rtl w:val="0"/>
          <w:lang w:val="zh-CN" w:eastAsia="zh-CN" w:bidi="ar-SA"/>
        </w:rPr>
        <w:t>根</w:t>
      </w:r>
      <w:r>
        <w:rPr>
          <w:rFonts w:hint="eastAsia" w:ascii="仿宋_GB2312" w:hAnsi="仿宋_GB2312" w:eastAsia="仿宋_GB2312" w:cs="仿宋_GB2312"/>
          <w:color w:val="auto"/>
          <w:kern w:val="2"/>
          <w:sz w:val="32"/>
          <w:szCs w:val="32"/>
          <w:rtl w:val="0"/>
          <w:lang w:val="zh-TW" w:eastAsia="zh-TW" w:bidi="ar-SA"/>
        </w:rPr>
        <w:t>据财政要求一般商品和服务支出要缩减</w:t>
      </w:r>
      <w:r>
        <w:rPr>
          <w:rFonts w:hint="eastAsia" w:ascii="仿宋_GB2312" w:hAnsi="仿宋_GB2312" w:eastAsia="仿宋_GB2312" w:cs="仿宋_GB2312"/>
          <w:color w:val="auto"/>
          <w:kern w:val="2"/>
          <w:sz w:val="32"/>
          <w:szCs w:val="32"/>
          <w:rtl w:val="0"/>
          <w:lang w:val="zh-TW" w:eastAsia="zh-CN" w:bidi="ar-SA"/>
        </w:rPr>
        <w:t>。</w:t>
      </w:r>
    </w:p>
    <w:p w14:paraId="3A273502">
      <w:pPr>
        <w:widowControl w:val="0"/>
        <w:overflowPunct w:val="0"/>
        <w:autoSpaceDE/>
        <w:autoSpaceDN/>
        <w:adjustRightInd w:val="0"/>
        <w:spacing w:line="600" w:lineRule="exact"/>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（二）一般公共预算财政拨款支出决算结构情况</w:t>
      </w:r>
    </w:p>
    <w:p w14:paraId="25BFE1D1">
      <w:pPr>
        <w:widowControl w:val="0"/>
        <w:overflowPunct w:val="0"/>
        <w:autoSpaceDE/>
        <w:autoSpaceDN/>
        <w:adjustRightInd w:val="0"/>
        <w:spacing w:line="600" w:lineRule="exact"/>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2024年度财政拨款支出616.27万元，主要用于以下方面：</w:t>
      </w:r>
      <w:r>
        <w:rPr>
          <w:rFonts w:hint="eastAsia" w:ascii="仿宋_GB2312" w:hAnsi="仿宋_GB2312" w:eastAsia="仿宋_GB2312" w:cs="仿宋_GB2312"/>
          <w:color w:val="auto"/>
          <w:kern w:val="2"/>
          <w:sz w:val="32"/>
          <w:szCs w:val="32"/>
          <w:rtl w:val="0"/>
          <w:lang w:val="zh-CN" w:eastAsia="zh-CN" w:bidi="ar-SA"/>
        </w:rPr>
        <w:t>文化旅游体育与传媒</w:t>
      </w:r>
      <w:r>
        <w:rPr>
          <w:rFonts w:hint="eastAsia" w:ascii="仿宋_GB2312" w:hAnsi="仿宋_GB2312" w:eastAsia="仿宋_GB2312" w:cs="仿宋_GB2312"/>
          <w:color w:val="auto"/>
          <w:kern w:val="2"/>
          <w:sz w:val="32"/>
          <w:szCs w:val="32"/>
          <w:rtl w:val="0"/>
          <w:lang w:val="zh-TW" w:eastAsia="zh-TW" w:bidi="ar-SA"/>
        </w:rPr>
        <w:t>（类）支出</w:t>
      </w:r>
      <w:r>
        <w:rPr>
          <w:rFonts w:hint="eastAsia" w:ascii="仿宋_GB2312" w:hAnsi="仿宋_GB2312" w:eastAsia="仿宋_GB2312" w:cs="仿宋_GB2312"/>
          <w:color w:val="auto"/>
          <w:kern w:val="2"/>
          <w:sz w:val="32"/>
          <w:szCs w:val="32"/>
          <w:rtl w:val="0"/>
          <w:lang w:val="en-US" w:eastAsia="zh-CN" w:bidi="ar-SA"/>
        </w:rPr>
        <w:t>553.33</w:t>
      </w:r>
      <w:r>
        <w:rPr>
          <w:rFonts w:hint="eastAsia" w:ascii="仿宋_GB2312" w:hAnsi="仿宋_GB2312" w:eastAsia="仿宋_GB2312" w:cs="仿宋_GB2312"/>
          <w:color w:val="auto"/>
          <w:kern w:val="2"/>
          <w:sz w:val="32"/>
          <w:szCs w:val="32"/>
          <w:rtl w:val="0"/>
          <w:lang w:val="zh-TW" w:eastAsia="zh-TW" w:bidi="ar-SA"/>
        </w:rPr>
        <w:t>万元，占</w:t>
      </w:r>
      <w:r>
        <w:rPr>
          <w:rFonts w:hint="eastAsia" w:ascii="仿宋_GB2312" w:hAnsi="仿宋_GB2312" w:eastAsia="仿宋_GB2312" w:cs="仿宋_GB2312"/>
          <w:color w:val="auto"/>
          <w:kern w:val="2"/>
          <w:sz w:val="32"/>
          <w:szCs w:val="32"/>
          <w:rtl w:val="0"/>
          <w:lang w:val="en-US" w:eastAsia="zh-CN" w:bidi="ar-SA"/>
        </w:rPr>
        <w:t>89.78%</w:t>
      </w:r>
      <w:r>
        <w:rPr>
          <w:rFonts w:hint="eastAsia" w:ascii="仿宋_GB2312" w:hAnsi="仿宋_GB2312" w:eastAsia="仿宋_GB2312" w:cs="仿宋_GB2312"/>
          <w:color w:val="auto"/>
          <w:kern w:val="2"/>
          <w:sz w:val="32"/>
          <w:szCs w:val="32"/>
          <w:rtl w:val="0"/>
          <w:lang w:val="zh-TW" w:eastAsia="zh-TW" w:bidi="ar-SA"/>
        </w:rPr>
        <w:t>；</w:t>
      </w:r>
      <w:r>
        <w:rPr>
          <w:rFonts w:hint="eastAsia" w:ascii="仿宋_GB2312" w:hAnsi="仿宋_GB2312" w:eastAsia="仿宋_GB2312" w:cs="仿宋_GB2312"/>
          <w:color w:val="auto"/>
          <w:kern w:val="2"/>
          <w:sz w:val="32"/>
          <w:szCs w:val="32"/>
          <w:rtl w:val="0"/>
          <w:lang w:val="zh-CN" w:eastAsia="zh-CN" w:bidi="ar-SA"/>
        </w:rPr>
        <w:t>社会保障和就业</w:t>
      </w:r>
      <w:r>
        <w:rPr>
          <w:rFonts w:hint="eastAsia" w:ascii="仿宋_GB2312" w:hAnsi="仿宋_GB2312" w:eastAsia="仿宋_GB2312" w:cs="仿宋_GB2312"/>
          <w:color w:val="auto"/>
          <w:kern w:val="2"/>
          <w:sz w:val="32"/>
          <w:szCs w:val="32"/>
          <w:rtl w:val="0"/>
          <w:lang w:val="zh-TW" w:eastAsia="zh-TW" w:bidi="ar-SA"/>
        </w:rPr>
        <w:t>（类）支出</w:t>
      </w:r>
      <w:r>
        <w:rPr>
          <w:rFonts w:hint="eastAsia" w:ascii="仿宋_GB2312" w:hAnsi="仿宋_GB2312" w:eastAsia="仿宋_GB2312" w:cs="仿宋_GB2312"/>
          <w:color w:val="auto"/>
          <w:kern w:val="2"/>
          <w:sz w:val="32"/>
          <w:szCs w:val="32"/>
          <w:rtl w:val="0"/>
          <w:lang w:val="en-US" w:eastAsia="zh-CN" w:bidi="ar-SA"/>
        </w:rPr>
        <w:t>40.88</w:t>
      </w:r>
      <w:r>
        <w:rPr>
          <w:rFonts w:hint="eastAsia" w:ascii="仿宋_GB2312" w:hAnsi="仿宋_GB2312" w:eastAsia="仿宋_GB2312" w:cs="仿宋_GB2312"/>
          <w:color w:val="auto"/>
          <w:kern w:val="2"/>
          <w:sz w:val="32"/>
          <w:szCs w:val="32"/>
          <w:rtl w:val="0"/>
          <w:lang w:val="zh-TW" w:eastAsia="zh-TW" w:bidi="ar-SA"/>
        </w:rPr>
        <w:t>万元，占</w:t>
      </w:r>
      <w:r>
        <w:rPr>
          <w:rFonts w:hint="eastAsia" w:ascii="仿宋_GB2312" w:hAnsi="仿宋_GB2312" w:eastAsia="仿宋_GB2312" w:cs="仿宋_GB2312"/>
          <w:color w:val="auto"/>
          <w:kern w:val="2"/>
          <w:sz w:val="32"/>
          <w:szCs w:val="32"/>
          <w:rtl w:val="0"/>
          <w:lang w:val="en-US" w:eastAsia="zh-CN" w:bidi="ar-SA"/>
        </w:rPr>
        <w:t>6.63</w:t>
      </w:r>
      <w:r>
        <w:rPr>
          <w:rFonts w:hint="eastAsia" w:ascii="仿宋_GB2312" w:hAnsi="仿宋_GB2312" w:eastAsia="仿宋_GB2312" w:cs="仿宋_GB2312"/>
          <w:color w:val="auto"/>
          <w:kern w:val="2"/>
          <w:sz w:val="32"/>
          <w:szCs w:val="32"/>
          <w:rtl w:val="0"/>
          <w:lang w:val="en-US" w:eastAsia="zh-TW" w:bidi="ar-SA"/>
        </w:rPr>
        <w:t>%;</w:t>
      </w:r>
      <w:r>
        <w:rPr>
          <w:rFonts w:hint="eastAsia" w:ascii="仿宋_GB2312" w:hAnsi="仿宋_GB2312" w:eastAsia="仿宋_GB2312" w:cs="仿宋_GB2312"/>
          <w:color w:val="auto"/>
          <w:kern w:val="2"/>
          <w:sz w:val="32"/>
          <w:szCs w:val="32"/>
          <w:rtl w:val="0"/>
          <w:lang w:val="zh-CN" w:eastAsia="zh-CN" w:bidi="ar-SA"/>
        </w:rPr>
        <w:t>卫生健康（类）支出1</w:t>
      </w:r>
      <w:r>
        <w:rPr>
          <w:rFonts w:hint="eastAsia" w:ascii="仿宋_GB2312" w:hAnsi="仿宋_GB2312" w:eastAsia="仿宋_GB2312" w:cs="仿宋_GB2312"/>
          <w:color w:val="auto"/>
          <w:kern w:val="2"/>
          <w:sz w:val="32"/>
          <w:szCs w:val="32"/>
          <w:rtl w:val="0"/>
          <w:lang w:val="en-US" w:eastAsia="zh-CN" w:bidi="ar-SA"/>
        </w:rPr>
        <w:t>0.88</w:t>
      </w:r>
      <w:r>
        <w:rPr>
          <w:rFonts w:hint="eastAsia" w:ascii="仿宋_GB2312" w:hAnsi="仿宋_GB2312" w:eastAsia="仿宋_GB2312" w:cs="仿宋_GB2312"/>
          <w:color w:val="auto"/>
          <w:kern w:val="2"/>
          <w:sz w:val="32"/>
          <w:szCs w:val="32"/>
          <w:rtl w:val="0"/>
          <w:lang w:val="zh-CN" w:eastAsia="zh-CN" w:bidi="ar-SA"/>
        </w:rPr>
        <w:t>万元，占1.</w:t>
      </w:r>
      <w:r>
        <w:rPr>
          <w:rFonts w:hint="eastAsia" w:ascii="仿宋_GB2312" w:hAnsi="仿宋_GB2312" w:eastAsia="仿宋_GB2312" w:cs="仿宋_GB2312"/>
          <w:color w:val="auto"/>
          <w:kern w:val="2"/>
          <w:sz w:val="32"/>
          <w:szCs w:val="32"/>
          <w:rtl w:val="0"/>
          <w:lang w:val="en-US" w:eastAsia="zh-CN" w:bidi="ar-SA"/>
        </w:rPr>
        <w:t>76</w:t>
      </w:r>
      <w:r>
        <w:rPr>
          <w:rFonts w:hint="eastAsia" w:ascii="仿宋_GB2312" w:hAnsi="仿宋_GB2312" w:eastAsia="仿宋_GB2312" w:cs="仿宋_GB2312"/>
          <w:color w:val="auto"/>
          <w:kern w:val="2"/>
          <w:sz w:val="32"/>
          <w:szCs w:val="32"/>
          <w:rtl w:val="0"/>
          <w:lang w:val="zh-CN" w:eastAsia="zh-CN" w:bidi="ar-SA"/>
        </w:rPr>
        <w:t>%；住房保障（类）支出1</w:t>
      </w:r>
      <w:r>
        <w:rPr>
          <w:rFonts w:hint="eastAsia" w:ascii="仿宋_GB2312" w:hAnsi="仿宋_GB2312" w:eastAsia="仿宋_GB2312" w:cs="仿宋_GB2312"/>
          <w:color w:val="auto"/>
          <w:kern w:val="2"/>
          <w:sz w:val="32"/>
          <w:szCs w:val="32"/>
          <w:rtl w:val="0"/>
          <w:lang w:val="en-US" w:eastAsia="zh-CN" w:bidi="ar-SA"/>
        </w:rPr>
        <w:t>1.26</w:t>
      </w:r>
      <w:r>
        <w:rPr>
          <w:rFonts w:hint="eastAsia" w:ascii="仿宋_GB2312" w:hAnsi="仿宋_GB2312" w:eastAsia="仿宋_GB2312" w:cs="仿宋_GB2312"/>
          <w:color w:val="auto"/>
          <w:kern w:val="2"/>
          <w:sz w:val="32"/>
          <w:szCs w:val="32"/>
          <w:rtl w:val="0"/>
          <w:lang w:val="zh-CN" w:eastAsia="zh-CN" w:bidi="ar-SA"/>
        </w:rPr>
        <w:t>万元，占1.</w:t>
      </w:r>
      <w:r>
        <w:rPr>
          <w:rFonts w:hint="eastAsia" w:ascii="仿宋_GB2312" w:hAnsi="仿宋_GB2312" w:eastAsia="仿宋_GB2312" w:cs="仿宋_GB2312"/>
          <w:color w:val="auto"/>
          <w:kern w:val="2"/>
          <w:sz w:val="32"/>
          <w:szCs w:val="32"/>
          <w:rtl w:val="0"/>
          <w:lang w:val="en-US" w:eastAsia="zh-CN" w:bidi="ar-SA"/>
        </w:rPr>
        <w:t>8</w:t>
      </w:r>
      <w:r>
        <w:rPr>
          <w:rFonts w:hint="eastAsia" w:ascii="仿宋_GB2312" w:hAnsi="仿宋_GB2312" w:eastAsia="仿宋_GB2312" w:cs="仿宋_GB2312"/>
          <w:color w:val="auto"/>
          <w:kern w:val="2"/>
          <w:sz w:val="32"/>
          <w:szCs w:val="32"/>
          <w:rtl w:val="0"/>
          <w:lang w:val="zh-CN" w:eastAsia="zh-CN" w:bidi="ar-SA"/>
        </w:rPr>
        <w:t>3%。</w:t>
      </w:r>
    </w:p>
    <w:p w14:paraId="529A9450">
      <w:pPr>
        <w:widowControl w:val="0"/>
        <w:overflowPunct w:val="0"/>
        <w:autoSpaceDE/>
        <w:autoSpaceDN/>
        <w:adjustRightInd w:val="0"/>
        <w:spacing w:line="600" w:lineRule="exact"/>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（三）一般公共预算财政拨款支出决算具体情况</w:t>
      </w:r>
    </w:p>
    <w:p w14:paraId="443252AC">
      <w:pPr>
        <w:widowControl w:val="0"/>
        <w:overflowPunct w:val="0"/>
        <w:autoSpaceDE/>
        <w:autoSpaceDN/>
        <w:adjustRightInd w:val="0"/>
        <w:spacing w:line="600" w:lineRule="exact"/>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2024年度财政拨款支出年初预算数为185.90万元，支出决算数为616.27万元，完成年初预算的331.51%，其中：</w:t>
      </w:r>
    </w:p>
    <w:p w14:paraId="35C1560D">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autoSpaceDE/>
        <w:autoSpaceDN/>
        <w:bidi w:val="0"/>
        <w:adjustRightInd/>
        <w:spacing w:before="0" w:beforeAutospacing="0" w:after="0" w:afterAutospacing="0" w:line="600" w:lineRule="exact"/>
        <w:ind w:left="0" w:right="0" w:firstLine="800"/>
        <w:jc w:val="left"/>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kern w:val="2"/>
          <w:sz w:val="32"/>
          <w:szCs w:val="32"/>
          <w:rtl w:val="0"/>
          <w:lang w:val="zh-TW" w:eastAsia="zh-TW" w:bidi="ar-SA"/>
        </w:rPr>
        <w:t>文化旅游体育与传媒支出（类）</w:t>
      </w:r>
      <w:r>
        <w:rPr>
          <w:rFonts w:hint="eastAsia" w:ascii="仿宋_GB2312" w:hAnsi="仿宋_GB2312" w:eastAsia="仿宋_GB2312" w:cs="仿宋_GB2312"/>
          <w:color w:val="auto"/>
          <w:kern w:val="2"/>
          <w:sz w:val="32"/>
          <w:szCs w:val="32"/>
          <w:rtl w:val="0"/>
          <w:lang w:val="zh-CN" w:eastAsia="zh-CN" w:bidi="ar-SA"/>
        </w:rPr>
        <w:t>文物（款）文物保护（项）</w:t>
      </w:r>
    </w:p>
    <w:p w14:paraId="3B1BF344">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800"/>
        <w:jc w:val="left"/>
        <w:outlineLvl w:val="9"/>
        <w:rPr>
          <w:rFonts w:hint="eastAsia" w:ascii="仿宋_GB2312" w:hAnsi="仿宋_GB2312" w:eastAsia="仿宋_GB2312" w:cs="仿宋_GB2312"/>
          <w:color w:val="auto"/>
          <w:kern w:val="2"/>
          <w:sz w:val="32"/>
          <w:szCs w:val="32"/>
          <w:rtl w:val="0"/>
          <w:lang w:val="en-US" w:eastAsia="zh-TW" w:bidi="ar-SA"/>
        </w:rPr>
      </w:pPr>
      <w:r>
        <w:rPr>
          <w:rFonts w:hint="eastAsia" w:ascii="仿宋_GB2312" w:hAnsi="仿宋_GB2312" w:eastAsia="仿宋_GB2312" w:cs="仿宋_GB2312"/>
          <w:color w:val="auto"/>
          <w:kern w:val="2"/>
          <w:sz w:val="32"/>
          <w:szCs w:val="32"/>
          <w:rtl w:val="0"/>
          <w:lang w:val="zh-TW" w:eastAsia="zh-TW" w:bidi="ar-SA"/>
        </w:rPr>
        <w:t>年初预算为</w:t>
      </w:r>
      <w:r>
        <w:rPr>
          <w:rFonts w:hint="eastAsia" w:ascii="仿宋_GB2312" w:hAnsi="仿宋_GB2312" w:eastAsia="仿宋_GB2312" w:cs="仿宋_GB2312"/>
          <w:color w:val="auto"/>
          <w:kern w:val="2"/>
          <w:sz w:val="32"/>
          <w:szCs w:val="32"/>
          <w:rtl w:val="0"/>
          <w:lang w:val="zh-CN" w:eastAsia="zh-CN" w:bidi="ar-SA"/>
        </w:rPr>
        <w:t>0</w:t>
      </w:r>
      <w:r>
        <w:rPr>
          <w:rFonts w:hint="eastAsia" w:ascii="仿宋_GB2312" w:hAnsi="仿宋_GB2312" w:eastAsia="仿宋_GB2312" w:cs="仿宋_GB2312"/>
          <w:color w:val="auto"/>
          <w:kern w:val="2"/>
          <w:sz w:val="32"/>
          <w:szCs w:val="32"/>
          <w:rtl w:val="0"/>
          <w:lang w:val="en-US" w:eastAsia="zh-CN" w:bidi="ar-SA"/>
        </w:rPr>
        <w:t>.00</w:t>
      </w:r>
      <w:r>
        <w:rPr>
          <w:rFonts w:hint="eastAsia" w:ascii="仿宋_GB2312" w:hAnsi="仿宋_GB2312" w:eastAsia="仿宋_GB2312" w:cs="仿宋_GB2312"/>
          <w:color w:val="auto"/>
          <w:kern w:val="2"/>
          <w:sz w:val="32"/>
          <w:szCs w:val="32"/>
          <w:rtl w:val="0"/>
          <w:lang w:val="zh-TW" w:eastAsia="zh-TW" w:bidi="ar-SA"/>
        </w:rPr>
        <w:t>万元，支出决算为</w:t>
      </w:r>
      <w:r>
        <w:rPr>
          <w:rFonts w:hint="eastAsia" w:ascii="仿宋_GB2312" w:hAnsi="仿宋_GB2312" w:eastAsia="仿宋_GB2312" w:cs="仿宋_GB2312"/>
          <w:color w:val="auto"/>
          <w:kern w:val="2"/>
          <w:sz w:val="32"/>
          <w:szCs w:val="32"/>
          <w:rtl w:val="0"/>
          <w:lang w:val="en-US" w:eastAsia="zh-CN" w:bidi="ar-SA"/>
        </w:rPr>
        <w:t>62.63</w:t>
      </w:r>
      <w:r>
        <w:rPr>
          <w:rFonts w:hint="eastAsia" w:ascii="仿宋_GB2312" w:hAnsi="仿宋_GB2312" w:eastAsia="仿宋_GB2312" w:cs="仿宋_GB2312"/>
          <w:color w:val="auto"/>
          <w:kern w:val="2"/>
          <w:sz w:val="32"/>
          <w:szCs w:val="32"/>
          <w:rtl w:val="0"/>
          <w:lang w:val="zh-TW" w:eastAsia="zh-TW" w:bidi="ar-SA"/>
        </w:rPr>
        <w:t>万元，</w:t>
      </w:r>
      <w:r>
        <w:rPr>
          <w:rFonts w:hint="eastAsia" w:ascii="仿宋_GB2312" w:hAnsi="仿宋_GB2312" w:eastAsia="仿宋_GB2312" w:cs="仿宋_GB2312"/>
          <w:color w:val="auto"/>
          <w:kern w:val="2"/>
          <w:sz w:val="32"/>
          <w:szCs w:val="32"/>
          <w:rtl w:val="0"/>
          <w:lang w:val="en-US" w:eastAsia="zh-CN" w:bidi="ar-SA"/>
        </w:rPr>
        <w:t>由于年初预算是0，无法计算百分比，</w:t>
      </w:r>
      <w:r>
        <w:rPr>
          <w:rFonts w:hint="eastAsia" w:ascii="仿宋_GB2312" w:hAnsi="仿宋_GB2312" w:eastAsia="仿宋_GB2312" w:cs="仿宋_GB2312"/>
          <w:color w:val="auto"/>
          <w:kern w:val="2"/>
          <w:sz w:val="32"/>
          <w:szCs w:val="32"/>
          <w:rtl w:val="0"/>
          <w:lang w:val="zh-TW" w:eastAsia="zh-TW" w:bidi="ar-SA"/>
        </w:rPr>
        <w:t>决算数大于年初预算数的主要原因是：</w:t>
      </w:r>
      <w:r>
        <w:rPr>
          <w:rFonts w:hint="eastAsia" w:ascii="仿宋_GB2312" w:hAnsi="仿宋_GB2312" w:eastAsia="仿宋_GB2312" w:cs="仿宋_GB2312"/>
          <w:color w:val="auto"/>
          <w:kern w:val="2"/>
          <w:sz w:val="32"/>
          <w:szCs w:val="32"/>
          <w:rtl w:val="0"/>
          <w:lang w:val="zh-CN" w:eastAsia="zh-CN" w:bidi="ar-SA"/>
        </w:rPr>
        <w:t>202</w:t>
      </w:r>
      <w:r>
        <w:rPr>
          <w:rFonts w:hint="eastAsia" w:ascii="仿宋_GB2312" w:hAnsi="仿宋_GB2312" w:eastAsia="仿宋_GB2312" w:cs="仿宋_GB2312"/>
          <w:color w:val="auto"/>
          <w:kern w:val="2"/>
          <w:sz w:val="32"/>
          <w:szCs w:val="32"/>
          <w:rtl w:val="0"/>
          <w:lang w:val="en-US" w:eastAsia="zh-CN" w:bidi="ar-SA"/>
        </w:rPr>
        <w:t>4</w:t>
      </w:r>
      <w:r>
        <w:rPr>
          <w:rFonts w:hint="eastAsia" w:ascii="仿宋_GB2312" w:hAnsi="仿宋_GB2312" w:eastAsia="仿宋_GB2312" w:cs="仿宋_GB2312"/>
          <w:color w:val="auto"/>
          <w:kern w:val="2"/>
          <w:sz w:val="32"/>
          <w:szCs w:val="32"/>
          <w:rtl w:val="0"/>
          <w:lang w:val="zh-CN" w:eastAsia="zh-CN" w:bidi="ar-SA"/>
        </w:rPr>
        <w:t>年文物保护项目增加。</w:t>
      </w:r>
    </w:p>
    <w:p w14:paraId="67B1CBFD">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800"/>
        <w:jc w:val="left"/>
        <w:outlineLvl w:val="9"/>
        <w:rPr>
          <w:rFonts w:hint="eastAsia" w:ascii="仿宋_GB2312" w:hAnsi="仿宋_GB2312" w:eastAsia="仿宋_GB2312" w:cs="仿宋_GB2312"/>
          <w:color w:val="auto"/>
          <w:kern w:val="2"/>
          <w:sz w:val="32"/>
          <w:szCs w:val="32"/>
          <w:rtl w:val="0"/>
          <w:lang w:val="zh-TW" w:eastAsia="zh-TW" w:bidi="ar-SA"/>
        </w:rPr>
      </w:pP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rtl w:val="0"/>
          <w:lang w:val="zh-TW" w:eastAsia="zh-TW" w:bidi="ar-SA"/>
        </w:rPr>
        <w:t>文化旅游体育与传媒支出（类）</w:t>
      </w:r>
      <w:r>
        <w:rPr>
          <w:rFonts w:hint="eastAsia" w:ascii="仿宋_GB2312" w:hAnsi="仿宋_GB2312" w:eastAsia="仿宋_GB2312" w:cs="仿宋_GB2312"/>
          <w:color w:val="auto"/>
          <w:kern w:val="2"/>
          <w:sz w:val="32"/>
          <w:szCs w:val="32"/>
          <w:rtl w:val="0"/>
          <w:lang w:val="zh-CN" w:eastAsia="zh-CN" w:bidi="ar-SA"/>
        </w:rPr>
        <w:t>文物（款）博物馆（项）</w:t>
      </w:r>
    </w:p>
    <w:p w14:paraId="74FAA561">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640"/>
        <w:jc w:val="left"/>
        <w:outlineLvl w:val="9"/>
        <w:rPr>
          <w:rFonts w:hint="eastAsia" w:ascii="仿宋_GB2312" w:hAnsi="仿宋_GB2312" w:eastAsia="仿宋_GB2312" w:cs="仿宋_GB2312"/>
          <w:color w:val="auto"/>
          <w:kern w:val="2"/>
          <w:sz w:val="32"/>
          <w:szCs w:val="32"/>
          <w:rtl w:val="0"/>
          <w:lang w:val="en-US" w:eastAsia="zh-TW" w:bidi="ar-SA"/>
        </w:rPr>
      </w:pPr>
      <w:r>
        <w:rPr>
          <w:rFonts w:hint="eastAsia" w:ascii="仿宋_GB2312" w:hAnsi="仿宋_GB2312" w:eastAsia="仿宋_GB2312" w:cs="仿宋_GB2312"/>
          <w:color w:val="auto"/>
          <w:kern w:val="2"/>
          <w:sz w:val="32"/>
          <w:szCs w:val="32"/>
          <w:rtl w:val="0"/>
          <w:lang w:val="zh-TW" w:eastAsia="zh-TW" w:bidi="ar-SA"/>
        </w:rPr>
        <w:t>年初预算为</w:t>
      </w:r>
      <w:r>
        <w:rPr>
          <w:rFonts w:hint="eastAsia" w:ascii="仿宋_GB2312" w:hAnsi="仿宋_GB2312" w:eastAsia="仿宋_GB2312" w:cs="仿宋_GB2312"/>
          <w:color w:val="auto"/>
          <w:kern w:val="2"/>
          <w:sz w:val="32"/>
          <w:szCs w:val="32"/>
          <w:rtl w:val="0"/>
          <w:lang w:val="zh-CN" w:eastAsia="zh-CN" w:bidi="ar-SA"/>
        </w:rPr>
        <w:t>1</w:t>
      </w:r>
      <w:r>
        <w:rPr>
          <w:rFonts w:hint="eastAsia" w:ascii="仿宋_GB2312" w:hAnsi="仿宋_GB2312" w:eastAsia="仿宋_GB2312" w:cs="仿宋_GB2312"/>
          <w:color w:val="auto"/>
          <w:kern w:val="2"/>
          <w:sz w:val="32"/>
          <w:szCs w:val="32"/>
          <w:rtl w:val="0"/>
          <w:lang w:val="en-US" w:eastAsia="zh-CN" w:bidi="ar-SA"/>
        </w:rPr>
        <w:t>29.43</w:t>
      </w:r>
      <w:r>
        <w:rPr>
          <w:rFonts w:hint="eastAsia" w:ascii="仿宋_GB2312" w:hAnsi="仿宋_GB2312" w:eastAsia="仿宋_GB2312" w:cs="仿宋_GB2312"/>
          <w:color w:val="auto"/>
          <w:kern w:val="2"/>
          <w:sz w:val="32"/>
          <w:szCs w:val="32"/>
          <w:rtl w:val="0"/>
          <w:lang w:val="zh-TW" w:eastAsia="zh-TW" w:bidi="ar-SA"/>
        </w:rPr>
        <w:t>万元，支出决算为</w:t>
      </w:r>
      <w:r>
        <w:rPr>
          <w:rFonts w:hint="eastAsia" w:ascii="仿宋_GB2312" w:hAnsi="仿宋_GB2312" w:eastAsia="仿宋_GB2312" w:cs="仿宋_GB2312"/>
          <w:color w:val="auto"/>
          <w:kern w:val="2"/>
          <w:sz w:val="32"/>
          <w:szCs w:val="32"/>
          <w:rtl w:val="0"/>
          <w:lang w:val="en-US" w:eastAsia="zh-CN" w:bidi="ar-SA"/>
        </w:rPr>
        <w:t>382.12</w:t>
      </w:r>
      <w:r>
        <w:rPr>
          <w:rFonts w:hint="eastAsia" w:ascii="仿宋_GB2312" w:hAnsi="仿宋_GB2312" w:eastAsia="仿宋_GB2312" w:cs="仿宋_GB2312"/>
          <w:color w:val="auto"/>
          <w:kern w:val="2"/>
          <w:sz w:val="32"/>
          <w:szCs w:val="32"/>
          <w:rtl w:val="0"/>
          <w:lang w:val="zh-TW" w:eastAsia="zh-TW" w:bidi="ar-SA"/>
        </w:rPr>
        <w:t>万元，</w:t>
      </w:r>
      <w:r>
        <w:rPr>
          <w:rFonts w:hint="eastAsia" w:ascii="仿宋_GB2312" w:hAnsi="仿宋_GB2312" w:eastAsia="仿宋_GB2312" w:cs="仿宋_GB2312"/>
          <w:color w:val="auto"/>
          <w:kern w:val="2"/>
          <w:sz w:val="32"/>
          <w:szCs w:val="32"/>
          <w:rtl w:val="0"/>
          <w:lang w:val="en-US" w:eastAsia="zh-CN" w:bidi="ar-SA"/>
        </w:rPr>
        <w:t>完成年初预算数的295.23%。</w:t>
      </w:r>
      <w:r>
        <w:rPr>
          <w:rFonts w:hint="eastAsia" w:ascii="仿宋_GB2312" w:hAnsi="仿宋_GB2312" w:eastAsia="仿宋_GB2312" w:cs="仿宋_GB2312"/>
          <w:color w:val="auto"/>
          <w:kern w:val="2"/>
          <w:sz w:val="32"/>
          <w:szCs w:val="32"/>
          <w:rtl w:val="0"/>
          <w:lang w:val="zh-TW" w:eastAsia="zh-TW" w:bidi="ar-SA"/>
        </w:rPr>
        <w:t>决算数大于年初预算数的主因是：</w:t>
      </w:r>
      <w:r>
        <w:rPr>
          <w:rFonts w:hint="eastAsia" w:ascii="仿宋_GB2312" w:hAnsi="仿宋_GB2312" w:eastAsia="仿宋_GB2312" w:cs="仿宋_GB2312"/>
          <w:color w:val="auto"/>
          <w:kern w:val="2"/>
          <w:sz w:val="32"/>
          <w:szCs w:val="32"/>
          <w:rtl w:val="0"/>
          <w:lang w:val="zh-CN" w:eastAsia="zh-CN" w:bidi="ar-SA"/>
        </w:rPr>
        <w:t>上一年未完工的项目资金，在202</w:t>
      </w:r>
      <w:r>
        <w:rPr>
          <w:rFonts w:hint="eastAsia" w:ascii="仿宋_GB2312" w:hAnsi="仿宋_GB2312" w:eastAsia="仿宋_GB2312" w:cs="仿宋_GB2312"/>
          <w:color w:val="auto"/>
          <w:kern w:val="2"/>
          <w:sz w:val="32"/>
          <w:szCs w:val="32"/>
          <w:rtl w:val="0"/>
          <w:lang w:val="en-US" w:eastAsia="zh-CN" w:bidi="ar-SA"/>
        </w:rPr>
        <w:t>4</w:t>
      </w:r>
      <w:r>
        <w:rPr>
          <w:rFonts w:hint="eastAsia" w:ascii="仿宋_GB2312" w:hAnsi="仿宋_GB2312" w:eastAsia="仿宋_GB2312" w:cs="仿宋_GB2312"/>
          <w:color w:val="auto"/>
          <w:kern w:val="2"/>
          <w:sz w:val="32"/>
          <w:szCs w:val="32"/>
          <w:rtl w:val="0"/>
          <w:lang w:val="zh-CN" w:eastAsia="zh-CN" w:bidi="ar-SA"/>
        </w:rPr>
        <w:t>年支付。</w:t>
      </w:r>
    </w:p>
    <w:p w14:paraId="34E66F3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640"/>
        <w:jc w:val="left"/>
        <w:outlineLvl w:val="9"/>
        <w:rPr>
          <w:rFonts w:hint="eastAsia" w:ascii="仿宋_GB2312" w:hAnsi="仿宋_GB2312" w:eastAsia="仿宋_GB2312" w:cs="仿宋_GB2312"/>
          <w:color w:val="auto"/>
          <w:kern w:val="2"/>
          <w:sz w:val="32"/>
          <w:szCs w:val="32"/>
          <w:rtl w:val="0"/>
          <w:lang w:val="zh-TW" w:eastAsia="zh-TW" w:bidi="ar-SA"/>
        </w:rPr>
      </w:pP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rtl w:val="0"/>
          <w:lang w:val="zh-TW" w:eastAsia="zh-TW" w:bidi="ar-SA"/>
        </w:rPr>
        <w:t>文化旅游体育与传媒支出（类）</w:t>
      </w:r>
      <w:r>
        <w:rPr>
          <w:rFonts w:hint="eastAsia" w:ascii="仿宋_GB2312" w:hAnsi="仿宋_GB2312" w:eastAsia="仿宋_GB2312" w:cs="仿宋_GB2312"/>
          <w:color w:val="auto"/>
          <w:kern w:val="2"/>
          <w:sz w:val="32"/>
          <w:szCs w:val="32"/>
          <w:rtl w:val="0"/>
          <w:lang w:val="zh-CN" w:eastAsia="zh-CN" w:bidi="ar-SA"/>
        </w:rPr>
        <w:t>文物（款）其他文物支出（项）</w:t>
      </w:r>
    </w:p>
    <w:p w14:paraId="63E0DCD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640"/>
        <w:jc w:val="left"/>
        <w:outlineLvl w:val="9"/>
        <w:rPr>
          <w:rFonts w:hint="eastAsia" w:ascii="仿宋_GB2312" w:hAnsi="仿宋_GB2312" w:eastAsia="仿宋_GB2312" w:cs="仿宋_GB2312"/>
          <w:color w:val="auto"/>
          <w:kern w:val="2"/>
          <w:sz w:val="32"/>
          <w:szCs w:val="32"/>
          <w:rtl w:val="0"/>
          <w:lang w:val="en-US" w:eastAsia="zh-TW" w:bidi="ar-SA"/>
        </w:rPr>
      </w:pPr>
      <w:r>
        <w:rPr>
          <w:rFonts w:hint="eastAsia" w:ascii="仿宋_GB2312" w:hAnsi="仿宋_GB2312" w:eastAsia="仿宋_GB2312" w:cs="仿宋_GB2312"/>
          <w:color w:val="auto"/>
          <w:kern w:val="2"/>
          <w:sz w:val="32"/>
          <w:szCs w:val="32"/>
          <w:rtl w:val="0"/>
          <w:lang w:val="zh-TW" w:eastAsia="zh-TW" w:bidi="ar-SA"/>
        </w:rPr>
        <w:t>年初预算为</w:t>
      </w:r>
      <w:r>
        <w:rPr>
          <w:rFonts w:hint="eastAsia" w:ascii="仿宋_GB2312" w:hAnsi="仿宋_GB2312" w:eastAsia="仿宋_GB2312" w:cs="仿宋_GB2312"/>
          <w:color w:val="auto"/>
          <w:kern w:val="2"/>
          <w:sz w:val="32"/>
          <w:szCs w:val="32"/>
          <w:rtl w:val="0"/>
          <w:lang w:val="zh-CN" w:eastAsia="zh-CN" w:bidi="ar-SA"/>
        </w:rPr>
        <w:t>0</w:t>
      </w:r>
      <w:r>
        <w:rPr>
          <w:rFonts w:hint="eastAsia" w:ascii="仿宋_GB2312" w:hAnsi="仿宋_GB2312" w:eastAsia="仿宋_GB2312" w:cs="仿宋_GB2312"/>
          <w:color w:val="auto"/>
          <w:kern w:val="2"/>
          <w:sz w:val="32"/>
          <w:szCs w:val="32"/>
          <w:rtl w:val="0"/>
          <w:lang w:val="en-US" w:eastAsia="zh-CN" w:bidi="ar-SA"/>
        </w:rPr>
        <w:t>.00</w:t>
      </w:r>
      <w:r>
        <w:rPr>
          <w:rFonts w:hint="eastAsia" w:ascii="仿宋_GB2312" w:hAnsi="仿宋_GB2312" w:eastAsia="仿宋_GB2312" w:cs="仿宋_GB2312"/>
          <w:color w:val="auto"/>
          <w:kern w:val="2"/>
          <w:sz w:val="32"/>
          <w:szCs w:val="32"/>
          <w:rtl w:val="0"/>
          <w:lang w:val="zh-TW" w:eastAsia="zh-TW" w:bidi="ar-SA"/>
        </w:rPr>
        <w:t>万元，支出决算为</w:t>
      </w:r>
      <w:r>
        <w:rPr>
          <w:rFonts w:hint="eastAsia" w:ascii="仿宋_GB2312" w:hAnsi="仿宋_GB2312" w:eastAsia="仿宋_GB2312" w:cs="仿宋_GB2312"/>
          <w:color w:val="auto"/>
          <w:kern w:val="2"/>
          <w:sz w:val="32"/>
          <w:szCs w:val="32"/>
          <w:rtl w:val="0"/>
          <w:lang w:val="en-US" w:eastAsia="zh-CN" w:bidi="ar-SA"/>
        </w:rPr>
        <w:t>108.59</w:t>
      </w:r>
      <w:r>
        <w:rPr>
          <w:rFonts w:hint="eastAsia" w:ascii="仿宋_GB2312" w:hAnsi="仿宋_GB2312" w:eastAsia="仿宋_GB2312" w:cs="仿宋_GB2312"/>
          <w:color w:val="auto"/>
          <w:kern w:val="2"/>
          <w:sz w:val="32"/>
          <w:szCs w:val="32"/>
          <w:rtl w:val="0"/>
          <w:lang w:val="zh-TW" w:eastAsia="zh-TW" w:bidi="ar-SA"/>
        </w:rPr>
        <w:t>万元，</w:t>
      </w:r>
      <w:r>
        <w:rPr>
          <w:rFonts w:hint="eastAsia" w:ascii="仿宋_GB2312" w:hAnsi="仿宋_GB2312" w:eastAsia="仿宋_GB2312" w:cs="仿宋_GB2312"/>
          <w:color w:val="auto"/>
          <w:kern w:val="2"/>
          <w:sz w:val="32"/>
          <w:szCs w:val="32"/>
          <w:rtl w:val="0"/>
          <w:lang w:val="en-US" w:eastAsia="zh-CN" w:bidi="ar-SA"/>
        </w:rPr>
        <w:t>由于年初预算是0，无法计算百分比，</w:t>
      </w:r>
      <w:r>
        <w:rPr>
          <w:rFonts w:hint="eastAsia" w:ascii="仿宋_GB2312" w:hAnsi="仿宋_GB2312" w:eastAsia="仿宋_GB2312" w:cs="仿宋_GB2312"/>
          <w:color w:val="auto"/>
          <w:kern w:val="2"/>
          <w:sz w:val="32"/>
          <w:szCs w:val="32"/>
          <w:rtl w:val="0"/>
          <w:lang w:val="zh-TW" w:eastAsia="zh-TW" w:bidi="ar-SA"/>
        </w:rPr>
        <w:t>决算数大于年初预算数的主因是：</w:t>
      </w:r>
      <w:r>
        <w:rPr>
          <w:rFonts w:hint="eastAsia" w:ascii="仿宋_GB2312" w:hAnsi="仿宋_GB2312" w:eastAsia="仿宋_GB2312" w:cs="仿宋_GB2312"/>
          <w:color w:val="auto"/>
          <w:kern w:val="2"/>
          <w:sz w:val="32"/>
          <w:szCs w:val="32"/>
          <w:rtl w:val="0"/>
          <w:lang w:val="zh-CN" w:eastAsia="zh-CN" w:bidi="ar-SA"/>
        </w:rPr>
        <w:t>非税收入弥补了日常公用经费。</w:t>
      </w:r>
    </w:p>
    <w:p w14:paraId="7DCA933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640"/>
        <w:jc w:val="left"/>
        <w:outlineLvl w:val="9"/>
        <w:rPr>
          <w:rFonts w:hint="eastAsia" w:ascii="仿宋_GB2312" w:hAnsi="仿宋_GB2312" w:eastAsia="仿宋_GB2312" w:cs="仿宋_GB2312"/>
          <w:color w:val="auto"/>
          <w:kern w:val="2"/>
          <w:sz w:val="32"/>
          <w:szCs w:val="32"/>
          <w:rtl w:val="0"/>
          <w:lang w:val="zh-TW" w:eastAsia="zh-TW" w:bidi="ar-SA"/>
        </w:rPr>
      </w:pP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rtl w:val="0"/>
          <w:lang w:val="zh-CN" w:eastAsia="zh-CN" w:bidi="ar-SA"/>
        </w:rPr>
        <w:t>社会保障和就业支出（类）行政事业单位养老支出（款）事业单位离退休（项）</w:t>
      </w:r>
    </w:p>
    <w:p w14:paraId="1EDC302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640"/>
        <w:jc w:val="left"/>
        <w:outlineLvl w:val="9"/>
        <w:rPr>
          <w:rFonts w:hint="eastAsia" w:ascii="仿宋_GB2312" w:hAnsi="仿宋_GB2312" w:eastAsia="仿宋_GB2312" w:cs="仿宋_GB2312"/>
          <w:color w:val="auto"/>
          <w:kern w:val="2"/>
          <w:sz w:val="32"/>
          <w:szCs w:val="32"/>
          <w:rtl w:val="0"/>
          <w:lang w:val="en-US" w:eastAsia="zh-TW" w:bidi="ar-SA"/>
        </w:rPr>
      </w:pPr>
      <w:r>
        <w:rPr>
          <w:rFonts w:hint="eastAsia" w:ascii="仿宋_GB2312" w:hAnsi="仿宋_GB2312" w:eastAsia="仿宋_GB2312" w:cs="仿宋_GB2312"/>
          <w:color w:val="auto"/>
          <w:kern w:val="2"/>
          <w:sz w:val="32"/>
          <w:szCs w:val="32"/>
          <w:rtl w:val="0"/>
          <w:lang w:val="zh-TW" w:eastAsia="zh-TW" w:bidi="ar-SA"/>
        </w:rPr>
        <w:t>年初预算为</w:t>
      </w:r>
      <w:r>
        <w:rPr>
          <w:rFonts w:hint="eastAsia" w:ascii="仿宋_GB2312" w:hAnsi="仿宋_GB2312" w:eastAsia="仿宋_GB2312" w:cs="仿宋_GB2312"/>
          <w:color w:val="auto"/>
          <w:kern w:val="2"/>
          <w:sz w:val="32"/>
          <w:szCs w:val="32"/>
          <w:rtl w:val="0"/>
          <w:lang w:val="zh-CN" w:eastAsia="zh-CN" w:bidi="ar-SA"/>
        </w:rPr>
        <w:t>1</w:t>
      </w:r>
      <w:r>
        <w:rPr>
          <w:rFonts w:hint="eastAsia" w:ascii="仿宋_GB2312" w:hAnsi="仿宋_GB2312" w:eastAsia="仿宋_GB2312" w:cs="仿宋_GB2312"/>
          <w:color w:val="auto"/>
          <w:kern w:val="2"/>
          <w:sz w:val="32"/>
          <w:szCs w:val="32"/>
          <w:rtl w:val="0"/>
          <w:lang w:val="en-US" w:eastAsia="zh-CN" w:bidi="ar-SA"/>
        </w:rPr>
        <w:t>8.47</w:t>
      </w:r>
      <w:r>
        <w:rPr>
          <w:rFonts w:hint="eastAsia" w:ascii="仿宋_GB2312" w:hAnsi="仿宋_GB2312" w:eastAsia="仿宋_GB2312" w:cs="仿宋_GB2312"/>
          <w:color w:val="auto"/>
          <w:kern w:val="2"/>
          <w:sz w:val="32"/>
          <w:szCs w:val="32"/>
          <w:rtl w:val="0"/>
          <w:lang w:val="zh-TW" w:eastAsia="zh-TW" w:bidi="ar-SA"/>
        </w:rPr>
        <w:t>万元，支出决算为</w:t>
      </w:r>
      <w:r>
        <w:rPr>
          <w:rFonts w:hint="eastAsia" w:ascii="仿宋_GB2312" w:hAnsi="仿宋_GB2312" w:eastAsia="仿宋_GB2312" w:cs="仿宋_GB2312"/>
          <w:color w:val="auto"/>
          <w:kern w:val="2"/>
          <w:sz w:val="32"/>
          <w:szCs w:val="32"/>
          <w:rtl w:val="0"/>
          <w:lang w:val="en-US" w:eastAsia="zh-CN" w:bidi="ar-SA"/>
        </w:rPr>
        <w:t>39.10</w:t>
      </w:r>
      <w:r>
        <w:rPr>
          <w:rFonts w:hint="eastAsia" w:ascii="仿宋_GB2312" w:hAnsi="仿宋_GB2312" w:eastAsia="仿宋_GB2312" w:cs="仿宋_GB2312"/>
          <w:color w:val="auto"/>
          <w:kern w:val="2"/>
          <w:sz w:val="32"/>
          <w:szCs w:val="32"/>
          <w:rtl w:val="0"/>
          <w:lang w:val="zh-TW" w:eastAsia="zh-TW" w:bidi="ar-SA"/>
        </w:rPr>
        <w:t>万元，</w:t>
      </w:r>
      <w:r>
        <w:rPr>
          <w:rFonts w:hint="eastAsia" w:ascii="仿宋_GB2312" w:hAnsi="仿宋_GB2312" w:eastAsia="仿宋_GB2312" w:cs="仿宋_GB2312"/>
          <w:color w:val="auto"/>
          <w:kern w:val="2"/>
          <w:sz w:val="32"/>
          <w:szCs w:val="32"/>
          <w:rtl w:val="0"/>
          <w:lang w:val="en-US" w:eastAsia="zh-CN" w:bidi="ar-SA"/>
        </w:rPr>
        <w:t>完成年初预算数的211.69%。</w:t>
      </w:r>
      <w:r>
        <w:rPr>
          <w:rFonts w:hint="eastAsia" w:ascii="仿宋_GB2312" w:hAnsi="仿宋_GB2312" w:eastAsia="仿宋_GB2312" w:cs="仿宋_GB2312"/>
          <w:color w:val="auto"/>
          <w:kern w:val="2"/>
          <w:sz w:val="32"/>
          <w:szCs w:val="32"/>
          <w:rtl w:val="0"/>
          <w:lang w:val="zh-TW" w:eastAsia="zh-TW" w:bidi="ar-SA"/>
        </w:rPr>
        <w:t>决算数大于年初预算数的主因是：</w:t>
      </w:r>
      <w:r>
        <w:rPr>
          <w:rFonts w:hint="eastAsia" w:ascii="仿宋_GB2312" w:hAnsi="仿宋_GB2312" w:eastAsia="仿宋_GB2312" w:cs="仿宋_GB2312"/>
          <w:color w:val="auto"/>
          <w:kern w:val="2"/>
          <w:sz w:val="32"/>
          <w:szCs w:val="32"/>
          <w:rtl w:val="0"/>
          <w:lang w:val="zh-CN" w:eastAsia="zh-CN" w:bidi="ar-SA"/>
        </w:rPr>
        <w:t>新增了退休人员。</w:t>
      </w:r>
    </w:p>
    <w:p w14:paraId="0C0FE41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640"/>
        <w:jc w:val="left"/>
        <w:outlineLvl w:val="9"/>
        <w:rPr>
          <w:rFonts w:hint="eastAsia" w:ascii="仿宋_GB2312" w:hAnsi="仿宋_GB2312" w:eastAsia="仿宋_GB2312" w:cs="仿宋_GB2312"/>
          <w:color w:val="auto"/>
          <w:kern w:val="2"/>
          <w:sz w:val="32"/>
          <w:szCs w:val="32"/>
          <w:rtl w:val="0"/>
          <w:lang w:val="en-US" w:eastAsia="zh-TW" w:bidi="ar-SA"/>
        </w:rPr>
      </w:pP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rtl w:val="0"/>
          <w:lang w:val="en-US" w:eastAsia="zh-TW" w:bidi="ar-SA"/>
        </w:rPr>
        <w:t>社会保障和就业支出（类）行政事业单位养老支出（款）</w:t>
      </w:r>
      <w:r>
        <w:rPr>
          <w:rFonts w:hint="eastAsia" w:ascii="仿宋_GB2312" w:hAnsi="仿宋_GB2312" w:eastAsia="仿宋_GB2312" w:cs="仿宋_GB2312"/>
          <w:color w:val="auto"/>
          <w:kern w:val="2"/>
          <w:sz w:val="32"/>
          <w:szCs w:val="32"/>
          <w:rtl w:val="0"/>
          <w:lang w:val="zh-CN" w:eastAsia="zh-CN" w:bidi="ar-SA"/>
        </w:rPr>
        <w:t>机关事业单位基本养老保险缴费支出</w:t>
      </w:r>
      <w:r>
        <w:rPr>
          <w:rFonts w:hint="eastAsia" w:ascii="仿宋_GB2312" w:hAnsi="仿宋_GB2312" w:eastAsia="仿宋_GB2312" w:cs="仿宋_GB2312"/>
          <w:color w:val="auto"/>
          <w:kern w:val="2"/>
          <w:sz w:val="32"/>
          <w:szCs w:val="32"/>
          <w:rtl w:val="0"/>
          <w:lang w:val="en-US" w:eastAsia="zh-TW" w:bidi="ar-SA"/>
        </w:rPr>
        <w:t>（项）</w:t>
      </w:r>
    </w:p>
    <w:p w14:paraId="4E759DAA">
      <w:pPr>
        <w:widowControl w:val="0"/>
        <w:autoSpaceDE w:val="0"/>
        <w:autoSpaceDN w:val="0"/>
        <w:adjustRightInd w:val="0"/>
        <w:spacing w:line="600" w:lineRule="exact"/>
        <w:ind w:firstLine="640" w:firstLineChars="200"/>
        <w:jc w:val="both"/>
        <w:rPr>
          <w:rFonts w:hint="eastAsia" w:ascii="仿宋_GB2312" w:hAnsi="仿宋_GB2312" w:eastAsia="仿宋_GB2312" w:cs="仿宋_GB2312"/>
          <w:color w:val="auto"/>
          <w:kern w:val="2"/>
          <w:sz w:val="32"/>
          <w:szCs w:val="32"/>
          <w:rtl w:val="0"/>
          <w:lang w:val="zh-CN" w:eastAsia="zh-CN" w:bidi="ar-SA"/>
        </w:rPr>
      </w:pPr>
      <w:r>
        <w:rPr>
          <w:rFonts w:hint="eastAsia" w:ascii="仿宋_GB2312" w:hAnsi="仿宋_GB2312" w:eastAsia="仿宋_GB2312" w:cs="仿宋_GB2312"/>
          <w:color w:val="auto"/>
          <w:kern w:val="2"/>
          <w:sz w:val="32"/>
          <w:szCs w:val="32"/>
          <w:rtl w:val="0"/>
          <w:lang w:val="zh-TW" w:eastAsia="zh-TW" w:bidi="ar-SA"/>
        </w:rPr>
        <w:t>年初预算为</w:t>
      </w:r>
      <w:r>
        <w:rPr>
          <w:rFonts w:hint="eastAsia" w:ascii="仿宋_GB2312" w:hAnsi="仿宋_GB2312" w:eastAsia="仿宋_GB2312" w:cs="仿宋_GB2312"/>
          <w:color w:val="auto"/>
          <w:kern w:val="2"/>
          <w:sz w:val="32"/>
          <w:szCs w:val="32"/>
          <w:rtl w:val="0"/>
          <w:lang w:val="zh-CN" w:eastAsia="zh-CN" w:bidi="ar-SA"/>
        </w:rPr>
        <w:t>1</w:t>
      </w:r>
      <w:r>
        <w:rPr>
          <w:rFonts w:hint="eastAsia" w:ascii="仿宋_GB2312" w:hAnsi="仿宋_GB2312" w:eastAsia="仿宋_GB2312" w:cs="仿宋_GB2312"/>
          <w:color w:val="auto"/>
          <w:kern w:val="2"/>
          <w:sz w:val="32"/>
          <w:szCs w:val="32"/>
          <w:rtl w:val="0"/>
          <w:lang w:val="en-US" w:eastAsia="zh-CN" w:bidi="ar-SA"/>
        </w:rPr>
        <w:t>5.65</w:t>
      </w:r>
      <w:r>
        <w:rPr>
          <w:rFonts w:hint="eastAsia" w:ascii="仿宋_GB2312" w:hAnsi="仿宋_GB2312" w:eastAsia="仿宋_GB2312" w:cs="仿宋_GB2312"/>
          <w:color w:val="auto"/>
          <w:kern w:val="2"/>
          <w:sz w:val="32"/>
          <w:szCs w:val="32"/>
          <w:rtl w:val="0"/>
          <w:lang w:val="zh-TW" w:eastAsia="zh-TW" w:bidi="ar-SA"/>
        </w:rPr>
        <w:t>万元，支出决算为</w:t>
      </w:r>
      <w:r>
        <w:rPr>
          <w:rFonts w:hint="eastAsia" w:ascii="仿宋_GB2312" w:hAnsi="仿宋_GB2312" w:eastAsia="仿宋_GB2312" w:cs="仿宋_GB2312"/>
          <w:color w:val="auto"/>
          <w:kern w:val="2"/>
          <w:sz w:val="32"/>
          <w:szCs w:val="32"/>
          <w:rtl w:val="0"/>
          <w:lang w:val="zh-CN" w:eastAsia="zh-CN" w:bidi="ar-SA"/>
        </w:rPr>
        <w:t>1</w:t>
      </w:r>
      <w:r>
        <w:rPr>
          <w:rFonts w:hint="eastAsia" w:ascii="仿宋_GB2312" w:hAnsi="仿宋_GB2312" w:eastAsia="仿宋_GB2312" w:cs="仿宋_GB2312"/>
          <w:color w:val="auto"/>
          <w:kern w:val="2"/>
          <w:sz w:val="32"/>
          <w:szCs w:val="32"/>
          <w:rtl w:val="0"/>
          <w:lang w:val="en-US" w:eastAsia="zh-CN" w:bidi="ar-SA"/>
        </w:rPr>
        <w:t>5.65</w:t>
      </w:r>
      <w:r>
        <w:rPr>
          <w:rFonts w:hint="eastAsia" w:ascii="仿宋_GB2312" w:hAnsi="仿宋_GB2312" w:eastAsia="仿宋_GB2312" w:cs="仿宋_GB2312"/>
          <w:color w:val="auto"/>
          <w:kern w:val="2"/>
          <w:sz w:val="32"/>
          <w:szCs w:val="32"/>
          <w:rtl w:val="0"/>
          <w:lang w:val="zh-TW" w:eastAsia="zh-TW" w:bidi="ar-SA"/>
        </w:rPr>
        <w:t>万元</w:t>
      </w:r>
      <w:r>
        <w:rPr>
          <w:rFonts w:hint="eastAsia" w:ascii="仿宋_GB2312" w:hAnsi="仿宋_GB2312" w:eastAsia="仿宋_GB2312" w:cs="仿宋_GB2312"/>
          <w:color w:val="auto"/>
          <w:kern w:val="2"/>
          <w:sz w:val="32"/>
          <w:szCs w:val="32"/>
          <w:rtl w:val="0"/>
          <w:lang w:val="zh-TW" w:eastAsia="zh-CN" w:bidi="ar-SA"/>
        </w:rPr>
        <w:t>，</w:t>
      </w:r>
      <w:r>
        <w:rPr>
          <w:rFonts w:hint="eastAsia" w:ascii="仿宋_GB2312" w:hAnsi="仿宋_GB2312" w:eastAsia="仿宋_GB2312" w:cs="仿宋_GB2312"/>
          <w:color w:val="auto"/>
          <w:kern w:val="2"/>
          <w:sz w:val="32"/>
          <w:szCs w:val="32"/>
          <w:rtl w:val="0"/>
          <w:lang w:val="en-US" w:eastAsia="zh-CN" w:bidi="ar-SA"/>
        </w:rPr>
        <w:t>完成年初预算数的100%。</w:t>
      </w:r>
      <w:r>
        <w:rPr>
          <w:rFonts w:hint="eastAsia" w:ascii="仿宋_GB2312" w:hAnsi="仿宋_GB2312" w:eastAsia="仿宋_GB2312" w:cs="仿宋_GB2312"/>
          <w:color w:val="auto"/>
          <w:kern w:val="2"/>
          <w:sz w:val="32"/>
          <w:szCs w:val="32"/>
          <w:lang w:val="en-US" w:eastAsia="zh-CN" w:bidi="ar-SA"/>
        </w:rPr>
        <w:t>决算数与年初预算数一致，我单位严格按预算执行决算</w:t>
      </w:r>
      <w:r>
        <w:rPr>
          <w:rFonts w:hint="eastAsia" w:ascii="仿宋_GB2312" w:hAnsi="仿宋_GB2312" w:eastAsia="仿宋_GB2312" w:cs="仿宋_GB2312"/>
          <w:color w:val="auto"/>
          <w:kern w:val="2"/>
          <w:sz w:val="32"/>
          <w:szCs w:val="32"/>
          <w:rtl w:val="0"/>
          <w:lang w:val="zh-CN" w:eastAsia="zh-CN" w:bidi="ar-SA"/>
        </w:rPr>
        <w:t>。</w:t>
      </w:r>
    </w:p>
    <w:p w14:paraId="426A821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640"/>
        <w:jc w:val="left"/>
        <w:outlineLvl w:val="9"/>
        <w:rPr>
          <w:rFonts w:hint="eastAsia" w:ascii="仿宋_GB2312" w:hAnsi="仿宋_GB2312" w:eastAsia="仿宋_GB2312" w:cs="仿宋_GB2312"/>
          <w:color w:val="auto"/>
          <w:kern w:val="2"/>
          <w:sz w:val="32"/>
          <w:szCs w:val="32"/>
          <w:rtl w:val="0"/>
          <w:lang w:val="en-US" w:eastAsia="zh-TW" w:bidi="ar-SA"/>
        </w:rPr>
      </w:pPr>
      <w:r>
        <w:rPr>
          <w:rFonts w:hint="eastAsia" w:ascii="仿宋_GB2312" w:hAnsi="仿宋_GB2312" w:eastAsia="仿宋_GB2312" w:cs="仿宋_GB2312"/>
          <w:color w:val="auto"/>
          <w:kern w:val="2"/>
          <w:sz w:val="32"/>
          <w:szCs w:val="32"/>
          <w:rtl w:val="0"/>
          <w:lang w:val="en-US" w:eastAsia="zh-CN" w:bidi="ar-SA"/>
        </w:rPr>
        <w:t>6、</w:t>
      </w:r>
      <w:r>
        <w:rPr>
          <w:rFonts w:hint="eastAsia" w:ascii="仿宋_GB2312" w:hAnsi="仿宋_GB2312" w:eastAsia="仿宋_GB2312" w:cs="仿宋_GB2312"/>
          <w:color w:val="auto"/>
          <w:kern w:val="2"/>
          <w:sz w:val="32"/>
          <w:szCs w:val="32"/>
          <w:rtl w:val="0"/>
          <w:lang w:val="en-US" w:eastAsia="zh-TW" w:bidi="ar-SA"/>
        </w:rPr>
        <w:t>社会保障和就业支出（类）</w:t>
      </w:r>
      <w:r>
        <w:rPr>
          <w:rFonts w:hint="eastAsia" w:ascii="仿宋_GB2312" w:hAnsi="仿宋_GB2312" w:eastAsia="仿宋_GB2312" w:cs="仿宋_GB2312"/>
          <w:color w:val="auto"/>
          <w:kern w:val="2"/>
          <w:sz w:val="32"/>
          <w:szCs w:val="32"/>
          <w:rtl w:val="0"/>
          <w:lang w:val="zh-CN" w:eastAsia="zh-CN" w:bidi="ar-SA"/>
        </w:rPr>
        <w:t>残疾人事业</w:t>
      </w:r>
      <w:r>
        <w:rPr>
          <w:rFonts w:hint="eastAsia" w:ascii="仿宋_GB2312" w:hAnsi="仿宋_GB2312" w:eastAsia="仿宋_GB2312" w:cs="仿宋_GB2312"/>
          <w:color w:val="auto"/>
          <w:kern w:val="2"/>
          <w:sz w:val="32"/>
          <w:szCs w:val="32"/>
          <w:rtl w:val="0"/>
          <w:lang w:val="en-US" w:eastAsia="zh-TW" w:bidi="ar-SA"/>
        </w:rPr>
        <w:t>（</w:t>
      </w:r>
      <w:r>
        <w:rPr>
          <w:rFonts w:hint="eastAsia" w:ascii="仿宋_GB2312" w:hAnsi="仿宋_GB2312" w:eastAsia="仿宋_GB2312" w:cs="仿宋_GB2312"/>
          <w:color w:val="auto"/>
          <w:kern w:val="2"/>
          <w:sz w:val="32"/>
          <w:szCs w:val="32"/>
          <w:rtl w:val="0"/>
          <w:lang w:val="zh-CN" w:eastAsia="zh-CN" w:bidi="ar-SA"/>
        </w:rPr>
        <w:t>款</w:t>
      </w:r>
      <w:r>
        <w:rPr>
          <w:rFonts w:hint="eastAsia" w:ascii="仿宋_GB2312" w:hAnsi="仿宋_GB2312" w:eastAsia="仿宋_GB2312" w:cs="仿宋_GB2312"/>
          <w:color w:val="auto"/>
          <w:kern w:val="2"/>
          <w:sz w:val="32"/>
          <w:szCs w:val="32"/>
          <w:rtl w:val="0"/>
          <w:lang w:val="en-US" w:eastAsia="zh-TW" w:bidi="ar-SA"/>
        </w:rPr>
        <w:t>）</w:t>
      </w:r>
      <w:r>
        <w:rPr>
          <w:rFonts w:hint="eastAsia" w:ascii="仿宋_GB2312" w:hAnsi="仿宋_GB2312" w:eastAsia="仿宋_GB2312" w:cs="仿宋_GB2312"/>
          <w:color w:val="auto"/>
          <w:kern w:val="2"/>
          <w:sz w:val="32"/>
          <w:szCs w:val="32"/>
          <w:rtl w:val="0"/>
          <w:lang w:val="zh-CN" w:eastAsia="zh-CN" w:bidi="ar-SA"/>
        </w:rPr>
        <w:t>其他残疾人事业支出</w:t>
      </w:r>
      <w:r>
        <w:rPr>
          <w:rFonts w:hint="eastAsia" w:ascii="仿宋_GB2312" w:hAnsi="仿宋_GB2312" w:eastAsia="仿宋_GB2312" w:cs="仿宋_GB2312"/>
          <w:color w:val="auto"/>
          <w:kern w:val="2"/>
          <w:sz w:val="32"/>
          <w:szCs w:val="32"/>
          <w:rtl w:val="0"/>
          <w:lang w:val="en-US" w:eastAsia="zh-TW" w:bidi="ar-SA"/>
        </w:rPr>
        <w:t>（</w:t>
      </w:r>
      <w:r>
        <w:rPr>
          <w:rFonts w:hint="eastAsia" w:ascii="仿宋_GB2312" w:hAnsi="仿宋_GB2312" w:eastAsia="仿宋_GB2312" w:cs="仿宋_GB2312"/>
          <w:color w:val="auto"/>
          <w:kern w:val="2"/>
          <w:sz w:val="32"/>
          <w:szCs w:val="32"/>
          <w:rtl w:val="0"/>
          <w:lang w:val="zh-CN" w:eastAsia="zh-CN" w:bidi="ar-SA"/>
        </w:rPr>
        <w:t>款</w:t>
      </w:r>
      <w:r>
        <w:rPr>
          <w:rFonts w:hint="eastAsia" w:ascii="仿宋_GB2312" w:hAnsi="仿宋_GB2312" w:eastAsia="仿宋_GB2312" w:cs="仿宋_GB2312"/>
          <w:color w:val="auto"/>
          <w:kern w:val="2"/>
          <w:sz w:val="32"/>
          <w:szCs w:val="32"/>
          <w:rtl w:val="0"/>
          <w:lang w:val="en-US" w:eastAsia="zh-TW" w:bidi="ar-SA"/>
        </w:rPr>
        <w:t>）</w:t>
      </w:r>
    </w:p>
    <w:p w14:paraId="021A1C21">
      <w:pPr>
        <w:widowControl w:val="0"/>
        <w:autoSpaceDE w:val="0"/>
        <w:autoSpaceDN w:val="0"/>
        <w:adjustRightInd w:val="0"/>
        <w:spacing w:line="600" w:lineRule="exact"/>
        <w:ind w:firstLine="640" w:firstLineChars="200"/>
        <w:jc w:val="both"/>
        <w:rPr>
          <w:rFonts w:hint="eastAsia" w:ascii="仿宋_GB2312" w:hAnsi="仿宋_GB2312" w:eastAsia="仿宋_GB2312" w:cs="仿宋_GB2312"/>
          <w:color w:val="auto"/>
          <w:kern w:val="2"/>
          <w:sz w:val="32"/>
          <w:szCs w:val="32"/>
          <w:rtl w:val="0"/>
          <w:lang w:val="zh-CN" w:eastAsia="zh-CN" w:bidi="ar-SA"/>
        </w:rPr>
      </w:pPr>
      <w:r>
        <w:rPr>
          <w:rFonts w:hint="eastAsia" w:ascii="仿宋_GB2312" w:hAnsi="仿宋_GB2312" w:eastAsia="仿宋_GB2312" w:cs="仿宋_GB2312"/>
          <w:color w:val="auto"/>
          <w:kern w:val="2"/>
          <w:sz w:val="32"/>
          <w:szCs w:val="32"/>
          <w:rtl w:val="0"/>
          <w:lang w:val="zh-TW" w:eastAsia="zh-TW" w:bidi="ar-SA"/>
        </w:rPr>
        <w:t>年初预算为</w:t>
      </w:r>
      <w:r>
        <w:rPr>
          <w:rFonts w:hint="eastAsia" w:ascii="仿宋_GB2312" w:hAnsi="仿宋_GB2312" w:eastAsia="仿宋_GB2312" w:cs="仿宋_GB2312"/>
          <w:color w:val="auto"/>
          <w:kern w:val="2"/>
          <w:sz w:val="32"/>
          <w:szCs w:val="32"/>
          <w:rtl w:val="0"/>
          <w:lang w:val="en-US" w:eastAsia="zh-CN" w:bidi="ar-SA"/>
        </w:rPr>
        <w:t>1.49</w:t>
      </w:r>
      <w:r>
        <w:rPr>
          <w:rFonts w:hint="eastAsia" w:ascii="仿宋_GB2312" w:hAnsi="仿宋_GB2312" w:eastAsia="仿宋_GB2312" w:cs="仿宋_GB2312"/>
          <w:color w:val="auto"/>
          <w:kern w:val="2"/>
          <w:sz w:val="32"/>
          <w:szCs w:val="32"/>
          <w:rtl w:val="0"/>
          <w:lang w:val="zh-TW" w:eastAsia="zh-TW" w:bidi="ar-SA"/>
        </w:rPr>
        <w:t>万元，支出决算为</w:t>
      </w:r>
      <w:r>
        <w:rPr>
          <w:rFonts w:hint="eastAsia" w:ascii="仿宋_GB2312" w:hAnsi="仿宋_GB2312" w:eastAsia="仿宋_GB2312" w:cs="仿宋_GB2312"/>
          <w:color w:val="auto"/>
          <w:kern w:val="2"/>
          <w:sz w:val="32"/>
          <w:szCs w:val="32"/>
          <w:rtl w:val="0"/>
          <w:lang w:val="zh-CN" w:eastAsia="zh-CN" w:bidi="ar-SA"/>
        </w:rPr>
        <w:t>1</w:t>
      </w:r>
      <w:r>
        <w:rPr>
          <w:rFonts w:hint="eastAsia" w:ascii="仿宋_GB2312" w:hAnsi="仿宋_GB2312" w:eastAsia="仿宋_GB2312" w:cs="仿宋_GB2312"/>
          <w:color w:val="auto"/>
          <w:kern w:val="2"/>
          <w:sz w:val="32"/>
          <w:szCs w:val="32"/>
          <w:rtl w:val="0"/>
          <w:lang w:val="en-US" w:eastAsia="zh-CN" w:bidi="ar-SA"/>
        </w:rPr>
        <w:t>.49</w:t>
      </w:r>
      <w:r>
        <w:rPr>
          <w:rFonts w:hint="eastAsia" w:ascii="仿宋_GB2312" w:hAnsi="仿宋_GB2312" w:eastAsia="仿宋_GB2312" w:cs="仿宋_GB2312"/>
          <w:color w:val="auto"/>
          <w:kern w:val="2"/>
          <w:sz w:val="32"/>
          <w:szCs w:val="32"/>
          <w:rtl w:val="0"/>
          <w:lang w:val="zh-TW" w:eastAsia="zh-TW" w:bidi="ar-SA"/>
        </w:rPr>
        <w:t>万元</w:t>
      </w:r>
      <w:r>
        <w:rPr>
          <w:rFonts w:hint="eastAsia" w:ascii="仿宋_GB2312" w:hAnsi="仿宋_GB2312" w:eastAsia="仿宋_GB2312" w:cs="仿宋_GB2312"/>
          <w:color w:val="auto"/>
          <w:kern w:val="2"/>
          <w:sz w:val="32"/>
          <w:szCs w:val="32"/>
          <w:rtl w:val="0"/>
          <w:lang w:val="zh-TW" w:eastAsia="zh-CN" w:bidi="ar-SA"/>
        </w:rPr>
        <w:t>，</w:t>
      </w:r>
      <w:r>
        <w:rPr>
          <w:rFonts w:hint="eastAsia" w:ascii="仿宋_GB2312" w:hAnsi="仿宋_GB2312" w:eastAsia="仿宋_GB2312" w:cs="仿宋_GB2312"/>
          <w:color w:val="auto"/>
          <w:kern w:val="2"/>
          <w:sz w:val="32"/>
          <w:szCs w:val="32"/>
          <w:rtl w:val="0"/>
          <w:lang w:val="en-US" w:eastAsia="zh-CN" w:bidi="ar-SA"/>
        </w:rPr>
        <w:t>完成年初预算数的100%。</w:t>
      </w:r>
      <w:r>
        <w:rPr>
          <w:rFonts w:hint="eastAsia" w:ascii="仿宋_GB2312" w:hAnsi="仿宋_GB2312" w:eastAsia="仿宋_GB2312" w:cs="仿宋_GB2312"/>
          <w:color w:val="auto"/>
          <w:kern w:val="2"/>
          <w:sz w:val="32"/>
          <w:szCs w:val="32"/>
          <w:lang w:val="en-US" w:eastAsia="zh-CN" w:bidi="ar-SA"/>
        </w:rPr>
        <w:t>决算数与年初预算数一致，我单位严格按预算执行决算</w:t>
      </w:r>
      <w:r>
        <w:rPr>
          <w:rFonts w:hint="eastAsia" w:ascii="仿宋_GB2312" w:hAnsi="仿宋_GB2312" w:eastAsia="仿宋_GB2312" w:cs="仿宋_GB2312"/>
          <w:color w:val="auto"/>
          <w:kern w:val="2"/>
          <w:sz w:val="32"/>
          <w:szCs w:val="32"/>
          <w:rtl w:val="0"/>
          <w:lang w:val="zh-CN" w:eastAsia="zh-CN" w:bidi="ar-SA"/>
        </w:rPr>
        <w:t>。</w:t>
      </w:r>
    </w:p>
    <w:p w14:paraId="1E7E23DD">
      <w:pPr>
        <w:widowControl w:val="0"/>
        <w:autoSpaceDE w:val="0"/>
        <w:autoSpaceDN w:val="0"/>
        <w:adjustRightInd w:val="0"/>
        <w:spacing w:line="600" w:lineRule="exact"/>
        <w:ind w:firstLine="640" w:firstLineChars="200"/>
        <w:jc w:val="both"/>
        <w:rPr>
          <w:rFonts w:hint="eastAsia" w:ascii="仿宋_GB2312" w:hAnsi="仿宋_GB2312" w:eastAsia="仿宋_GB2312" w:cs="仿宋_GB2312"/>
          <w:color w:val="auto"/>
          <w:kern w:val="2"/>
          <w:sz w:val="32"/>
          <w:szCs w:val="32"/>
          <w:rtl w:val="0"/>
          <w:lang w:val="en-US" w:eastAsia="zh-TW" w:bidi="ar-SA"/>
        </w:rPr>
      </w:pPr>
      <w:r>
        <w:rPr>
          <w:rFonts w:hint="eastAsia" w:ascii="仿宋_GB2312" w:hAnsi="仿宋_GB2312" w:eastAsia="仿宋_GB2312" w:cs="仿宋_GB2312"/>
          <w:color w:val="auto"/>
          <w:kern w:val="2"/>
          <w:sz w:val="32"/>
          <w:szCs w:val="32"/>
          <w:rtl w:val="0"/>
          <w:lang w:val="en-US" w:eastAsia="zh-CN" w:bidi="ar-SA"/>
        </w:rPr>
        <w:t>7、</w:t>
      </w:r>
      <w:r>
        <w:rPr>
          <w:rFonts w:hint="eastAsia" w:ascii="仿宋_GB2312" w:hAnsi="仿宋_GB2312" w:eastAsia="仿宋_GB2312" w:cs="仿宋_GB2312"/>
          <w:color w:val="auto"/>
          <w:kern w:val="2"/>
          <w:sz w:val="32"/>
          <w:szCs w:val="32"/>
          <w:rtl w:val="0"/>
          <w:lang w:val="en-US" w:eastAsia="zh-TW" w:bidi="ar-SA"/>
        </w:rPr>
        <w:t>社会保障和就业支出（类）</w:t>
      </w:r>
      <w:r>
        <w:rPr>
          <w:rFonts w:hint="eastAsia" w:ascii="仿宋_GB2312" w:hAnsi="仿宋_GB2312" w:eastAsia="仿宋_GB2312" w:cs="仿宋_GB2312"/>
          <w:color w:val="auto"/>
          <w:kern w:val="2"/>
          <w:sz w:val="32"/>
          <w:szCs w:val="32"/>
          <w:rtl w:val="0"/>
          <w:lang w:val="zh-CN" w:eastAsia="zh-CN" w:bidi="ar-SA"/>
        </w:rPr>
        <w:t>其他</w:t>
      </w:r>
      <w:r>
        <w:rPr>
          <w:rFonts w:hint="eastAsia" w:ascii="仿宋_GB2312" w:hAnsi="仿宋_GB2312" w:eastAsia="仿宋_GB2312" w:cs="仿宋_GB2312"/>
          <w:color w:val="auto"/>
          <w:kern w:val="2"/>
          <w:sz w:val="32"/>
          <w:szCs w:val="32"/>
          <w:rtl w:val="0"/>
          <w:lang w:val="en-US" w:eastAsia="zh-TW" w:bidi="ar-SA"/>
        </w:rPr>
        <w:t>社会保障和就业支出（</w:t>
      </w:r>
      <w:r>
        <w:rPr>
          <w:rFonts w:hint="eastAsia" w:ascii="仿宋_GB2312" w:hAnsi="仿宋_GB2312" w:eastAsia="仿宋_GB2312" w:cs="仿宋_GB2312"/>
          <w:color w:val="auto"/>
          <w:kern w:val="2"/>
          <w:sz w:val="32"/>
          <w:szCs w:val="32"/>
          <w:rtl w:val="0"/>
          <w:lang w:val="zh-CN" w:eastAsia="zh-CN" w:bidi="ar-SA"/>
        </w:rPr>
        <w:t>款</w:t>
      </w:r>
      <w:r>
        <w:rPr>
          <w:rFonts w:hint="eastAsia" w:ascii="仿宋_GB2312" w:hAnsi="仿宋_GB2312" w:eastAsia="仿宋_GB2312" w:cs="仿宋_GB2312"/>
          <w:color w:val="auto"/>
          <w:kern w:val="2"/>
          <w:sz w:val="32"/>
          <w:szCs w:val="32"/>
          <w:rtl w:val="0"/>
          <w:lang w:val="en-US" w:eastAsia="zh-TW" w:bidi="ar-SA"/>
        </w:rPr>
        <w:t>）</w:t>
      </w:r>
      <w:r>
        <w:rPr>
          <w:rFonts w:hint="eastAsia" w:ascii="仿宋_GB2312" w:hAnsi="仿宋_GB2312" w:eastAsia="仿宋_GB2312" w:cs="仿宋_GB2312"/>
          <w:color w:val="auto"/>
          <w:kern w:val="2"/>
          <w:sz w:val="32"/>
          <w:szCs w:val="32"/>
          <w:rtl w:val="0"/>
          <w:lang w:val="zh-CN" w:eastAsia="zh-CN" w:bidi="ar-SA"/>
        </w:rPr>
        <w:t>其他</w:t>
      </w:r>
      <w:r>
        <w:rPr>
          <w:rFonts w:hint="eastAsia" w:ascii="仿宋_GB2312" w:hAnsi="仿宋_GB2312" w:eastAsia="仿宋_GB2312" w:cs="仿宋_GB2312"/>
          <w:color w:val="auto"/>
          <w:kern w:val="2"/>
          <w:sz w:val="32"/>
          <w:szCs w:val="32"/>
          <w:rtl w:val="0"/>
          <w:lang w:val="en-US" w:eastAsia="zh-TW" w:bidi="ar-SA"/>
        </w:rPr>
        <w:t>社会保障和就业支出（</w:t>
      </w:r>
      <w:r>
        <w:rPr>
          <w:rFonts w:hint="eastAsia" w:ascii="仿宋_GB2312" w:hAnsi="仿宋_GB2312" w:eastAsia="仿宋_GB2312" w:cs="仿宋_GB2312"/>
          <w:color w:val="auto"/>
          <w:kern w:val="2"/>
          <w:sz w:val="32"/>
          <w:szCs w:val="32"/>
          <w:rtl w:val="0"/>
          <w:lang w:val="zh-CN" w:eastAsia="zh-CN" w:bidi="ar-SA"/>
        </w:rPr>
        <w:t>款</w:t>
      </w:r>
      <w:r>
        <w:rPr>
          <w:rFonts w:hint="eastAsia" w:ascii="仿宋_GB2312" w:hAnsi="仿宋_GB2312" w:eastAsia="仿宋_GB2312" w:cs="仿宋_GB2312"/>
          <w:color w:val="auto"/>
          <w:kern w:val="2"/>
          <w:sz w:val="32"/>
          <w:szCs w:val="32"/>
          <w:rtl w:val="0"/>
          <w:lang w:val="en-US" w:eastAsia="zh-TW" w:bidi="ar-SA"/>
        </w:rPr>
        <w:t>）</w:t>
      </w:r>
    </w:p>
    <w:p w14:paraId="0F85A48A">
      <w:pPr>
        <w:widowControl w:val="0"/>
        <w:autoSpaceDE w:val="0"/>
        <w:autoSpaceDN w:val="0"/>
        <w:adjustRightInd w:val="0"/>
        <w:spacing w:line="600" w:lineRule="exact"/>
        <w:ind w:firstLine="640" w:firstLineChars="200"/>
        <w:jc w:val="both"/>
        <w:rPr>
          <w:rFonts w:hint="eastAsia" w:ascii="仿宋_GB2312" w:hAnsi="仿宋_GB2312" w:eastAsia="仿宋_GB2312" w:cs="仿宋_GB2312"/>
          <w:color w:val="auto"/>
          <w:kern w:val="2"/>
          <w:sz w:val="32"/>
          <w:szCs w:val="32"/>
          <w:rtl w:val="0"/>
          <w:lang w:val="zh-CN" w:eastAsia="zh-CN" w:bidi="ar-SA"/>
        </w:rPr>
      </w:pPr>
      <w:r>
        <w:rPr>
          <w:rFonts w:hint="eastAsia" w:ascii="仿宋_GB2312" w:hAnsi="仿宋_GB2312" w:eastAsia="仿宋_GB2312" w:cs="仿宋_GB2312"/>
          <w:color w:val="auto"/>
          <w:kern w:val="2"/>
          <w:sz w:val="32"/>
          <w:szCs w:val="32"/>
          <w:rtl w:val="0"/>
          <w:lang w:val="zh-TW" w:eastAsia="zh-TW" w:bidi="ar-SA"/>
        </w:rPr>
        <w:t>年初预算为</w:t>
      </w:r>
      <w:r>
        <w:rPr>
          <w:rFonts w:hint="eastAsia" w:ascii="仿宋_GB2312" w:hAnsi="仿宋_GB2312" w:eastAsia="仿宋_GB2312" w:cs="仿宋_GB2312"/>
          <w:color w:val="auto"/>
          <w:kern w:val="2"/>
          <w:sz w:val="32"/>
          <w:szCs w:val="32"/>
          <w:rtl w:val="0"/>
          <w:lang w:val="zh-CN" w:eastAsia="zh-CN" w:bidi="ar-SA"/>
        </w:rPr>
        <w:t>0.</w:t>
      </w:r>
      <w:r>
        <w:rPr>
          <w:rFonts w:hint="eastAsia" w:ascii="仿宋_GB2312" w:hAnsi="仿宋_GB2312" w:eastAsia="仿宋_GB2312" w:cs="仿宋_GB2312"/>
          <w:color w:val="auto"/>
          <w:kern w:val="2"/>
          <w:sz w:val="32"/>
          <w:szCs w:val="32"/>
          <w:rtl w:val="0"/>
          <w:lang w:val="en-US" w:eastAsia="zh-CN" w:bidi="ar-SA"/>
        </w:rPr>
        <w:t>29</w:t>
      </w:r>
      <w:r>
        <w:rPr>
          <w:rFonts w:hint="eastAsia" w:ascii="仿宋_GB2312" w:hAnsi="仿宋_GB2312" w:eastAsia="仿宋_GB2312" w:cs="仿宋_GB2312"/>
          <w:color w:val="auto"/>
          <w:kern w:val="2"/>
          <w:sz w:val="32"/>
          <w:szCs w:val="32"/>
          <w:rtl w:val="0"/>
          <w:lang w:val="zh-TW" w:eastAsia="zh-TW" w:bidi="ar-SA"/>
        </w:rPr>
        <w:t>万元，支出决算为</w:t>
      </w:r>
      <w:r>
        <w:rPr>
          <w:rFonts w:hint="eastAsia" w:ascii="仿宋_GB2312" w:hAnsi="仿宋_GB2312" w:eastAsia="仿宋_GB2312" w:cs="仿宋_GB2312"/>
          <w:color w:val="auto"/>
          <w:kern w:val="2"/>
          <w:sz w:val="32"/>
          <w:szCs w:val="32"/>
          <w:rtl w:val="0"/>
          <w:lang w:val="zh-CN" w:eastAsia="zh-CN" w:bidi="ar-SA"/>
        </w:rPr>
        <w:t>0.</w:t>
      </w:r>
      <w:r>
        <w:rPr>
          <w:rFonts w:hint="eastAsia" w:ascii="仿宋_GB2312" w:hAnsi="仿宋_GB2312" w:eastAsia="仿宋_GB2312" w:cs="仿宋_GB2312"/>
          <w:color w:val="auto"/>
          <w:kern w:val="2"/>
          <w:sz w:val="32"/>
          <w:szCs w:val="32"/>
          <w:rtl w:val="0"/>
          <w:lang w:val="en-US" w:eastAsia="zh-CN" w:bidi="ar-SA"/>
        </w:rPr>
        <w:t>29</w:t>
      </w:r>
      <w:r>
        <w:rPr>
          <w:rFonts w:hint="eastAsia" w:ascii="仿宋_GB2312" w:hAnsi="仿宋_GB2312" w:eastAsia="仿宋_GB2312" w:cs="仿宋_GB2312"/>
          <w:color w:val="auto"/>
          <w:kern w:val="2"/>
          <w:sz w:val="32"/>
          <w:szCs w:val="32"/>
          <w:rtl w:val="0"/>
          <w:lang w:val="zh-TW" w:eastAsia="zh-TW" w:bidi="ar-SA"/>
        </w:rPr>
        <w:t>万元，</w:t>
      </w:r>
      <w:r>
        <w:rPr>
          <w:rFonts w:hint="eastAsia" w:ascii="仿宋_GB2312" w:hAnsi="仿宋_GB2312" w:eastAsia="仿宋_GB2312" w:cs="仿宋_GB2312"/>
          <w:color w:val="auto"/>
          <w:kern w:val="2"/>
          <w:sz w:val="32"/>
          <w:szCs w:val="32"/>
          <w:rtl w:val="0"/>
          <w:lang w:val="en-US" w:eastAsia="zh-CN" w:bidi="ar-SA"/>
        </w:rPr>
        <w:t>完成年初预算数的100%。</w:t>
      </w:r>
      <w:r>
        <w:rPr>
          <w:rFonts w:hint="eastAsia" w:ascii="仿宋_GB2312" w:hAnsi="仿宋_GB2312" w:eastAsia="仿宋_GB2312" w:cs="仿宋_GB2312"/>
          <w:color w:val="auto"/>
          <w:kern w:val="2"/>
          <w:sz w:val="32"/>
          <w:szCs w:val="32"/>
          <w:lang w:val="en-US" w:eastAsia="zh-CN" w:bidi="ar-SA"/>
        </w:rPr>
        <w:t>决算数与年初预算数一致，我单位严格按预算执行决算</w:t>
      </w:r>
      <w:r>
        <w:rPr>
          <w:rFonts w:hint="eastAsia" w:ascii="仿宋_GB2312" w:hAnsi="仿宋_GB2312" w:eastAsia="仿宋_GB2312" w:cs="仿宋_GB2312"/>
          <w:color w:val="auto"/>
          <w:kern w:val="2"/>
          <w:sz w:val="32"/>
          <w:szCs w:val="32"/>
          <w:rtl w:val="0"/>
          <w:lang w:val="zh-CN" w:eastAsia="zh-CN" w:bidi="ar-SA"/>
        </w:rPr>
        <w:t>。</w:t>
      </w:r>
    </w:p>
    <w:p w14:paraId="26783C21">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640"/>
        <w:jc w:val="left"/>
        <w:outlineLvl w:val="9"/>
        <w:rPr>
          <w:rFonts w:hint="eastAsia" w:ascii="仿宋_GB2312" w:hAnsi="仿宋_GB2312" w:eastAsia="仿宋_GB2312" w:cs="仿宋_GB2312"/>
          <w:color w:val="auto"/>
          <w:kern w:val="2"/>
          <w:sz w:val="32"/>
          <w:szCs w:val="32"/>
          <w:rtl w:val="0"/>
          <w:lang w:val="zh-TW" w:eastAsia="zh-TW" w:bidi="ar-SA"/>
        </w:rPr>
      </w:pPr>
      <w:r>
        <w:rPr>
          <w:rFonts w:hint="eastAsia" w:ascii="仿宋_GB2312" w:hAnsi="仿宋_GB2312" w:eastAsia="仿宋_GB2312" w:cs="仿宋_GB2312"/>
          <w:color w:val="auto"/>
          <w:kern w:val="2"/>
          <w:sz w:val="32"/>
          <w:szCs w:val="32"/>
          <w:rtl w:val="0"/>
          <w:lang w:val="en-US" w:eastAsia="zh-CN" w:bidi="ar-SA"/>
        </w:rPr>
        <w:t>8、</w:t>
      </w:r>
      <w:r>
        <w:rPr>
          <w:rFonts w:hint="eastAsia" w:ascii="仿宋_GB2312" w:hAnsi="仿宋_GB2312" w:eastAsia="仿宋_GB2312" w:cs="仿宋_GB2312"/>
          <w:color w:val="auto"/>
          <w:kern w:val="2"/>
          <w:sz w:val="32"/>
          <w:szCs w:val="32"/>
          <w:rtl w:val="0"/>
          <w:lang w:val="zh-CN" w:eastAsia="zh-CN" w:bidi="ar-SA"/>
        </w:rPr>
        <w:t>卫生健康支出（类）行政事业单位医疗（款）事业单位医疗（项）</w:t>
      </w:r>
    </w:p>
    <w:p w14:paraId="1BF0746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640"/>
        <w:jc w:val="left"/>
        <w:outlineLvl w:val="9"/>
        <w:rPr>
          <w:rFonts w:hint="default" w:ascii="仿宋_GB2312" w:hAnsi="仿宋_GB2312" w:eastAsia="仿宋_GB2312" w:cs="仿宋_GB2312"/>
          <w:color w:val="auto"/>
          <w:kern w:val="2"/>
          <w:sz w:val="32"/>
          <w:szCs w:val="32"/>
          <w:rtl w:val="0"/>
          <w:lang w:val="en-US" w:eastAsia="zh-TW" w:bidi="ar-SA"/>
        </w:rPr>
      </w:pPr>
      <w:r>
        <w:rPr>
          <w:rFonts w:hint="eastAsia" w:ascii="仿宋_GB2312" w:hAnsi="仿宋_GB2312" w:eastAsia="仿宋_GB2312" w:cs="仿宋_GB2312"/>
          <w:color w:val="auto"/>
          <w:kern w:val="2"/>
          <w:sz w:val="32"/>
          <w:szCs w:val="32"/>
          <w:rtl w:val="0"/>
          <w:lang w:val="zh-TW" w:eastAsia="zh-TW" w:bidi="ar-SA"/>
        </w:rPr>
        <w:t>年初预算为</w:t>
      </w:r>
      <w:r>
        <w:rPr>
          <w:rFonts w:hint="eastAsia" w:ascii="仿宋_GB2312" w:hAnsi="仿宋_GB2312" w:eastAsia="仿宋_GB2312" w:cs="仿宋_GB2312"/>
          <w:color w:val="auto"/>
          <w:kern w:val="2"/>
          <w:sz w:val="32"/>
          <w:szCs w:val="32"/>
          <w:rtl w:val="0"/>
          <w:lang w:val="en-US" w:eastAsia="zh-CN" w:bidi="ar-SA"/>
        </w:rPr>
        <w:t>9.31</w:t>
      </w:r>
      <w:r>
        <w:rPr>
          <w:rFonts w:hint="eastAsia" w:ascii="仿宋_GB2312" w:hAnsi="仿宋_GB2312" w:eastAsia="仿宋_GB2312" w:cs="仿宋_GB2312"/>
          <w:color w:val="auto"/>
          <w:kern w:val="2"/>
          <w:sz w:val="32"/>
          <w:szCs w:val="32"/>
          <w:rtl w:val="0"/>
          <w:lang w:val="zh-TW" w:eastAsia="zh-TW" w:bidi="ar-SA"/>
        </w:rPr>
        <w:t>万元，支出决算为</w:t>
      </w:r>
      <w:r>
        <w:rPr>
          <w:rFonts w:hint="eastAsia" w:ascii="仿宋_GB2312" w:hAnsi="仿宋_GB2312" w:eastAsia="仿宋_GB2312" w:cs="仿宋_GB2312"/>
          <w:color w:val="auto"/>
          <w:kern w:val="2"/>
          <w:sz w:val="32"/>
          <w:szCs w:val="32"/>
          <w:rtl w:val="0"/>
          <w:lang w:val="zh-CN" w:eastAsia="zh-CN" w:bidi="ar-SA"/>
        </w:rPr>
        <w:t>1</w:t>
      </w:r>
      <w:r>
        <w:rPr>
          <w:rFonts w:hint="eastAsia" w:ascii="仿宋_GB2312" w:hAnsi="仿宋_GB2312" w:eastAsia="仿宋_GB2312" w:cs="仿宋_GB2312"/>
          <w:color w:val="auto"/>
          <w:kern w:val="2"/>
          <w:sz w:val="32"/>
          <w:szCs w:val="32"/>
          <w:rtl w:val="0"/>
          <w:lang w:val="en-US" w:eastAsia="zh-CN" w:bidi="ar-SA"/>
        </w:rPr>
        <w:t>0.80</w:t>
      </w:r>
      <w:r>
        <w:rPr>
          <w:rFonts w:hint="eastAsia" w:ascii="仿宋_GB2312" w:hAnsi="仿宋_GB2312" w:eastAsia="仿宋_GB2312" w:cs="仿宋_GB2312"/>
          <w:color w:val="auto"/>
          <w:kern w:val="2"/>
          <w:sz w:val="32"/>
          <w:szCs w:val="32"/>
          <w:rtl w:val="0"/>
          <w:lang w:val="zh-TW" w:eastAsia="zh-TW" w:bidi="ar-SA"/>
        </w:rPr>
        <w:t>万元，</w:t>
      </w:r>
      <w:r>
        <w:rPr>
          <w:rFonts w:hint="eastAsia" w:ascii="仿宋_GB2312" w:hAnsi="仿宋_GB2312" w:eastAsia="仿宋_GB2312" w:cs="仿宋_GB2312"/>
          <w:color w:val="auto"/>
          <w:kern w:val="2"/>
          <w:sz w:val="32"/>
          <w:szCs w:val="32"/>
          <w:rtl w:val="0"/>
          <w:lang w:val="en-US" w:eastAsia="zh-CN" w:bidi="ar-SA"/>
        </w:rPr>
        <w:t>完成年初预算数的116.00%。</w:t>
      </w:r>
      <w:r>
        <w:rPr>
          <w:rFonts w:hint="eastAsia" w:ascii="仿宋_GB2312" w:hAnsi="仿宋_GB2312" w:eastAsia="仿宋_GB2312" w:cs="仿宋_GB2312"/>
          <w:color w:val="auto"/>
          <w:kern w:val="2"/>
          <w:sz w:val="32"/>
          <w:szCs w:val="32"/>
          <w:rtl w:val="0"/>
          <w:lang w:val="zh-TW" w:eastAsia="zh-TW" w:bidi="ar-SA"/>
        </w:rPr>
        <w:t>决算数</w:t>
      </w:r>
      <w:r>
        <w:rPr>
          <w:rFonts w:hint="eastAsia" w:ascii="仿宋_GB2312" w:hAnsi="仿宋_GB2312" w:eastAsia="仿宋_GB2312" w:cs="仿宋_GB2312"/>
          <w:color w:val="auto"/>
          <w:kern w:val="2"/>
          <w:sz w:val="32"/>
          <w:szCs w:val="32"/>
          <w:rtl w:val="0"/>
          <w:lang w:val="en-US" w:eastAsia="zh-CN" w:bidi="ar-SA"/>
        </w:rPr>
        <w:t>大</w:t>
      </w:r>
      <w:r>
        <w:rPr>
          <w:rFonts w:hint="eastAsia" w:ascii="仿宋_GB2312" w:hAnsi="仿宋_GB2312" w:eastAsia="仿宋_GB2312" w:cs="仿宋_GB2312"/>
          <w:color w:val="auto"/>
          <w:kern w:val="2"/>
          <w:sz w:val="32"/>
          <w:szCs w:val="32"/>
          <w:rtl w:val="0"/>
          <w:lang w:val="zh-CN" w:eastAsia="zh-CN" w:bidi="ar-SA"/>
        </w:rPr>
        <w:t>于</w:t>
      </w:r>
      <w:r>
        <w:rPr>
          <w:rFonts w:hint="eastAsia" w:ascii="仿宋_GB2312" w:hAnsi="仿宋_GB2312" w:eastAsia="仿宋_GB2312" w:cs="仿宋_GB2312"/>
          <w:color w:val="auto"/>
          <w:kern w:val="2"/>
          <w:sz w:val="32"/>
          <w:szCs w:val="32"/>
          <w:rtl w:val="0"/>
          <w:lang w:val="zh-TW" w:eastAsia="zh-TW" w:bidi="ar-SA"/>
        </w:rPr>
        <w:t>年初预算数的主因是：</w:t>
      </w:r>
      <w:r>
        <w:rPr>
          <w:rFonts w:hint="eastAsia" w:ascii="仿宋_GB2312" w:hAnsi="仿宋_GB2312" w:eastAsia="仿宋_GB2312" w:cs="仿宋_GB2312"/>
          <w:color w:val="auto"/>
          <w:kern w:val="2"/>
          <w:sz w:val="32"/>
          <w:szCs w:val="32"/>
          <w:rtl w:val="0"/>
          <w:lang w:val="zh-CN" w:eastAsia="zh-CN" w:bidi="ar-SA"/>
        </w:rPr>
        <w:t>有人员</w:t>
      </w:r>
      <w:r>
        <w:rPr>
          <w:rFonts w:hint="eastAsia" w:ascii="仿宋_GB2312" w:hAnsi="仿宋_GB2312" w:eastAsia="仿宋_GB2312" w:cs="仿宋_GB2312"/>
          <w:color w:val="auto"/>
          <w:kern w:val="2"/>
          <w:sz w:val="32"/>
          <w:szCs w:val="32"/>
          <w:rtl w:val="0"/>
          <w:lang w:val="en-US" w:eastAsia="zh-CN" w:bidi="ar-SA"/>
        </w:rPr>
        <w:t xml:space="preserve">增加，财政追加的经费。 </w:t>
      </w:r>
    </w:p>
    <w:p w14:paraId="2E604BE4">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640"/>
        <w:jc w:val="left"/>
        <w:outlineLvl w:val="9"/>
        <w:rPr>
          <w:rFonts w:hint="eastAsia" w:ascii="仿宋_GB2312" w:hAnsi="仿宋_GB2312" w:eastAsia="仿宋_GB2312" w:cs="仿宋_GB2312"/>
          <w:color w:val="auto"/>
          <w:kern w:val="2"/>
          <w:sz w:val="32"/>
          <w:szCs w:val="32"/>
          <w:rtl w:val="0"/>
          <w:lang w:val="zh-TW" w:eastAsia="zh-TW" w:bidi="ar-SA"/>
        </w:rPr>
      </w:pPr>
      <w:r>
        <w:rPr>
          <w:rFonts w:hint="eastAsia" w:ascii="仿宋_GB2312" w:hAnsi="仿宋_GB2312" w:eastAsia="仿宋_GB2312" w:cs="仿宋_GB2312"/>
          <w:color w:val="auto"/>
          <w:kern w:val="2"/>
          <w:sz w:val="32"/>
          <w:szCs w:val="32"/>
          <w:rtl w:val="0"/>
          <w:lang w:val="en-US" w:eastAsia="zh-CN" w:bidi="ar-SA"/>
        </w:rPr>
        <w:t>9、</w:t>
      </w:r>
      <w:r>
        <w:rPr>
          <w:rFonts w:hint="eastAsia" w:ascii="仿宋_GB2312" w:hAnsi="仿宋_GB2312" w:eastAsia="仿宋_GB2312" w:cs="仿宋_GB2312"/>
          <w:color w:val="auto"/>
          <w:kern w:val="2"/>
          <w:sz w:val="32"/>
          <w:szCs w:val="32"/>
          <w:rtl w:val="0"/>
          <w:lang w:val="zh-CN" w:eastAsia="zh-CN" w:bidi="ar-SA"/>
        </w:rPr>
        <w:t>住房保障支出（类）住房改革支出（款）住房公积金（项）</w:t>
      </w:r>
    </w:p>
    <w:p w14:paraId="4AF5106E">
      <w:pPr>
        <w:widowControl w:val="0"/>
        <w:autoSpaceDE w:val="0"/>
        <w:autoSpaceDN w:val="0"/>
        <w:adjustRightInd w:val="0"/>
        <w:ind w:firstLine="800" w:firstLineChars="25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rtl w:val="0"/>
          <w:lang w:val="zh-TW" w:eastAsia="zh-TW" w:bidi="ar-SA"/>
        </w:rPr>
        <w:t>年初预算为</w:t>
      </w:r>
      <w:r>
        <w:rPr>
          <w:rFonts w:hint="eastAsia" w:ascii="仿宋_GB2312" w:hAnsi="仿宋_GB2312" w:eastAsia="仿宋_GB2312" w:cs="仿宋_GB2312"/>
          <w:color w:val="auto"/>
          <w:kern w:val="2"/>
          <w:sz w:val="32"/>
          <w:szCs w:val="32"/>
          <w:rtl w:val="0"/>
          <w:lang w:val="zh-CN" w:eastAsia="zh-CN" w:bidi="ar-SA"/>
        </w:rPr>
        <w:t>1</w:t>
      </w:r>
      <w:r>
        <w:rPr>
          <w:rFonts w:hint="eastAsia" w:ascii="仿宋_GB2312" w:hAnsi="仿宋_GB2312" w:eastAsia="仿宋_GB2312" w:cs="仿宋_GB2312"/>
          <w:color w:val="auto"/>
          <w:kern w:val="2"/>
          <w:sz w:val="32"/>
          <w:szCs w:val="32"/>
          <w:rtl w:val="0"/>
          <w:lang w:val="en-US" w:eastAsia="zh-CN" w:bidi="ar-SA"/>
        </w:rPr>
        <w:t>1.26</w:t>
      </w:r>
      <w:r>
        <w:rPr>
          <w:rFonts w:hint="eastAsia" w:ascii="仿宋_GB2312" w:hAnsi="仿宋_GB2312" w:eastAsia="仿宋_GB2312" w:cs="仿宋_GB2312"/>
          <w:color w:val="auto"/>
          <w:kern w:val="2"/>
          <w:sz w:val="32"/>
          <w:szCs w:val="32"/>
          <w:rtl w:val="0"/>
          <w:lang w:val="zh-TW" w:eastAsia="zh-TW" w:bidi="ar-SA"/>
        </w:rPr>
        <w:t>万元，支出决算为</w:t>
      </w:r>
      <w:r>
        <w:rPr>
          <w:rFonts w:hint="eastAsia" w:ascii="仿宋_GB2312" w:hAnsi="仿宋_GB2312" w:eastAsia="仿宋_GB2312" w:cs="仿宋_GB2312"/>
          <w:color w:val="auto"/>
          <w:kern w:val="2"/>
          <w:sz w:val="32"/>
          <w:szCs w:val="32"/>
          <w:rtl w:val="0"/>
          <w:lang w:val="zh-CN" w:eastAsia="zh-CN" w:bidi="ar-SA"/>
        </w:rPr>
        <w:t>1</w:t>
      </w:r>
      <w:r>
        <w:rPr>
          <w:rFonts w:hint="eastAsia" w:ascii="仿宋_GB2312" w:hAnsi="仿宋_GB2312" w:eastAsia="仿宋_GB2312" w:cs="仿宋_GB2312"/>
          <w:color w:val="auto"/>
          <w:kern w:val="2"/>
          <w:sz w:val="32"/>
          <w:szCs w:val="32"/>
          <w:rtl w:val="0"/>
          <w:lang w:val="en-US" w:eastAsia="zh-CN" w:bidi="ar-SA"/>
        </w:rPr>
        <w:t>1.26</w:t>
      </w:r>
      <w:r>
        <w:rPr>
          <w:rFonts w:hint="eastAsia" w:ascii="仿宋_GB2312" w:hAnsi="仿宋_GB2312" w:eastAsia="仿宋_GB2312" w:cs="仿宋_GB2312"/>
          <w:color w:val="auto"/>
          <w:kern w:val="2"/>
          <w:sz w:val="32"/>
          <w:szCs w:val="32"/>
          <w:rtl w:val="0"/>
          <w:lang w:val="zh-TW" w:eastAsia="zh-TW" w:bidi="ar-SA"/>
        </w:rPr>
        <w:t>万元，</w:t>
      </w:r>
      <w:r>
        <w:rPr>
          <w:rFonts w:hint="eastAsia" w:ascii="仿宋_GB2312" w:hAnsi="仿宋_GB2312" w:eastAsia="仿宋_GB2312" w:cs="仿宋_GB2312"/>
          <w:color w:val="auto"/>
          <w:kern w:val="2"/>
          <w:sz w:val="32"/>
          <w:szCs w:val="32"/>
          <w:rtl w:val="0"/>
          <w:lang w:val="en-US" w:eastAsia="zh-CN" w:bidi="ar-SA"/>
        </w:rPr>
        <w:t>完成年初预算数的100%。</w:t>
      </w:r>
      <w:r>
        <w:rPr>
          <w:rFonts w:hint="eastAsia" w:ascii="仿宋_GB2312" w:hAnsi="仿宋_GB2312" w:eastAsia="仿宋_GB2312" w:cs="仿宋_GB2312"/>
          <w:color w:val="auto"/>
          <w:kern w:val="2"/>
          <w:sz w:val="32"/>
          <w:szCs w:val="32"/>
          <w:lang w:val="en-US" w:eastAsia="zh-CN" w:bidi="ar-SA"/>
        </w:rPr>
        <w:t>决算数与年初预算数一致，我单位严格按预算执行决算。</w:t>
      </w:r>
    </w:p>
    <w:p w14:paraId="373E8BA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077F6418">
      <w:pPr>
        <w:widowControl w:val="0"/>
        <w:overflowPunct w:val="0"/>
        <w:autoSpaceDE/>
        <w:autoSpaceDN/>
        <w:adjustRightInd w:val="0"/>
        <w:spacing w:line="600" w:lineRule="exact"/>
        <w:ind w:firstLine="640" w:firstLineChars="200"/>
        <w:jc w:val="both"/>
        <w:rPr>
          <w:rFonts w:ascii="Times New Roman" w:hAnsi="Times New Roman" w:eastAsia="仿宋_GB2312" w:cs="Times New Roman"/>
          <w:color w:val="000000"/>
          <w:sz w:val="32"/>
          <w:szCs w:val="32"/>
          <w:lang w:val="en-US" w:eastAsia="zh-CN" w:bidi="ar-SA"/>
        </w:rPr>
      </w:pPr>
      <w:r>
        <w:rPr>
          <w:rFonts w:hint="eastAsia" w:ascii="仿宋_GB2312" w:hAnsi="仿宋_GB2312" w:eastAsia="仿宋_GB2312" w:cs="仿宋_GB2312"/>
          <w:color w:val="auto"/>
          <w:kern w:val="2"/>
          <w:sz w:val="32"/>
          <w:szCs w:val="32"/>
          <w:rtl w:val="0"/>
          <w:lang w:val="en-US" w:eastAsia="zh-CN" w:bidi="ar-SA"/>
        </w:rPr>
        <w:t>2024年度一般公共预算财政拨款基本支出235.62万元</w:t>
      </w:r>
      <w:r>
        <w:rPr>
          <w:rFonts w:ascii="Times New Roman" w:hAnsi="Times New Roman" w:eastAsia="仿宋_GB2312" w:cs="Times New Roman"/>
          <w:color w:val="000000"/>
          <w:sz w:val="32"/>
          <w:szCs w:val="32"/>
          <w:lang w:val="en-US" w:eastAsia="zh-CN" w:bidi="ar-SA"/>
        </w:rPr>
        <w:t>，其中：</w:t>
      </w:r>
    </w:p>
    <w:p w14:paraId="756B19EF">
      <w:pPr>
        <w:widowControl w:val="0"/>
        <w:overflowPunct w:val="0"/>
        <w:autoSpaceDE/>
        <w:autoSpaceDN/>
        <w:adjustRightInd w:val="0"/>
        <w:spacing w:line="600" w:lineRule="exact"/>
        <w:ind w:firstLine="640" w:firstLineChars="200"/>
        <w:jc w:val="both"/>
        <w:rPr>
          <w:rFonts w:ascii="Times New Roman" w:hAnsi="Times New Roman" w:eastAsia="仿宋_GB2312" w:cs="Times New Roman"/>
          <w:color w:val="000000"/>
          <w:sz w:val="32"/>
          <w:szCs w:val="32"/>
          <w:lang w:val="en-US" w:eastAsia="zh-CN" w:bidi="ar-SA"/>
        </w:rPr>
      </w:pPr>
      <w:r>
        <w:rPr>
          <w:rFonts w:ascii="Times New Roman" w:hAnsi="Times New Roman" w:eastAsia="仿宋_GB2312" w:cs="Times New Roman"/>
          <w:b/>
          <w:bCs/>
          <w:color w:val="000000"/>
          <w:sz w:val="32"/>
          <w:szCs w:val="32"/>
          <w:lang w:val="en-US" w:eastAsia="zh-CN" w:bidi="ar-SA"/>
        </w:rPr>
        <w:t>人员经费</w:t>
      </w:r>
      <w:r>
        <w:rPr>
          <w:rFonts w:hint="eastAsia" w:ascii="仿宋_GB2312" w:hAnsi="仿宋_GB2312" w:eastAsia="仿宋_GB2312" w:cs="仿宋_GB2312"/>
          <w:color w:val="auto"/>
          <w:kern w:val="2"/>
          <w:sz w:val="32"/>
          <w:szCs w:val="32"/>
          <w:rtl w:val="0"/>
          <w:lang w:val="en-US" w:eastAsia="zh-CN" w:bidi="ar-SA"/>
        </w:rPr>
        <w:t>216.84万元，占基本支出的92.03%,主要包括基本工资、津贴补贴、奖金、伙食补助费、绩</w:t>
      </w:r>
      <w:r>
        <w:rPr>
          <w:rFonts w:hint="eastAsia" w:ascii="Times New Roman" w:hAnsi="Times New Roman" w:eastAsia="仿宋_GB2312" w:cs="Times New Roman"/>
          <w:color w:val="000000"/>
          <w:sz w:val="32"/>
          <w:szCs w:val="32"/>
          <w:lang w:val="en-US" w:eastAsia="zh-CN" w:bidi="ar-SA"/>
        </w:rPr>
        <w:t>效工资、机关事业单位基本养老保险缴费、职工基本医疗保险缴费、其他社会保障缴费、住房公积金、医疗费、其他工资福利支出、退休费、医疗费补助、奖励金、其他对个人和家庭的补助</w:t>
      </w:r>
      <w:r>
        <w:rPr>
          <w:rFonts w:ascii="Times New Roman" w:hAnsi="Times New Roman" w:eastAsia="仿宋_GB2312" w:cs="Times New Roman"/>
          <w:color w:val="000000"/>
          <w:sz w:val="32"/>
          <w:szCs w:val="32"/>
          <w:lang w:val="en-US" w:eastAsia="zh-CN" w:bidi="ar-SA"/>
        </w:rPr>
        <w:t>。</w:t>
      </w:r>
    </w:p>
    <w:p w14:paraId="381610B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s="Times New Roman"/>
          <w:color w:val="000000"/>
          <w:sz w:val="32"/>
          <w:szCs w:val="32"/>
          <w:lang w:val="en-US" w:eastAsia="zh-CN" w:bidi="ar-SA"/>
        </w:rPr>
      </w:pPr>
      <w:r>
        <w:rPr>
          <w:rFonts w:ascii="Times New Roman" w:hAnsi="Times New Roman" w:eastAsia="仿宋_GB2312" w:cs="Times New Roman"/>
          <w:b/>
          <w:bCs/>
          <w:color w:val="000000"/>
          <w:sz w:val="32"/>
          <w:szCs w:val="32"/>
          <w:lang w:val="en-US" w:eastAsia="zh-CN" w:bidi="ar-SA"/>
        </w:rPr>
        <w:t>公用经费</w:t>
      </w:r>
      <w:r>
        <w:rPr>
          <w:rFonts w:hint="eastAsia" w:ascii="仿宋_GB2312" w:hAnsi="仿宋_GB2312" w:eastAsia="仿宋_GB2312" w:cs="仿宋_GB2312"/>
          <w:color w:val="auto"/>
          <w:kern w:val="2"/>
          <w:sz w:val="32"/>
          <w:szCs w:val="32"/>
          <w:rtl w:val="0"/>
          <w:lang w:val="en-US" w:eastAsia="zh-CN" w:bidi="ar-SA"/>
        </w:rPr>
        <w:t>18.78万元，占基本支出的7.97%，主要包括办公费、邮电费、物业管理费、差旅费、维修（护）费、培训费、公务接待费、专用材料费、劳务费、委托业务费、工会经费、福利费、其他交通费用、其他商品和服务支出</w:t>
      </w:r>
      <w:r>
        <w:rPr>
          <w:rFonts w:hint="eastAsia" w:ascii="Times New Roman" w:hAnsi="Times New Roman" w:eastAsia="仿宋_GB2312" w:cs="Times New Roman"/>
          <w:color w:val="000000"/>
          <w:sz w:val="32"/>
          <w:szCs w:val="32"/>
          <w:lang w:val="en-US" w:eastAsia="zh-CN" w:bidi="ar-SA"/>
        </w:rPr>
        <w:t>。</w:t>
      </w:r>
    </w:p>
    <w:p w14:paraId="238B27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auto"/>
          <w:kern w:val="2"/>
          <w:sz w:val="32"/>
          <w:szCs w:val="32"/>
          <w:rtl w:val="0"/>
          <w:lang w:val="en-US" w:eastAsia="zh-CN" w:bidi="ar-SA"/>
        </w:rPr>
        <w:t xml:space="preserve"> 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298EF1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楷体_GB2312" w:cs="Times New Roman"/>
          <w:b/>
          <w:sz w:val="32"/>
          <w:szCs w:val="32"/>
        </w:rPr>
      </w:pPr>
      <w:r>
        <w:rPr>
          <w:rFonts w:hint="eastAsia" w:ascii="仿宋_GB2312" w:hAnsi="仿宋_GB2312" w:eastAsia="仿宋_GB2312" w:cs="仿宋_GB2312"/>
          <w:color w:val="auto"/>
          <w:kern w:val="2"/>
          <w:sz w:val="32"/>
          <w:szCs w:val="32"/>
          <w:rtl w:val="0"/>
          <w:lang w:val="en-US" w:eastAsia="zh-CN" w:bidi="ar-SA"/>
        </w:rPr>
        <w:t xml:space="preserve">2024年度国有资本经营预算财政拨款收入0万元；年初结转和结余0万；支出0万元，其中：基本支出0万元，项目支出0万元；年末结转和结余0万元。    </w:t>
      </w: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36EA16C9">
      <w:pPr>
        <w:widowControl w:val="0"/>
        <w:numPr>
          <w:ilvl w:val="0"/>
          <w:numId w:val="0"/>
        </w:numPr>
        <w:overflowPunct w:val="0"/>
        <w:autoSpaceDE/>
        <w:autoSpaceDN/>
        <w:adjustRightInd w:val="0"/>
        <w:spacing w:line="600" w:lineRule="exact"/>
        <w:ind w:firstLine="320" w:firstLineChars="100"/>
        <w:jc w:val="both"/>
        <w:rPr>
          <w:rFonts w:ascii="Times New Roman" w:hAnsi="Times New Roman" w:eastAsia="楷体_GB2312" w:cs="Times New Roman"/>
          <w:b/>
          <w:color w:val="000000"/>
          <w:sz w:val="32"/>
          <w:szCs w:val="32"/>
          <w:lang w:val="en-US" w:eastAsia="zh-CN" w:bidi="ar-SA"/>
        </w:rPr>
      </w:pPr>
      <w:r>
        <w:rPr>
          <w:rFonts w:ascii="Times New Roman" w:hAnsi="Times New Roman" w:eastAsia="楷体_GB2312" w:cs="Times New Roman"/>
          <w:b/>
          <w:color w:val="000000"/>
          <w:sz w:val="32"/>
          <w:szCs w:val="32"/>
          <w:lang w:val="en-US" w:eastAsia="zh-CN" w:bidi="ar-SA"/>
        </w:rPr>
        <w:t>（一）“三公”经费财政拨款支出决算总体情况说明</w:t>
      </w:r>
    </w:p>
    <w:p w14:paraId="71585376">
      <w:pPr>
        <w:widowControl w:val="0"/>
        <w:overflowPunct w:val="0"/>
        <w:autoSpaceDE/>
        <w:autoSpaceDN/>
        <w:adjustRightInd w:val="0"/>
        <w:spacing w:line="600" w:lineRule="exact"/>
        <w:ind w:firstLine="640" w:firstLineChars="200"/>
        <w:jc w:val="both"/>
        <w:rPr>
          <w:rFonts w:ascii="Times New Roman" w:hAnsi="Times New Roman" w:eastAsia="仿宋_GB2312" w:cs="Times New Roman"/>
          <w:color w:val="000000"/>
          <w:sz w:val="32"/>
          <w:szCs w:val="32"/>
          <w:highlight w:val="yellow"/>
          <w:lang w:val="en-US" w:eastAsia="zh-CN" w:bidi="ar-SA"/>
        </w:rPr>
      </w:pPr>
      <w:r>
        <w:rPr>
          <w:rFonts w:hint="eastAsia" w:ascii="仿宋_GB2312" w:hAnsi="仿宋_GB2312" w:eastAsia="仿宋_GB2312" w:cs="仿宋_GB2312"/>
          <w:color w:val="auto"/>
          <w:kern w:val="2"/>
          <w:sz w:val="32"/>
          <w:szCs w:val="32"/>
          <w:rtl w:val="0"/>
          <w:lang w:val="en-US" w:eastAsia="zh-CN" w:bidi="ar-SA"/>
        </w:rPr>
        <w:t>2024年度“三公”经费财政拨款支出预算为0.60万元，支出决算为0.57万元，完成预算的95.00%；与上年相比减少0.03万元，降低5.00%。决算数小于预算数的主要原因是严格控制“三公”经费。决算数小于上年数的主要原因是按有关政策厉行节约，严控“三公经费”支出</w:t>
      </w:r>
      <w:r>
        <w:rPr>
          <w:rFonts w:ascii="Times New Roman" w:hAnsi="Times New Roman" w:eastAsia="仿宋_GB2312" w:cs="Times New Roman"/>
          <w:color w:val="000000"/>
          <w:sz w:val="32"/>
          <w:szCs w:val="32"/>
          <w:lang w:val="en-US" w:eastAsia="zh-CN" w:bidi="ar-SA"/>
        </w:rPr>
        <w:t>。</w:t>
      </w:r>
    </w:p>
    <w:p w14:paraId="21B723B6">
      <w:pPr>
        <w:widowControl w:val="0"/>
        <w:overflowPunct w:val="0"/>
        <w:autoSpaceDE/>
        <w:autoSpaceDN/>
        <w:adjustRightInd w:val="0"/>
        <w:spacing w:line="600" w:lineRule="exact"/>
        <w:ind w:firstLine="640" w:firstLineChars="200"/>
        <w:jc w:val="both"/>
        <w:rPr>
          <w:rFonts w:ascii="Times New Roman" w:hAnsi="Times New Roman" w:eastAsia="楷体_GB2312" w:cs="Times New Roman"/>
          <w:b/>
          <w:color w:val="000000"/>
          <w:sz w:val="32"/>
          <w:szCs w:val="32"/>
          <w:lang w:val="en-US" w:eastAsia="zh-CN" w:bidi="ar-SA"/>
        </w:rPr>
      </w:pPr>
      <w:r>
        <w:rPr>
          <w:rFonts w:ascii="Times New Roman" w:hAnsi="Times New Roman" w:eastAsia="楷体_GB2312" w:cs="Times New Roman"/>
          <w:b/>
          <w:color w:val="000000"/>
          <w:sz w:val="32"/>
          <w:szCs w:val="32"/>
          <w:lang w:val="en-US" w:eastAsia="zh-CN" w:bidi="ar-SA"/>
        </w:rPr>
        <w:t>（二）“三公”经费财政拨款支出决算具体情况说明</w:t>
      </w:r>
    </w:p>
    <w:p w14:paraId="1D012EF9">
      <w:pPr>
        <w:widowControl w:val="0"/>
        <w:overflowPunct w:val="0"/>
        <w:autoSpaceDE/>
        <w:autoSpaceDN/>
        <w:adjustRightInd w:val="0"/>
        <w:spacing w:line="600" w:lineRule="exact"/>
        <w:ind w:firstLine="640" w:firstLineChars="200"/>
        <w:jc w:val="both"/>
        <w:rPr>
          <w:rFonts w:hint="eastAsia" w:ascii="Times New Roman" w:hAnsi="Times New Roman" w:eastAsia="仿宋" w:cs="Times New Roman"/>
          <w:b/>
          <w:bCs/>
          <w:i/>
          <w:color w:val="auto"/>
          <w:sz w:val="32"/>
          <w:szCs w:val="32"/>
          <w:lang w:val="en-US" w:eastAsia="zh-CN" w:bidi="ar-SA"/>
        </w:rPr>
      </w:pPr>
      <w:r>
        <w:rPr>
          <w:rFonts w:hint="eastAsia" w:ascii="仿宋_GB2312" w:hAnsi="仿宋_GB2312" w:eastAsia="仿宋_GB2312" w:cs="仿宋_GB2312"/>
          <w:color w:val="auto"/>
          <w:kern w:val="2"/>
          <w:sz w:val="32"/>
          <w:szCs w:val="32"/>
          <w:rtl w:val="0"/>
          <w:lang w:val="en-US" w:eastAsia="zh-CN" w:bidi="ar-SA"/>
        </w:rPr>
        <w:t>1.</w:t>
      </w:r>
      <w:r>
        <w:rPr>
          <w:rFonts w:hint="eastAsia" w:ascii="仿宋_GB2312" w:hAnsi="仿宋_GB2312" w:eastAsia="仿宋_GB2312" w:cs="仿宋_GB2312"/>
          <w:color w:val="auto"/>
          <w:kern w:val="2"/>
          <w:sz w:val="32"/>
          <w:szCs w:val="32"/>
          <w:rtl w:val="0"/>
          <w:lang w:val="en-US" w:eastAsia="zh-CN" w:bidi="ar-SA"/>
        </w:rPr>
        <w:t>因公出国（境）费支出预算为0万元，支出决算为0万元，决算数等于预算数，主要原因是我单位严格按预算执行决算；与上年一致，无增减变动，主要原因是未安排因公出国（境）活动。2024年度安排因公出国（境）团组0个，累计0人次</w:t>
      </w:r>
      <w:r>
        <w:rPr>
          <w:rFonts w:hint="eastAsia" w:ascii="仿宋" w:hAnsi="仿宋" w:eastAsia="仿宋" w:cs="黑体"/>
          <w:color w:val="000000"/>
          <w:sz w:val="32"/>
          <w:szCs w:val="32"/>
          <w:lang w:val="en-US" w:eastAsia="zh-CN" w:bidi="ar-SA"/>
        </w:rPr>
        <w:t>。</w:t>
      </w:r>
    </w:p>
    <w:p w14:paraId="45408918">
      <w:pPr>
        <w:pStyle w:val="12"/>
        <w:overflowPunct w:val="0"/>
        <w:autoSpaceDE/>
        <w:autoSpaceDN/>
        <w:spacing w:line="600" w:lineRule="exact"/>
        <w:ind w:firstLine="640" w:firstLineChars="200"/>
        <w:jc w:val="both"/>
        <w:rPr>
          <w:rFonts w:hint="eastAsia" w:ascii="仿宋_GB2312" w:hAnsi="仿宋_GB2312" w:eastAsia="仿宋_GB2312" w:cs="仿宋_GB2312"/>
          <w:color w:val="auto"/>
          <w:kern w:val="2"/>
          <w:sz w:val="32"/>
          <w:szCs w:val="32"/>
          <w:rtl w:val="0"/>
          <w:lang w:val="en-US" w:eastAsia="zh-CN" w:bidi="ar-SA"/>
        </w:rPr>
      </w:pPr>
      <w:r>
        <w:rPr>
          <w:rFonts w:hint="eastAsia" w:ascii="仿宋_GB2312" w:hAnsi="仿宋_GB2312" w:eastAsia="仿宋_GB2312" w:cs="仿宋_GB2312"/>
          <w:color w:val="auto"/>
          <w:kern w:val="2"/>
          <w:sz w:val="32"/>
          <w:szCs w:val="32"/>
          <w:rtl w:val="0"/>
          <w:lang w:val="en-US" w:eastAsia="zh-CN" w:bidi="ar-SA"/>
        </w:rPr>
        <w:t>2.公务用车购置费及运行维护费支出预算为0万元，支出决算为0万元，决算数等于预算数；与上年一致，无增减变动。其中：</w:t>
      </w:r>
    </w:p>
    <w:p w14:paraId="3BBFEECA">
      <w:pPr>
        <w:pStyle w:val="12"/>
        <w:overflowPunct w:val="0"/>
        <w:autoSpaceDE/>
        <w:autoSpaceDN/>
        <w:spacing w:line="600" w:lineRule="exact"/>
        <w:ind w:firstLine="640" w:firstLineChars="200"/>
        <w:jc w:val="both"/>
        <w:rPr>
          <w:rFonts w:hint="eastAsia" w:ascii="仿宋_GB2312" w:hAnsi="仿宋_GB2312" w:eastAsia="仿宋_GB2312" w:cs="仿宋_GB2312"/>
          <w:color w:val="auto"/>
          <w:kern w:val="2"/>
          <w:sz w:val="32"/>
          <w:szCs w:val="32"/>
          <w:rtl w:val="0"/>
          <w:lang w:val="en-US" w:eastAsia="zh-CN" w:bidi="ar-SA"/>
        </w:rPr>
      </w:pPr>
      <w:r>
        <w:rPr>
          <w:rFonts w:hint="eastAsia" w:ascii="仿宋_GB2312" w:hAnsi="仿宋_GB2312" w:eastAsia="仿宋_GB2312" w:cs="仿宋_GB2312"/>
          <w:color w:val="auto"/>
          <w:kern w:val="2"/>
          <w:sz w:val="32"/>
          <w:szCs w:val="32"/>
          <w:rtl w:val="0"/>
          <w:lang w:val="en-US" w:eastAsia="zh-CN" w:bidi="ar-SA"/>
        </w:rPr>
        <w:t>公务用车购置费支出预算为0万元，支出决算为0万元，决算数等于预算数，主要原因是我单位严格按预算执行决算；与上年一致，无增减变动，主要原因是两年均未购置公务用车。本单位更新公务用车0辆。</w:t>
      </w:r>
    </w:p>
    <w:p w14:paraId="60D27A60">
      <w:pPr>
        <w:widowControl w:val="0"/>
        <w:overflowPunct w:val="0"/>
        <w:autoSpaceDE/>
        <w:autoSpaceDN/>
        <w:adjustRightInd w:val="0"/>
        <w:spacing w:line="600" w:lineRule="exact"/>
        <w:ind w:firstLine="640" w:firstLineChars="200"/>
        <w:jc w:val="both"/>
        <w:rPr>
          <w:rFonts w:ascii="Times New Roman" w:hAnsi="Times New Roman" w:eastAsia="仿宋_GB2312" w:cs="Times New Roman"/>
          <w:color w:val="000000"/>
          <w:sz w:val="32"/>
          <w:szCs w:val="32"/>
          <w:lang w:val="en-US" w:eastAsia="zh-CN" w:bidi="ar-SA"/>
        </w:rPr>
      </w:pPr>
      <w:r>
        <w:rPr>
          <w:rFonts w:hint="eastAsia" w:ascii="仿宋_GB2312" w:hAnsi="仿宋_GB2312" w:eastAsia="仿宋_GB2312" w:cs="仿宋_GB2312"/>
          <w:color w:val="auto"/>
          <w:kern w:val="2"/>
          <w:sz w:val="32"/>
          <w:szCs w:val="32"/>
          <w:rtl w:val="0"/>
          <w:lang w:val="en-US" w:eastAsia="zh-CN" w:bidi="ar-SA"/>
        </w:rPr>
        <w:t>公务用车运行维护费支出预算为0万元，支出决算为0万元，决算数等于预算数，主要原因是我单位严格按预算执行决算；与上年一致，无增减变动，主要原因是两年均无公务用车需要运行维护。 截止到2024年12月31日，我单位开支财政拨款的公务用车保有量为0辆</w:t>
      </w:r>
      <w:r>
        <w:rPr>
          <w:rFonts w:ascii="Times New Roman" w:hAnsi="Times New Roman" w:eastAsia="仿宋_GB2312" w:cs="Times New Roman"/>
          <w:color w:val="000000"/>
          <w:sz w:val="32"/>
          <w:szCs w:val="32"/>
          <w:lang w:val="en-US" w:eastAsia="zh-CN" w:bidi="ar-SA"/>
        </w:rPr>
        <w:t>。</w:t>
      </w:r>
    </w:p>
    <w:p w14:paraId="039328FA">
      <w:pPr>
        <w:pStyle w:val="12"/>
        <w:overflowPunct w:val="0"/>
        <w:autoSpaceDE/>
        <w:autoSpaceDN/>
        <w:spacing w:line="600" w:lineRule="exact"/>
        <w:ind w:firstLine="640" w:firstLineChars="200"/>
        <w:jc w:val="both"/>
        <w:rPr>
          <w:rFonts w:hint="eastAsia" w:ascii="Times New Roman" w:hAnsi="Times New Roman" w:eastAsia="仿宋_GB2312"/>
          <w:b/>
          <w:color w:val="auto"/>
          <w:sz w:val="32"/>
          <w:szCs w:val="32"/>
          <w:lang w:eastAsia="zh-CN"/>
        </w:rPr>
      </w:pPr>
      <w:r>
        <w:rPr>
          <w:rFonts w:hint="eastAsia" w:ascii="Times New Roman" w:hAnsi="Times New Roman" w:eastAsia="仿宋_GB2312" w:cs="Times New Roman"/>
          <w:color w:val="000000"/>
          <w:sz w:val="32"/>
          <w:szCs w:val="32"/>
          <w:lang w:val="en-US" w:eastAsia="zh-CN" w:bidi="ar-SA"/>
        </w:rPr>
        <w:t>3.</w:t>
      </w:r>
      <w:r>
        <w:rPr>
          <w:rFonts w:hint="eastAsia" w:ascii="仿宋_GB2312" w:hAnsi="仿宋_GB2312" w:eastAsia="仿宋_GB2312" w:cs="仿宋_GB2312"/>
          <w:color w:val="auto"/>
          <w:kern w:val="2"/>
          <w:sz w:val="32"/>
          <w:szCs w:val="32"/>
          <w:rtl w:val="0"/>
          <w:lang w:val="en-US" w:eastAsia="zh-CN" w:bidi="ar-SA"/>
        </w:rPr>
        <w:t>公务接待费支出预算为0.60万元，支出决算为0.57万元，完成预算的95.00%；与上年相比减少0.03万元，降低5.00%。决算数小于预算数的主要原因是严格控制公务接待费支出。决算数小于上年数的主要原因是严格控制公务接待费支出。2024年度共接待来访团组8个、来宾48人次，主要是其他市、县区来我馆参观学习发生的接待支出</w:t>
      </w:r>
      <w:r>
        <w:rPr>
          <w:rFonts w:ascii="Times New Roman" w:hAnsi="Times New Roman" w:eastAsia="仿宋_GB2312" w:cs="Times New Roman"/>
          <w:color w:val="000000"/>
          <w:sz w:val="32"/>
          <w:szCs w:val="32"/>
          <w:lang w:val="en-US" w:eastAsia="zh-CN" w:bidi="ar-SA"/>
        </w:rPr>
        <w:t>。</w:t>
      </w:r>
    </w:p>
    <w:p w14:paraId="3D06AC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color w:val="auto"/>
          <w:kern w:val="2"/>
          <w:sz w:val="32"/>
          <w:szCs w:val="32"/>
          <w:rtl w:val="0"/>
          <w:lang w:val="en-US" w:eastAsia="zh-CN" w:bidi="ar-SA"/>
        </w:rPr>
        <w:t>所属单位为事业单位，按照机关运行经费的口径，本年度机关运行经费为0</w:t>
      </w:r>
      <w:r>
        <w:rPr>
          <w:rFonts w:hint="eastAsia" w:ascii="楷体" w:hAnsi="楷体" w:eastAsia="楷体" w:cs="楷体"/>
          <w:sz w:val="32"/>
          <w:szCs w:val="32"/>
        </w:rPr>
        <w:t>。</w:t>
      </w:r>
    </w:p>
    <w:p w14:paraId="39684EF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362F9A0F">
      <w:pPr>
        <w:widowControl w:val="0"/>
        <w:overflowPunct w:val="0"/>
        <w:autoSpaceDE/>
        <w:autoSpaceDN/>
        <w:adjustRightInd w:val="0"/>
        <w:spacing w:line="600" w:lineRule="exact"/>
        <w:ind w:firstLine="640" w:firstLineChars="200"/>
        <w:jc w:val="both"/>
        <w:rPr>
          <w:rFonts w:hint="eastAsia" w:ascii="楷体" w:hAnsi="楷体" w:eastAsia="楷体" w:cs="楷体"/>
          <w:b/>
          <w:bCs/>
          <w:i w:val="0"/>
          <w:iCs w:val="0"/>
          <w:color w:val="FF0000"/>
          <w:kern w:val="0"/>
          <w:sz w:val="40"/>
          <w:szCs w:val="40"/>
          <w:lang w:val="en-US" w:eastAsia="zh-CN" w:bidi="ar-SA"/>
        </w:rPr>
      </w:pPr>
      <w:r>
        <w:rPr>
          <w:rFonts w:hint="eastAsia" w:ascii="仿宋_GB2312" w:hAnsi="仿宋_GB2312" w:eastAsia="仿宋_GB2312" w:cs="仿宋_GB2312"/>
          <w:color w:val="auto"/>
          <w:kern w:val="2"/>
          <w:sz w:val="32"/>
          <w:szCs w:val="32"/>
          <w:rtl w:val="0"/>
          <w:lang w:val="en-US" w:eastAsia="zh-CN" w:bidi="ar-SA"/>
        </w:rPr>
        <w:t>2024年本单位无会议费的预算和支出决算数</w:t>
      </w:r>
      <w:r>
        <w:rPr>
          <w:rFonts w:hint="eastAsia" w:ascii="仿宋_GB2312" w:hAnsi="仿宋_GB2312" w:eastAsia="仿宋_GB2312" w:cs="仿宋_GB2312"/>
          <w:color w:val="auto"/>
          <w:kern w:val="2"/>
          <w:sz w:val="32"/>
          <w:szCs w:val="32"/>
          <w:rtl w:val="0"/>
          <w:lang w:val="en-US" w:eastAsia="zh-CN" w:bidi="ar-SA"/>
        </w:rPr>
        <w:t>；开支培训费0.36万元，用于开展线上培训，人数11人，内容为党的二十大精神、党的建设、国家安全、国防教育、消防安全、禁毒知识等；本单位无举办节庆、晚会、论坛、赛事等活动的预算和支出决算数。</w:t>
      </w:r>
    </w:p>
    <w:p w14:paraId="252D0BE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17D3CEF7">
      <w:pPr>
        <w:widowControl w:val="0"/>
        <w:overflowPunct w:val="0"/>
        <w:autoSpaceDE/>
        <w:autoSpaceDN/>
        <w:adjustRightInd w:val="0"/>
        <w:spacing w:line="600" w:lineRule="exact"/>
        <w:ind w:firstLine="640" w:firstLineChars="200"/>
        <w:jc w:val="both"/>
        <w:rPr>
          <w:rFonts w:ascii="Times New Roman" w:hAnsi="Times New Roman" w:eastAsia="仿宋_GB2312" w:cs="Times New Roman"/>
          <w:color w:val="auto"/>
          <w:sz w:val="32"/>
          <w:szCs w:val="32"/>
          <w:lang w:val="en-US" w:eastAsia="zh-CN" w:bidi="ar-SA"/>
        </w:rPr>
      </w:pPr>
      <w:r>
        <w:rPr>
          <w:rFonts w:hint="eastAsia" w:ascii="仿宋_GB2312" w:hAnsi="仿宋_GB2312" w:eastAsia="仿宋_GB2312" w:cs="仿宋_GB2312"/>
          <w:color w:val="auto"/>
          <w:kern w:val="2"/>
          <w:sz w:val="32"/>
          <w:szCs w:val="32"/>
          <w:rtl w:val="0"/>
          <w:lang w:val="en-US" w:eastAsia="zh-CN" w:bidi="ar-SA"/>
        </w:rPr>
        <w:t>本部门2024年度政府采购支出总额164.88万元，其中：政府采购货物支出150.16万元、政府采购工程支出11.43万元、政府采购服务支出3.29万元。授予中小企业合同金额164.88万元，占政府采购支出总额的100.00%，其中：授予小微企业合同金额164.88万元，占授予中小企业合同金额的100.00%。货物采购授予中小企业合同金额占货物支出金额的100.00%，工程采购授予中小企业合同金额占工程支出金额的100.00%，服务采购授予中小企业合同金额占服务支出金额的100.00%</w:t>
      </w:r>
      <w:r>
        <w:rPr>
          <w:rFonts w:ascii="Times New Roman" w:hAnsi="Times New Roman" w:eastAsia="仿宋_GB2312" w:cs="Times New Roman"/>
          <w:color w:val="auto"/>
          <w:sz w:val="32"/>
          <w:szCs w:val="32"/>
          <w:lang w:val="en-US" w:eastAsia="zh-CN" w:bidi="ar-SA"/>
        </w:rPr>
        <w:t>。</w:t>
      </w:r>
    </w:p>
    <w:p w14:paraId="246A0DF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044E38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kern w:val="2"/>
          <w:sz w:val="32"/>
          <w:szCs w:val="32"/>
          <w:rtl w:val="0"/>
          <w:lang w:val="en-US" w:eastAsia="zh-CN" w:bidi="ar-SA"/>
        </w:rPr>
      </w:pPr>
      <w:r>
        <w:rPr>
          <w:rFonts w:hint="eastAsia" w:ascii="仿宋_GB2312" w:hAnsi="仿宋_GB2312" w:eastAsia="仿宋_GB2312" w:cs="仿宋_GB2312"/>
          <w:color w:val="auto"/>
          <w:kern w:val="2"/>
          <w:sz w:val="32"/>
          <w:szCs w:val="32"/>
          <w:rtl w:val="0"/>
          <w:lang w:val="en-US" w:eastAsia="zh-CN" w:bidi="ar-SA"/>
        </w:rPr>
        <w:t>截至2024年12月31日，本单位共有车辆0辆，其中，副部（省）级及以上领导用车0辆、主要负责人用车0辆、机要通信用车0辆、应急保障用车0辆、执法执勤用车0辆、特种专业技术用车0辆、离退休干部服务用车0辆、其他用车0辆；单位价值100万元以上设备（不含车辆）0台（套）。</w:t>
      </w:r>
    </w:p>
    <w:p w14:paraId="0A8224A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25D4E1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olor w:val="FF000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 xml:space="preserve">组织对2024年度本部门（单位）整体支出开展绩效自评，涉及项目 </w:t>
      </w:r>
      <w:r>
        <w:rPr>
          <w:rFonts w:hint="eastAsia" w:ascii="Times New Roman" w:hAnsi="Times New Roman" w:eastAsia="仿宋_GB2312" w:cs="Times New Roman"/>
          <w:kern w:val="0"/>
          <w:sz w:val="32"/>
          <w:szCs w:val="32"/>
          <w:lang w:val="en-US" w:eastAsia="zh-CN"/>
        </w:rPr>
        <w:t>7</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380.65</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7</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380.65</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61.77</w:t>
      </w:r>
      <w:r>
        <w:rPr>
          <w:rFonts w:ascii="Times New Roman" w:hAnsi="Times New Roman" w:eastAsia="仿宋_GB2312" w:cs="Times New Roman"/>
          <w:kern w:val="0"/>
          <w:sz w:val="32"/>
          <w:szCs w:val="32"/>
        </w:rPr>
        <w:t xml:space="preserve">%；政府性基金预算项目 </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 xml:space="preserve">%；国有资本经营预算项目 </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 xml:space="preserve">%；社会保险基金预算项目 </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个 </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万元，占社会保险基金预算支出总额的</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w:t>
      </w: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787.80</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654.34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83.06</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96.31</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kern w:val="0"/>
          <w:sz w:val="32"/>
          <w:szCs w:val="32"/>
          <w:lang w:val="en-US" w:eastAsia="zh-CN"/>
        </w:rPr>
        <w:t>场馆建设与管理。我馆深入贯彻落实全省博物馆“省市联动”体系改革精神，在省文旅厅、省文物局及市委市政府的坚强领导和文旅广电局的具体指导下，借助全省第四届旅发大会契机，我馆聚焦于博物馆空间布局与展陈创新优化两大核心领域进行全面提质改造，丰富展览内容，增强互动体验，使之成为地市级博物馆中的精品标杆。目前，我馆一楼规划调整为《方圆之城》七星墩遗址出土文物修复展览， 打造一个集学术性、观赏性与教育性于一体的新石器时期专题陈列展。博物馆二楼规划总面积达 1589 平方米的三个展厅（书画临时展厅、非遗展厅、民俗文化展厅）及南、北两个天井整合为一个展厅，结合全省博物馆“省市联动”体系建设暨“湘见万年”文博特展矩阵，隆重推出《川迥洞庭开》岳阳市博物馆基本陈列展览，计划展出我馆三级以上馆藏文物 900余件/套，借调省博物院、省文物考古研究院具有岳阳地域特色的文物 40 余件/套，搭建起一个集展示、教育、交流、探索于一体的综合平台。今年，我们向市发改委申报了博物馆设施设备以旧换新项目，项目落地后，可实现公共区域中央空调系统的全面覆盖，升级现有单一陈旧的门禁系统，集成先进的游客门禁管理、网络预约及引流功能，同时增设互动体验式 3D 导览数字设备，以科技赋能，显著提升游客的参观体验与博物馆的整体服务品质。岳阳市博物馆经过空间布局的调整与优化，实现了空间利用的最优化与功能布局的合理化，构建起一个集文创产品展示销售、数字化展厅、通史陈列及深度互动体验为一体的全方位博物馆体系。二是社会教育与文化推广。在博物馆热的浪潮中，我馆严格落实免费开放工作，2024年，全年到馆参观人数达45万人/次，提供讲解服务300余场/次，官方微信公众号粉丝新增至5.8万人次。为给观众带来更好的参观体验，我们不断开拓创新服务形式，多渠道开展研学社教活动，今年已累计开展5.18国际博物馆日系列宣传活动、岳阳市博物馆寻宝之旅、文物小医生的妙手匠心、非遗飘漆纸扇制作、我为祖国献花朵等研学社教活动50余场/次，将文物趣味性、互动性、体验性三者结合起来，最大程度为观众带来沉浸式教育体验和感受。三是陈列展览与策划。按照习总书记提出的“让文化遗产活起来”的要求,今年以来，我馆采取以基本陈列展览为抓手，临时展览相结合，线上线下双联动的模式，相继举办了《回望人生（诗联翰墨）》书画展、《纪念毛泽东同志诞辰130周年像章展》、《遇见岳州·对话古今——2024年春季岳州暨青瓷工艺美术精品展》、《庆祝中华人民共和国成立75周年——岳阳市第四届花鸟画展》、《第八届湖南艺术节摄影作品展》。并在“5.18国际博物馆日”期间推出了《“吉金重辉”—馆藏青铜文物修复成果展》，立足馆藏资源展示我馆修复的近100余件/套青铜珍贵文物。此外，还举办了线上展览《洞庭之瑰——岳阳市博物馆馆藏文物精粹》、《识字赏物——文物生僻字鉴别》、《龙行天下——全国生肖文物图片联展》等等，展览内容丰富多样，涵盖历史、文化、艺术等多个领域，有效发挥了博物馆的文化传播功能，在展览形式上不断创新，增强观众的参与感和体验感，使展览更具吸引力和感染力。四是开启文创新篇。我馆认真落实《关于进一步促进文化文物单位文化创意产品开发的若干政策》文件精神，满足文旅消费新需求，围绕馆藏珍贵文物以及本土特色文化，立足藏品资源优势，推出一批特色系列文创产品。通过与文创公司合作，推出冰箱贴、“龙行天下”系列与馆藏文物系列拼图纪念册。文创产品一经推出，深受广大观众好评，极大地满足了游客的购物需求，目前销售情况良好，销售额达13万余元。五是深入基层提供文化服务。我馆主动走近群众身边，深入开展流动博物馆“六进”活动12场/次。以“1+3”服务模式将“岳阳流动博物馆”送进岳阳县职业中专、北港中学、市消防支队南湖消防救援站、市图书馆、南湖广场社区，惠及公众近5万多人次，不断扩大品牌活动的辐射面，让观众足不出户就能欣赏全国博物馆馆藏精品文物，丰富精神文化生活。同时，我们践行习近平总书记“</w:t>
      </w:r>
      <w:bookmarkStart w:id="0" w:name="OLE_LINK3"/>
      <w:r>
        <w:rPr>
          <w:rFonts w:hint="eastAsia" w:ascii="Times New Roman" w:hAnsi="Times New Roman" w:eastAsia="仿宋_GB2312" w:cs="Times New Roman"/>
          <w:kern w:val="0"/>
          <w:sz w:val="32"/>
          <w:szCs w:val="32"/>
          <w:lang w:val="en-US" w:eastAsia="zh-CN"/>
        </w:rPr>
        <w:t>传承发展提升农耕文明，走乡村文化兴盛之路”</w:t>
      </w:r>
      <w:bookmarkEnd w:id="0"/>
      <w:r>
        <w:rPr>
          <w:rFonts w:hint="eastAsia" w:ascii="Times New Roman" w:hAnsi="Times New Roman" w:eastAsia="仿宋_GB2312" w:cs="Times New Roman"/>
          <w:kern w:val="0"/>
          <w:sz w:val="32"/>
          <w:szCs w:val="32"/>
          <w:lang w:val="en-US" w:eastAsia="zh-CN"/>
        </w:rPr>
        <w:t>的重要指示，进一步提升岳阳市博物馆的覆盖面和影响力，努力打造岳阳市博物馆分馆品牌建设，结合我市文博工作实际情况和深入考察，我馆完成了岳阳市博物馆伏林村分馆和岳阳市博物馆泾港村分馆2处“岳阳市博物馆分馆”建设工作，进一步扩大了岳阳市博物馆的服务范围，为更多的人民群众提供了更多了解和欣赏文物的机会。六是文物保管与研究工作。科技考古与文物保护利用湖南省重点实验室湘北分中心在我馆挂牌成立，为岳阳的文物保护工作注入了新的力量。</w:t>
      </w:r>
      <w:r>
        <w:rPr>
          <w:rFonts w:hint="eastAsia" w:ascii="Times New Roman" w:hAnsi="Times New Roman" w:eastAsia="仿宋_GB2312" w:cs="Times New Roman"/>
          <w:kern w:val="0"/>
          <w:sz w:val="32"/>
          <w:szCs w:val="32"/>
          <w:lang w:val="en-US" w:eastAsia="en-US"/>
        </w:rPr>
        <w:t>2025年，科技考古与文物保护利用湖南省重点实验室</w:t>
      </w:r>
      <w:r>
        <w:rPr>
          <w:rFonts w:hint="eastAsia" w:ascii="Times New Roman" w:hAnsi="Times New Roman" w:eastAsia="仿宋_GB2312" w:cs="Times New Roman"/>
          <w:kern w:val="0"/>
          <w:sz w:val="32"/>
          <w:szCs w:val="32"/>
          <w:lang w:val="en-US" w:eastAsia="zh-CN"/>
        </w:rPr>
        <w:t>湘北</w:t>
      </w:r>
      <w:r>
        <w:rPr>
          <w:rFonts w:hint="eastAsia" w:ascii="Times New Roman" w:hAnsi="Times New Roman" w:eastAsia="仿宋_GB2312" w:cs="Times New Roman"/>
          <w:kern w:val="0"/>
          <w:sz w:val="32"/>
          <w:szCs w:val="32"/>
          <w:lang w:val="en-US" w:eastAsia="en-US"/>
        </w:rPr>
        <w:t>分中心</w:t>
      </w:r>
      <w:r>
        <w:rPr>
          <w:rFonts w:hint="eastAsia" w:ascii="Times New Roman" w:hAnsi="Times New Roman" w:eastAsia="仿宋_GB2312" w:cs="Times New Roman"/>
          <w:kern w:val="0"/>
          <w:sz w:val="32"/>
          <w:szCs w:val="32"/>
          <w:lang w:val="en-US" w:eastAsia="zh-CN"/>
        </w:rPr>
        <w:t>将重点</w:t>
      </w:r>
      <w:r>
        <w:rPr>
          <w:rFonts w:hint="eastAsia" w:ascii="Times New Roman" w:hAnsi="Times New Roman" w:eastAsia="仿宋_GB2312" w:cs="Times New Roman"/>
          <w:kern w:val="0"/>
          <w:sz w:val="32"/>
          <w:szCs w:val="32"/>
          <w:lang w:val="en-US" w:eastAsia="en-US"/>
        </w:rPr>
        <w:t>推动科研与技术进步，深化文物保护与活化利用。</w:t>
      </w:r>
      <w:r>
        <w:rPr>
          <w:rFonts w:hint="eastAsia" w:ascii="Times New Roman" w:hAnsi="Times New Roman" w:eastAsia="仿宋_GB2312" w:cs="Times New Roman"/>
          <w:kern w:val="0"/>
          <w:sz w:val="32"/>
          <w:szCs w:val="32"/>
          <w:lang w:val="en-US" w:eastAsia="zh-CN"/>
        </w:rPr>
        <w:t>湘北分中心</w:t>
      </w:r>
      <w:r>
        <w:rPr>
          <w:rFonts w:hint="eastAsia" w:ascii="Times New Roman" w:hAnsi="Times New Roman" w:eastAsia="仿宋_GB2312" w:cs="Times New Roman"/>
          <w:kern w:val="0"/>
          <w:sz w:val="32"/>
          <w:szCs w:val="32"/>
          <w:lang w:val="en-US" w:eastAsia="en-US"/>
        </w:rPr>
        <w:t>将聚焦重点科研项目，强化文物保护技术研究与应用，同时拓宽学术交流与合作渠道，促进人才引进与培养，以全面提升实验室的综合实力与影响力</w:t>
      </w:r>
      <w:r>
        <w:rPr>
          <w:rFonts w:hint="eastAsia" w:ascii="Times New Roman" w:hAnsi="Times New Roman" w:eastAsia="仿宋_GB2312" w:cs="Times New Roman"/>
          <w:kern w:val="0"/>
          <w:sz w:val="32"/>
          <w:szCs w:val="32"/>
          <w:lang w:val="en-US" w:eastAsia="zh-CN"/>
        </w:rPr>
        <w:t>。今年，我们整理新增老一辈革命家罗叔章先生的藏书270余件/套，完成华容七星墩考古发掘出土文物70余件/套的入藏与数据录入工作。通过这些努力，截至年底，岳阳市博物馆馆藏文物总数从5000余件新增达到6,499件。</w:t>
      </w:r>
      <w:r>
        <w:rPr>
          <w:rFonts w:ascii="Times New Roman" w:hAnsi="Times New Roman" w:eastAsia="仿宋_GB2312" w:cs="Times New Roman"/>
          <w:kern w:val="0"/>
          <w:sz w:val="32"/>
          <w:szCs w:val="32"/>
        </w:rPr>
        <w:t>发现的主要问题及原因：</w:t>
      </w:r>
      <w:r>
        <w:rPr>
          <w:rFonts w:ascii="Times New Roman" w:hAnsi="Times New Roman" w:eastAsia="仿宋_GB2312" w:cs="Times New Roman"/>
          <w:kern w:val="0"/>
          <w:sz w:val="32"/>
          <w:szCs w:val="32"/>
          <w:lang w:val="en-US" w:eastAsia="zh-CN"/>
        </w:rPr>
        <w:t>一是</w:t>
      </w:r>
      <w:r>
        <w:rPr>
          <w:rFonts w:hint="eastAsia" w:ascii="Times New Roman" w:hAnsi="Times New Roman" w:eastAsia="仿宋_GB2312" w:cs="Times New Roman"/>
          <w:kern w:val="0"/>
          <w:sz w:val="32"/>
          <w:szCs w:val="32"/>
          <w:lang w:val="en-US" w:eastAsia="zh-CN"/>
        </w:rPr>
        <w:t>专业人才匮乏。由于机构改革等方面原因，我馆在编在岗人员仅11人，极难保障博物馆的正常开放，给博物馆安全工作带来隐患，限制了我馆宣传教育、文物征集保管、保护利用和博物馆学术研究等工作的发展。二是项目推进压力较大。在推进博物馆改陈布展工作的过程中，时间紧迫与任务繁重之间的矛盾较为突出。博物馆省市联动涉及到改陈布展多个项目，包括基本陈列《川迥洞庭开》、《方圆之城》七星墩遗址出土文物修复展，完成时间为 2025年4月30日，在有限的时间内要确保各个项目的质量与进度，需要协调各方资源，压力较大。</w:t>
      </w:r>
      <w:r>
        <w:rPr>
          <w:rFonts w:ascii="Times New Roman" w:hAnsi="Times New Roman" w:eastAsia="仿宋_GB2312" w:cs="Times New Roman"/>
          <w:kern w:val="0"/>
          <w:sz w:val="32"/>
          <w:szCs w:val="32"/>
        </w:rPr>
        <w:t>下一步改进措施：一是</w:t>
      </w:r>
      <w:r>
        <w:rPr>
          <w:rFonts w:hint="eastAsia" w:ascii="Times New Roman" w:hAnsi="Times New Roman" w:eastAsia="仿宋_GB2312" w:cs="Times New Roman"/>
          <w:kern w:val="0"/>
          <w:sz w:val="32"/>
          <w:szCs w:val="32"/>
          <w:lang w:val="en-US" w:eastAsia="zh-CN"/>
        </w:rPr>
        <w:t>一是加快项目推进。针对当前面临的问题，博物馆已部署了一系列应对措施，正积极与省文物局、省考古研究院、红网、市财政局加强紧密联系汇报，全力推进基本陈列《川迥洞庭开》的改陈布展工作与《方圆之城》七星墩遗址出土文物修复展的筹备工作，以确保两大展览能在2025年4月30日顺利开展。此外，我们还积极推动博物馆数字化保护项目，旨在借助现代科技的力量，进一步提升文物的保护成效与展示品质，利用现代科技手段提升文物保护和展示水平。二是加强宣传推广。结合旅游发展大会的宣传契机，联合红网制定全方位的博物馆宣传推广方案。通过社交媒体、旅游宣传册、合作推广等多种渠道，提前预热博物馆的新展览和新变化，吸引更多游客关注。与旅行社合作开发特色旅游线路，将岳阳市博物馆纳入必游景点，提高博物馆的知名度和影响力，进一步促进文旅融合。三是加强人才培养。对文物保护、展览策划、教育推广、文创开发等不同岗位的职责和技能要求进行清晰的界定，确保人才培养的针对性和有效性。并利用改陈布展闭馆期间全面对博物馆工作人员进行专业培训，提高讲解水平和服务意识。四是提升服务质量。持续推进岳阳博物馆流动博物馆“六进”活动和岳阳博物馆分馆建设工作。同时，开展丰富多彩的社教研学活动，针对不同年龄段和兴趣群体设计多样化的研学课程，如文化讲座、亲子互动体验等，增强游客的参与感和文化认同感。五是是加强纪检工作日常监督管理。坚持把监督抓在日常、严在日常，注重抓早抓小、防微杜渐、层层设防，把日常管理监督实实在在做起来、做到位。六是开展干部职工作风整治活动工作。增强干部职工的服务意识，加强干部与职工之间的联系，为干部职工排忧解难，及时掌握和了解单位干部职工的情况，转变单位作风，不断地促进我馆的政风行风廉政建设工作。</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2E1CBA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kern w:val="0"/>
          <w:sz w:val="32"/>
          <w:szCs w:val="32"/>
          <w:lang w:val="en-US" w:eastAsia="zh-CN"/>
        </w:rPr>
        <w:t>2025年</w:t>
      </w:r>
      <w:r>
        <w:rPr>
          <w:rFonts w:hint="eastAsia" w:ascii="Times New Roman" w:hAnsi="Times New Roman" w:eastAsia="仿宋_GB2312" w:cs="Times New Roman"/>
          <w:kern w:val="0"/>
          <w:sz w:val="32"/>
          <w:szCs w:val="32"/>
          <w:lang w:val="en-US" w:eastAsia="zh-CN"/>
        </w:rPr>
        <w:t>度本部门所有支出实行绩效目标管理。纳入2025年部门整体支出绩效目标的金额为201.22万元，其中，基本支出201.22万元，项目支出0.00万元</w:t>
      </w:r>
      <w:r>
        <w:rPr>
          <w:rFonts w:ascii="Times New Roman" w:hAnsi="Times New Roman" w:eastAsia="仿宋_GB2312" w:cs="Times New Roman"/>
          <w:color w:val="auto"/>
          <w:sz w:val="32"/>
          <w:szCs w:val="32"/>
          <w:highlight w:val="none"/>
        </w:rPr>
        <w:t>。</w:t>
      </w:r>
    </w:p>
    <w:p w14:paraId="3971199E">
      <w:pPr>
        <w:autoSpaceDE w:val="0"/>
        <w:autoSpaceDN w:val="0"/>
        <w:adjustRightInd w:val="0"/>
        <w:ind w:firstLine="640" w:firstLineChars="200"/>
        <w:jc w:val="left"/>
        <w:rPr>
          <w:sz w:val="72"/>
          <w:szCs w:val="72"/>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147E06D0">
      <w:pPr>
        <w:pStyle w:val="12"/>
        <w:jc w:val="both"/>
        <w:rPr>
          <w:rFonts w:hint="eastAsia" w:ascii="方正小标宋_GBK" w:hAnsi="方正小标宋_GBK" w:eastAsia="方正小标宋_GBK" w:cs="方正小标宋_GBK"/>
          <w:sz w:val="24"/>
          <w:szCs w:val="24"/>
        </w:rPr>
      </w:pPr>
    </w:p>
    <w:p w14:paraId="3D83FDA1">
      <w:pPr>
        <w:pStyle w:val="12"/>
        <w:jc w:val="center"/>
        <w:rPr>
          <w:rFonts w:hint="eastAsia" w:ascii="方正小标宋_GBK" w:hAnsi="方正小标宋_GBK" w:eastAsia="方正小标宋_GBK" w:cs="方正小标宋_GBK"/>
          <w:sz w:val="72"/>
          <w:szCs w:val="72"/>
        </w:rPr>
      </w:pPr>
    </w:p>
    <w:p w14:paraId="6FB6F211">
      <w:pPr>
        <w:pStyle w:val="12"/>
        <w:jc w:val="center"/>
        <w:rPr>
          <w:rFonts w:hint="eastAsia" w:ascii="方正小标宋_GBK" w:hAnsi="方正小标宋_GBK" w:eastAsia="方正小标宋_GBK" w:cs="方正小标宋_GBK"/>
          <w:sz w:val="72"/>
          <w:szCs w:val="72"/>
        </w:rPr>
      </w:pPr>
    </w:p>
    <w:p w14:paraId="3A01B6B0">
      <w:pPr>
        <w:pStyle w:val="12"/>
        <w:jc w:val="center"/>
        <w:rPr>
          <w:rFonts w:hint="eastAsia" w:ascii="方正小标宋_GBK" w:hAnsi="方正小标宋_GBK" w:eastAsia="方正小标宋_GBK" w:cs="方正小标宋_GBK"/>
          <w:sz w:val="72"/>
          <w:szCs w:val="72"/>
        </w:rPr>
      </w:pPr>
    </w:p>
    <w:p w14:paraId="475C1000">
      <w:pPr>
        <w:pStyle w:val="12"/>
        <w:jc w:val="center"/>
        <w:rPr>
          <w:rFonts w:hint="eastAsia" w:ascii="方正小标宋_GBK" w:hAnsi="方正小标宋_GBK" w:eastAsia="方正小标宋_GBK" w:cs="方正小标宋_GBK"/>
          <w:sz w:val="72"/>
          <w:szCs w:val="72"/>
        </w:rPr>
      </w:pPr>
    </w:p>
    <w:p w14:paraId="6A5A782C">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1C2A6A41">
      <w:pPr>
        <w:widowControl/>
        <w:spacing w:line="600" w:lineRule="exact"/>
        <w:ind w:firstLine="640" w:firstLineChars="200"/>
        <w:jc w:val="left"/>
        <w:rPr>
          <w:rFonts w:ascii="仿宋" w:hAnsi="仿宋" w:eastAsia="仿宋" w:cs="黑体"/>
          <w:color w:val="000000"/>
          <w:kern w:val="0"/>
          <w:sz w:val="32"/>
          <w:szCs w:val="32"/>
        </w:rPr>
      </w:pPr>
      <w:r>
        <w:rPr>
          <w:rFonts w:hint="eastAsia" w:ascii="仿宋" w:hAnsi="仿宋" w:eastAsia="仿宋" w:cs="黑体"/>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15F6303">
      <w:pPr>
        <w:spacing w:line="600" w:lineRule="exact"/>
        <w:ind w:firstLine="640" w:firstLineChars="200"/>
        <w:jc w:val="left"/>
        <w:rPr>
          <w:rFonts w:ascii="仿宋" w:hAnsi="仿宋" w:eastAsia="仿宋" w:cs="黑体"/>
          <w:color w:val="000000"/>
          <w:kern w:val="0"/>
          <w:sz w:val="32"/>
          <w:szCs w:val="32"/>
        </w:rPr>
      </w:pPr>
      <w:r>
        <w:rPr>
          <w:rFonts w:hint="eastAsia" w:ascii="仿宋" w:hAnsi="仿宋" w:eastAsia="仿宋" w:cs="黑体"/>
          <w:color w:val="000000"/>
          <w:kern w:val="0"/>
          <w:sz w:val="32"/>
          <w:szCs w:val="32"/>
        </w:rPr>
        <w:t>二、机关运行经费</w:t>
      </w:r>
      <w:r>
        <w:rPr>
          <w:rFonts w:hint="eastAsia" w:ascii="仿宋" w:hAnsi="仿宋" w:eastAsia="仿宋" w:cs="黑体"/>
          <w:color w:val="000000"/>
          <w:kern w:val="0"/>
          <w:sz w:val="32"/>
          <w:szCs w:val="32"/>
          <w:lang w:eastAsia="zh-CN"/>
        </w:rPr>
        <w:t>：</w:t>
      </w:r>
      <w:r>
        <w:rPr>
          <w:rFonts w:hint="eastAsia" w:ascii="仿宋" w:hAnsi="仿宋" w:eastAsia="仿宋" w:cs="黑体"/>
          <w:color w:val="000000"/>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76BA3E4A">
      <w:pPr>
        <w:spacing w:line="600" w:lineRule="exact"/>
        <w:ind w:firstLine="640" w:firstLineChars="200"/>
        <w:jc w:val="left"/>
        <w:rPr>
          <w:rFonts w:ascii="仿宋" w:hAnsi="仿宋" w:eastAsia="仿宋" w:cs="黑体"/>
          <w:color w:val="000000"/>
          <w:kern w:val="0"/>
          <w:sz w:val="32"/>
          <w:szCs w:val="32"/>
        </w:rPr>
      </w:pPr>
      <w:r>
        <w:rPr>
          <w:rFonts w:hint="eastAsia" w:ascii="仿宋" w:hAnsi="仿宋" w:eastAsia="仿宋" w:cs="黑体"/>
          <w:color w:val="000000"/>
          <w:kern w:val="0"/>
          <w:sz w:val="32"/>
          <w:szCs w:val="32"/>
        </w:rPr>
        <w:t>三、财政拨款收入：指本级财政当年拨付的资金。</w:t>
      </w:r>
    </w:p>
    <w:p w14:paraId="2553E7AF">
      <w:pPr>
        <w:spacing w:line="600" w:lineRule="exact"/>
        <w:ind w:firstLine="640" w:firstLineChars="200"/>
        <w:jc w:val="left"/>
        <w:rPr>
          <w:rFonts w:ascii="仿宋" w:hAnsi="仿宋" w:eastAsia="仿宋" w:cs="黑体"/>
          <w:color w:val="000000"/>
          <w:kern w:val="0"/>
          <w:sz w:val="32"/>
          <w:szCs w:val="32"/>
        </w:rPr>
      </w:pPr>
      <w:r>
        <w:rPr>
          <w:rFonts w:hint="eastAsia" w:ascii="仿宋" w:hAnsi="仿宋" w:eastAsia="仿宋" w:cs="黑体"/>
          <w:color w:val="000000"/>
          <w:kern w:val="0"/>
          <w:sz w:val="32"/>
          <w:szCs w:val="32"/>
        </w:rPr>
        <w:t>四、其他收入：指除上述“财政拨款收入”、“上级补助收入”、“事业收入”、“经营收入”、“附属单位上缴收入”等以外的收入。</w:t>
      </w:r>
    </w:p>
    <w:p w14:paraId="09B27C88">
      <w:pPr>
        <w:spacing w:line="600" w:lineRule="exact"/>
        <w:ind w:firstLine="640" w:firstLineChars="200"/>
        <w:jc w:val="left"/>
        <w:rPr>
          <w:rFonts w:ascii="仿宋" w:hAnsi="仿宋" w:eastAsia="仿宋" w:cs="黑体"/>
          <w:color w:val="000000"/>
          <w:kern w:val="0"/>
          <w:sz w:val="32"/>
          <w:szCs w:val="32"/>
        </w:rPr>
      </w:pPr>
      <w:r>
        <w:rPr>
          <w:rFonts w:hint="eastAsia" w:ascii="仿宋" w:hAnsi="仿宋" w:eastAsia="仿宋" w:cs="黑体"/>
          <w:color w:val="000000"/>
          <w:kern w:val="0"/>
          <w:sz w:val="32"/>
          <w:szCs w:val="32"/>
        </w:rPr>
        <w:t>五、基本支出：指保障机构正常运转、完成支日常工作任务而发生的人员支出和公用支出。</w:t>
      </w:r>
    </w:p>
    <w:p w14:paraId="50DA1D0C">
      <w:pPr>
        <w:spacing w:line="600" w:lineRule="exact"/>
        <w:ind w:firstLine="640" w:firstLineChars="200"/>
        <w:jc w:val="left"/>
        <w:rPr>
          <w:rFonts w:ascii="仿宋" w:hAnsi="仿宋" w:eastAsia="仿宋" w:cs="黑体"/>
          <w:color w:val="000000"/>
          <w:kern w:val="0"/>
          <w:sz w:val="32"/>
          <w:szCs w:val="32"/>
        </w:rPr>
      </w:pPr>
      <w:r>
        <w:rPr>
          <w:rFonts w:hint="eastAsia" w:ascii="仿宋" w:hAnsi="仿宋" w:eastAsia="仿宋" w:cs="黑体"/>
          <w:color w:val="000000"/>
          <w:kern w:val="0"/>
          <w:sz w:val="32"/>
          <w:szCs w:val="32"/>
        </w:rPr>
        <w:t>六、项目支出：指在基本支出之外为完成特定行政任务和事业发展目标所发生的支出。</w:t>
      </w:r>
    </w:p>
    <w:p w14:paraId="2DD8D880">
      <w:pPr>
        <w:spacing w:line="600" w:lineRule="exact"/>
        <w:ind w:firstLine="640" w:firstLineChars="200"/>
        <w:jc w:val="left"/>
        <w:rPr>
          <w:rFonts w:ascii="仿宋" w:hAnsi="仿宋" w:eastAsia="仿宋" w:cstheme="minorEastAsia"/>
          <w:sz w:val="32"/>
          <w:szCs w:val="32"/>
        </w:rPr>
      </w:pPr>
      <w:r>
        <w:rPr>
          <w:rFonts w:hint="eastAsia" w:ascii="仿宋" w:hAnsi="仿宋" w:eastAsia="仿宋" w:cstheme="minorEastAsia"/>
          <w:sz w:val="32"/>
          <w:szCs w:val="32"/>
        </w:rPr>
        <w:t>七、会议费：反映会议中按规定开支的住宿费、伙食费、会议室租金、交通费、文件印刷费、医药费等。</w:t>
      </w:r>
    </w:p>
    <w:p w14:paraId="2AE81CE8">
      <w:pPr>
        <w:spacing w:line="600" w:lineRule="exact"/>
        <w:ind w:firstLine="640" w:firstLineChars="200"/>
        <w:jc w:val="left"/>
        <w:rPr>
          <w:rFonts w:hint="eastAsia" w:ascii="仿宋_GB2312" w:hAnsi="仿宋_GB2312" w:eastAsia="仿宋_GB2312" w:cs="仿宋_GB2312"/>
          <w:sz w:val="32"/>
          <w:szCs w:val="32"/>
        </w:rPr>
      </w:pPr>
      <w:r>
        <w:rPr>
          <w:rFonts w:hint="eastAsia" w:ascii="仿宋" w:hAnsi="仿宋" w:eastAsia="仿宋" w:cstheme="minorEastAsia"/>
          <w:sz w:val="32"/>
          <w:szCs w:val="32"/>
        </w:rPr>
        <w:t>八、培训费：反映除因公出国（境）培训费以外的各类培训支出。</w:t>
      </w:r>
      <w:bookmarkStart w:id="1" w:name="_GoBack"/>
      <w:bookmarkEnd w:id="1"/>
    </w:p>
    <w:p w14:paraId="1D47518A">
      <w:pPr>
        <w:pStyle w:val="3"/>
      </w:pPr>
    </w:p>
    <w:p w14:paraId="580CF8E4"/>
    <w:p w14:paraId="0C17744C">
      <w:pPr>
        <w:pStyle w:val="2"/>
      </w:pPr>
    </w:p>
    <w:p w14:paraId="7B8BABF4">
      <w:pPr>
        <w:pStyle w:val="3"/>
      </w:pPr>
    </w:p>
    <w:p w14:paraId="1942C0DC"/>
    <w:p w14:paraId="6E2D1EEF">
      <w:pPr>
        <w:pStyle w:val="2"/>
      </w:pPr>
    </w:p>
    <w:p w14:paraId="5F6ABC3B">
      <w:pPr>
        <w:pStyle w:val="3"/>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4D131F3E"/>
    <w:p w14:paraId="7CFBCE3C">
      <w:pPr>
        <w:pStyle w:val="2"/>
      </w:pPr>
    </w:p>
    <w:p w14:paraId="5C3DE094">
      <w:pPr>
        <w:pStyle w:val="12"/>
        <w:jc w:val="both"/>
        <w:rPr>
          <w:rFonts w:hint="eastAsia" w:ascii="方正小标宋_GBK" w:hAnsi="方正小标宋_GBK" w:eastAsia="方正小标宋_GBK" w:cs="方正小标宋_GBK"/>
          <w:sz w:val="72"/>
          <w:szCs w:val="72"/>
        </w:rPr>
      </w:pPr>
    </w:p>
    <w:p w14:paraId="0C1858E3">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2"/>
        <w:jc w:val="both"/>
        <w:rPr>
          <w:rFonts w:hint="eastAsia" w:ascii="方正小标宋_GBK" w:hAnsi="方正小标宋_GBK" w:eastAsia="方正小标宋_GBK" w:cs="方正小标宋_GBK"/>
          <w:sz w:val="70"/>
          <w:szCs w:val="70"/>
          <w:lang w:eastAsia="zh-CN"/>
        </w:rPr>
      </w:pPr>
    </w:p>
    <w:p w14:paraId="490142D3">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B41BBD"/>
    <w:rsid w:val="059958AD"/>
    <w:rsid w:val="06C857E7"/>
    <w:rsid w:val="077D0D2A"/>
    <w:rsid w:val="08C24A73"/>
    <w:rsid w:val="0A7775F3"/>
    <w:rsid w:val="11944E2C"/>
    <w:rsid w:val="12583BA5"/>
    <w:rsid w:val="13BA5B9C"/>
    <w:rsid w:val="1D97DEFF"/>
    <w:rsid w:val="1DFF72E5"/>
    <w:rsid w:val="1EFC6F07"/>
    <w:rsid w:val="1F0527A6"/>
    <w:rsid w:val="22AC03C2"/>
    <w:rsid w:val="283B15FE"/>
    <w:rsid w:val="2FDF85B8"/>
    <w:rsid w:val="2FFFEE04"/>
    <w:rsid w:val="30BA6D84"/>
    <w:rsid w:val="31C95635"/>
    <w:rsid w:val="34DF85B0"/>
    <w:rsid w:val="39001609"/>
    <w:rsid w:val="3B8F36BC"/>
    <w:rsid w:val="43EB5BA5"/>
    <w:rsid w:val="491FF225"/>
    <w:rsid w:val="4EC310A1"/>
    <w:rsid w:val="4FFD214C"/>
    <w:rsid w:val="5352765A"/>
    <w:rsid w:val="5777D4F5"/>
    <w:rsid w:val="57F22B6F"/>
    <w:rsid w:val="59DD8326"/>
    <w:rsid w:val="5B13645B"/>
    <w:rsid w:val="5DEF592A"/>
    <w:rsid w:val="5FC6BB1E"/>
    <w:rsid w:val="5FF720F1"/>
    <w:rsid w:val="60FC3DF9"/>
    <w:rsid w:val="622964C1"/>
    <w:rsid w:val="67FF5C0B"/>
    <w:rsid w:val="6BAA4A2F"/>
    <w:rsid w:val="6DDEC5C0"/>
    <w:rsid w:val="6EFC0924"/>
    <w:rsid w:val="6FB74722"/>
    <w:rsid w:val="6FEF8B7E"/>
    <w:rsid w:val="717FE77F"/>
    <w:rsid w:val="71A6591B"/>
    <w:rsid w:val="737D59BA"/>
    <w:rsid w:val="737F32B1"/>
    <w:rsid w:val="73BD3FCA"/>
    <w:rsid w:val="776BDA01"/>
    <w:rsid w:val="77C37683"/>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7644</Words>
  <Characters>8249</Characters>
  <Lines>63</Lines>
  <Paragraphs>18</Paragraphs>
  <TotalTime>0</TotalTime>
  <ScaleCrop>false</ScaleCrop>
  <LinksUpToDate>false</LinksUpToDate>
  <CharactersWithSpaces>8282</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用友岳阳新启航沈毅</cp:lastModifiedBy>
  <cp:lastPrinted>2024-08-11T02:20:00Z</cp:lastPrinted>
  <dcterms:modified xsi:type="dcterms:W3CDTF">2025-09-26T14:59:22Z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98623D6660B449428EB8E073C6C952EA</vt:lpwstr>
  </property>
  <property fmtid="{D5CDD505-2E9C-101B-9397-08002B2CF9AE}" pid="4" name="KSOTemplateDocerSaveRecord">
    <vt:lpwstr>eyJoZGlkIjoiYmMwMmJlYzJhMzIwMmQ1NjY3N2FiZmZhNTZiNzgxM2YiLCJ1c2VySWQiOiI1OTk0MTI0OTEifQ==</vt:lpwstr>
  </property>
</Properties>
</file>