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岳阳市群众艺术馆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spacing w:line="540" w:lineRule="exact"/>
        <w:jc w:val="center"/>
        <w:rPr>
          <w:sz w:val="56"/>
          <w:szCs w:val="56"/>
        </w:rPr>
      </w:pPr>
    </w:p>
    <w:p>
      <w:pPr>
        <w:pStyle w:val="13"/>
        <w:spacing w:line="500" w:lineRule="exact"/>
        <w:jc w:val="both"/>
        <w:rPr>
          <w:b/>
          <w:sz w:val="36"/>
          <w:szCs w:val="28"/>
        </w:rPr>
      </w:pPr>
    </w:p>
    <w:p>
      <w:pPr>
        <w:pStyle w:val="13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岳阳市群众艺术馆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岳阳市群众艺术馆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>
      <w:pPr>
        <w:pStyle w:val="8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4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8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4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ind w:firstLine="640" w:firstLineChars="200"/>
        <w:jc w:val="lef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（一）</w:t>
      </w:r>
      <w:r>
        <w:rPr>
          <w:rFonts w:hint="eastAsia" w:ascii="宋体" w:hAnsi="宋体"/>
          <w:sz w:val="32"/>
          <w:szCs w:val="32"/>
          <w:lang w:eastAsia="zh-CN"/>
        </w:rPr>
        <w:t>承担全市的文艺培训、群众文化活动组织、群众文艺创作及各类社会文化活动辅导、群众文艺理论研究。</w:t>
      </w:r>
    </w:p>
    <w:p>
      <w:pPr>
        <w:keepNext/>
        <w:keepLines/>
        <w:shd w:val="clear" w:color="auto" w:fill="FFFFFF"/>
        <w:spacing w:beforeLines="0" w:afterLines="0"/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</w:t>
      </w:r>
      <w:r>
        <w:rPr>
          <w:rFonts w:hint="eastAsia" w:ascii="宋体" w:hAnsi="宋体"/>
          <w:sz w:val="32"/>
          <w:szCs w:val="32"/>
          <w:lang w:eastAsia="zh-CN"/>
        </w:rPr>
        <w:t>编辑出版综合性文艺刊物等全民艺术普及工作。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960" w:firstLineChars="300"/>
        <w:rPr>
          <w:rFonts w:hint="eastAsi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宋体" w:hAnsi="宋体"/>
          <w:sz w:val="32"/>
          <w:szCs w:val="32"/>
          <w:lang w:eastAsia="zh-CN"/>
        </w:rPr>
        <w:t>内设机构设置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。</w:t>
      </w:r>
      <w:r>
        <w:rPr>
          <w:rFonts w:hint="eastAsia" w:ascii="宋体" w:hAnsi="宋体"/>
          <w:bCs/>
          <w:kern w:val="0"/>
          <w:sz w:val="32"/>
          <w:szCs w:val="32"/>
          <w:lang w:eastAsia="zh-CN"/>
        </w:rPr>
        <w:t>岳阳市群众艺术馆</w:t>
      </w:r>
      <w:r>
        <w:rPr>
          <w:rFonts w:hint="eastAsia" w:ascii="宋体" w:hAnsi="宋体"/>
          <w:bCs/>
          <w:kern w:val="0"/>
          <w:sz w:val="32"/>
          <w:szCs w:val="32"/>
        </w:rPr>
        <w:t>内设机构包括：</w:t>
      </w:r>
      <w:r>
        <w:rPr>
          <w:rFonts w:hint="eastAsia" w:ascii="宋体" w:hAnsi="宋体"/>
          <w:bCs/>
          <w:kern w:val="0"/>
          <w:sz w:val="32"/>
          <w:szCs w:val="32"/>
          <w:lang w:val="en-US" w:eastAsia="zh-CN"/>
        </w:rPr>
        <w:t>办公室、活动部、培训部、数字文化馆、《艺术岳阳》编辑部。</w:t>
      </w:r>
    </w:p>
    <w:p>
      <w:pPr>
        <w:ind w:firstLine="960" w:firstLineChars="300"/>
        <w:jc w:val="left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</w:t>
      </w:r>
      <w:r>
        <w:rPr>
          <w:rFonts w:hint="eastAsia" w:ascii="宋体" w:hAnsi="宋体"/>
          <w:sz w:val="32"/>
          <w:szCs w:val="32"/>
          <w:lang w:eastAsia="zh-CN"/>
        </w:rPr>
        <w:t>决算单位构成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。</w:t>
      </w:r>
      <w:r>
        <w:rPr>
          <w:rFonts w:hint="eastAsia" w:ascii="宋体" w:hAnsi="宋体"/>
          <w:sz w:val="32"/>
          <w:szCs w:val="32"/>
          <w:lang w:eastAsia="zh-CN"/>
        </w:rPr>
        <w:t>本单位无独立核算的下属单位，</w:t>
      </w:r>
      <w:r>
        <w:rPr>
          <w:rFonts w:hint="eastAsia" w:ascii="宋体" w:hAnsi="宋体"/>
          <w:sz w:val="32"/>
          <w:szCs w:val="32"/>
          <w:lang w:val="en-US" w:eastAsia="zh-CN"/>
        </w:rPr>
        <w:t>2023年度部门决算汇总公开单位仅包括</w:t>
      </w:r>
      <w:r>
        <w:rPr>
          <w:rFonts w:hint="eastAsia" w:ascii="宋体" w:hAnsi="宋体"/>
          <w:sz w:val="32"/>
          <w:szCs w:val="32"/>
          <w:lang w:eastAsia="zh-CN"/>
        </w:rPr>
        <w:t>岳阳市群众艺术馆本级。</w:t>
      </w: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3"/>
        <w:ind w:firstLine="640" w:firstLineChars="200"/>
        <w:rPr>
          <w:rFonts w:hint="eastAsia" w:ascii="楷体" w:hAnsi="楷体" w:eastAsia="楷体" w:cs="楷体"/>
          <w:i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490.66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万元。与上年528.4万元相比，减少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2023年预算项目较上年有减少。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99.97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490.67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415.11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84.6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15.4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楷体" w:hAnsi="楷体" w:eastAsia="楷体" w:cs="楷体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372.94万元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24.88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项目经费增加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94.92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372.94万元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24.88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项目经费增加。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万元，主要用于以下方面：一般公共服务（类）支出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297.14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63.8</w:t>
      </w:r>
      <w:r>
        <w:rPr>
          <w:rFonts w:hint="eastAsia" w:ascii="仿宋_GB2312" w:hAnsi="仿宋_GB2312" w:eastAsia="仿宋_GB2312" w:cs="仿宋_GB2312"/>
          <w:sz w:val="32"/>
          <w:szCs w:val="32"/>
        </w:rPr>
        <w:t>%；社会保障和就业支出（类）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27.36</w:t>
      </w:r>
      <w:r>
        <w:rPr>
          <w:rFonts w:hint="eastAsia" w:ascii="仿宋_GB2312" w:hAnsi="仿宋_GB2312" w:eastAsia="仿宋_GB2312" w:cs="仿宋_GB2312"/>
          <w:sz w:val="32"/>
          <w:szCs w:val="32"/>
        </w:rPr>
        <w:t>%;卫生健康支出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22.17万元，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4.76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住房保障支出（类）19.01万元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338.16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465.72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137.72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一般行政管理事务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经费水平与上年基本持平。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194.48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经费较上年增加。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其他文化和旅游支出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经费水平与上年基本持平。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经费水平与上年基本持平。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行政事业单位养老支出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事业单位离退休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128.18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经费较上年增加。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行政事业单位养老支出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事机关事务单位基本养老保险缴费支出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经费水平与上年基本持平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抚恤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其他优抚支出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去世未纳入预算。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2023年其他社会保障和就业支出严格按照预算执行。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行政事业单位医疗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2023年事业单位医疗严格按照预算执行。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住房改革支出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2023年住房公积金严格按照预算执行。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358.46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91.87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8.13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%，主要包括办公费、印刷费、咨询费、手续费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、租赁费、物业管理费等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/>
          <w:color w:val="FF0000"/>
          <w:kern w:val="0"/>
          <w:sz w:val="36"/>
          <w:szCs w:val="36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2023年度国有资本经营预算财政拨款收入0万元；年初结转和结余0万；支出0万元，其中：基本支出0万元，项目支出0万元；年末结转和结余0万元。2、有数据的必须按项级科目分析。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“三公”经费财政拨款支出预算为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公务用车运行维护费保险及维修费在12月才形成，未能及时在系统关账之前完成支付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相比增加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公务用车维护费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，增长主要原因是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2023年增加了公务用车运行维护费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因公出国（境）费支出预算为0万元，支出决算为0万元，决算数等于预算数，主要原因是我单位严格按预算执行决算；与上年一致，无增减变动，主要原因是未安排因公出国（境）活动。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公务接待费支出预算为0万元，支出决算为0万元，决算数等于预算数，主要原因是严格执行中央八项规定；与上年一致，无增减变动，主要原因是按有关政策厉行节约，严控公务接待支出。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公务用车购置费支出预算为0万元，支出决算为0万元，决算数等于预算数，主要原因是我单位严格按预算执行决算；与上年一致，无增减变动，主要原因是两年均未购置公务用车。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公务用车运行维护费保险及维修费在12月才形成，未能及时在系统关账之前完成支付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相比增加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上年未发生公务用车运行维护费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万元，因公出国（境）费支出决算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万元，公务用车购置费及运行维护费支出决算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因公出国（境）费支出决算为0万元，全年安排因公出国（境）团组0个，累计0人次，我单位2023年度无因公出国（境）费支出。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公务接待费支出决算为0万元，全年共接待来访团组0个、来宾0人次，我单位2023年度无公务接待费支出。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3、公务用车购置费及运行维护费支出决算为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，当年没有购置公务用车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公务用车年检、维修保养、加油等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年12月31日，我单位开支财政拨款的公务用车保有量为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本单位为事业单位，按照机关运行经费的口径，本年度机关运行经费为0。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本单位无会议费的预算和支出决算数；本单位无培训费的预算和支出决算数；本单位无举办节庆、晚会、论坛、赛事等活动的预算和支出决算数。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部门2023年度政府采购支出总额82.36万元，其中：政府采购货物支出25.88万元、政府采购工程支出0万元、政府采购服务支出56.48万元。授予中小企业合同金额82.36万元（由于预算数为0，故无法计算占政府采购支出总额的比重），其中：授予小微企业合同金额63.26万元（由于预算数为0，故无法计算占授予中小企业合同金额的比重）。货物采购授予中小企业合同金额占货物支出金额的比重，工程采购授予中小企业合同金额占工程支出金额的比重，服务采购授予中小企业合同金额占服务支出金额的比重，由于各项预算数为0，故无法计算各项占比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截至2023年12月31日，本单位共有车辆1辆，其中，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465.72万元，政府性基金预算支出0万元，国有资本经营预算支出0万元。从评价情况来看，整体支出绩效评价中，2023年整体支出490.67万元，其中：基本支出415.11万元，项目支出75.56万元，本单位整体支出绩效自评综合评分99分，评价结果等次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3个，共涉及资金52万元，占一般公共预算项目支出总额的68.83%。组织对政府性基金预算项目支出开展绩效自评，项目0个，共涉及资金0万元。组织对国有资本经营预算项目支出开展绩效自评，项目0个，共涉及资金0万元。从评价情况来看，项目绩效自评得分99分，评价结果等次为优秀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99分。全年预算数为465.72万元，执行数为490.66万元，完成预算的105.36%。绩效目标完成情况：一是群文活动、培训及免费开放工作方面，完成了在全市范围内开展了“我们的中国梦”——送书画进万家“迎新春·送福送春联”文化志愿服务活动；二是数字文化馆数字化服务，推出线上春节特别活动——《文艺资源云展播》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 w:bidi="ar-SA"/>
        </w:rPr>
        <w:t>书法艺术普及课堂——《徐驰老师的书法小课堂》等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；三是高雅艺术惠民演出，成功举办各类文艺演出活动75场次；四是圆满完成了会务接待工作。发现的主要问题及原因：一是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</w:rPr>
        <w:t>各种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预算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执行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eastAsia="zh-CN"/>
        </w:rPr>
        <w:t>率有待加强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；二是绩效管理水平有待提高。下一步改进措施：一是加强预算编制准确性，提高资金执行效率；二是从预算和预算绩效管理，部门履职效能，资金分配、使用和管理，资产和财务管理、政府采购等方面归纳存在的问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>
      <w:pPr>
        <w:spacing w:line="480" w:lineRule="auto"/>
        <w:ind w:firstLine="627" w:firstLineChars="196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细化预算编制工作，认真做好预算的编制。</w:t>
      </w:r>
    </w:p>
    <w:p>
      <w:pPr>
        <w:spacing w:line="480" w:lineRule="auto"/>
        <w:ind w:firstLine="627" w:firstLineChars="196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建立健全财政绩效评价指标体系，加强工作人员的业务培训和财政绩效管理信息化建设，加大绩效评价结果的运用。</w:t>
      </w:r>
    </w:p>
    <w:p>
      <w:pPr>
        <w:spacing w:line="480" w:lineRule="auto"/>
        <w:ind w:firstLine="627" w:firstLineChars="196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加大对从事绩效管理工作人员的培训和力度，提高认识，重点培训绩效监控管理工作流程、绩效指标、引举实例、解读政策、树立绩效理念和强化责任意识等。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>
      <w:pPr>
        <w:pStyle w:val="13"/>
        <w:jc w:val="both"/>
        <w:rPr>
          <w:sz w:val="72"/>
          <w:szCs w:val="72"/>
        </w:rPr>
      </w:pPr>
    </w:p>
    <w:p>
      <w:pPr>
        <w:pStyle w:val="13"/>
        <w:jc w:val="center"/>
        <w:rPr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>
      <w:pPr>
        <w:pStyle w:val="4"/>
      </w:pPr>
    </w:p>
    <w:p/>
    <w:p>
      <w:pPr>
        <w:pStyle w:val="8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pStyle w:val="4"/>
        <w:ind w:left="0" w:leftChars="0" w:firstLine="0" w:firstLineChars="0"/>
      </w:pPr>
      <w:bookmarkStart w:id="0" w:name="_GoBack"/>
      <w:bookmarkEnd w:id="0"/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jY2ZGYyNGMzNDc5ZjRkY2VmZjIxM2FlMjJjZTcifQ=="/>
    <w:docVar w:name="KSO_WPS_MARK_KEY" w:val="6ec2a8c4-3e8b-4c2b-a795-428239a88030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42C4A18"/>
    <w:rsid w:val="043A0A9D"/>
    <w:rsid w:val="059958AD"/>
    <w:rsid w:val="0680104B"/>
    <w:rsid w:val="06D01B77"/>
    <w:rsid w:val="07AA2353"/>
    <w:rsid w:val="08F50329"/>
    <w:rsid w:val="098D610D"/>
    <w:rsid w:val="0A522CFE"/>
    <w:rsid w:val="0C6536A6"/>
    <w:rsid w:val="0DC80696"/>
    <w:rsid w:val="0E904C34"/>
    <w:rsid w:val="10207F73"/>
    <w:rsid w:val="12583BA5"/>
    <w:rsid w:val="13BA5B9C"/>
    <w:rsid w:val="1590743E"/>
    <w:rsid w:val="19A76BC3"/>
    <w:rsid w:val="1A9633A4"/>
    <w:rsid w:val="1AB02267"/>
    <w:rsid w:val="1C857FFF"/>
    <w:rsid w:val="1D97DEFF"/>
    <w:rsid w:val="1DA50519"/>
    <w:rsid w:val="1DFF72E5"/>
    <w:rsid w:val="1E68798D"/>
    <w:rsid w:val="1EFC6F07"/>
    <w:rsid w:val="209D0D1F"/>
    <w:rsid w:val="22AC03C2"/>
    <w:rsid w:val="251E59E0"/>
    <w:rsid w:val="278D7C5E"/>
    <w:rsid w:val="29F64FFC"/>
    <w:rsid w:val="2A9D05C4"/>
    <w:rsid w:val="2AE17A5A"/>
    <w:rsid w:val="2EFA758F"/>
    <w:rsid w:val="2FDF85B8"/>
    <w:rsid w:val="2FFFEE04"/>
    <w:rsid w:val="31C95635"/>
    <w:rsid w:val="31CF2D03"/>
    <w:rsid w:val="32EC5D21"/>
    <w:rsid w:val="33226E62"/>
    <w:rsid w:val="33AC7B81"/>
    <w:rsid w:val="34DF85B0"/>
    <w:rsid w:val="35D57C1B"/>
    <w:rsid w:val="37304231"/>
    <w:rsid w:val="3B8F36BC"/>
    <w:rsid w:val="428C60A6"/>
    <w:rsid w:val="48C12F4D"/>
    <w:rsid w:val="491FF225"/>
    <w:rsid w:val="4A992A6C"/>
    <w:rsid w:val="4AEF3C13"/>
    <w:rsid w:val="4B1603D7"/>
    <w:rsid w:val="4FFD214C"/>
    <w:rsid w:val="5139389D"/>
    <w:rsid w:val="51A91E3F"/>
    <w:rsid w:val="52B1259E"/>
    <w:rsid w:val="52ED441F"/>
    <w:rsid w:val="5352765A"/>
    <w:rsid w:val="54755D14"/>
    <w:rsid w:val="57460AC2"/>
    <w:rsid w:val="5777D4F5"/>
    <w:rsid w:val="59DD8326"/>
    <w:rsid w:val="5B8A5207"/>
    <w:rsid w:val="5DEF592A"/>
    <w:rsid w:val="5E7F4FE5"/>
    <w:rsid w:val="5FC6BB1E"/>
    <w:rsid w:val="5FF720F1"/>
    <w:rsid w:val="61405577"/>
    <w:rsid w:val="62B97D87"/>
    <w:rsid w:val="63B70D7D"/>
    <w:rsid w:val="65A27E70"/>
    <w:rsid w:val="67804688"/>
    <w:rsid w:val="67FF5C0B"/>
    <w:rsid w:val="68280048"/>
    <w:rsid w:val="688A4CB2"/>
    <w:rsid w:val="6BAA4A2F"/>
    <w:rsid w:val="6C4E084B"/>
    <w:rsid w:val="6EFC0924"/>
    <w:rsid w:val="6FA348AB"/>
    <w:rsid w:val="6FB74722"/>
    <w:rsid w:val="6FEF8B7E"/>
    <w:rsid w:val="6FFB253E"/>
    <w:rsid w:val="71A6591B"/>
    <w:rsid w:val="71F118FE"/>
    <w:rsid w:val="72B34E05"/>
    <w:rsid w:val="737D59BA"/>
    <w:rsid w:val="737F32B1"/>
    <w:rsid w:val="73FC663F"/>
    <w:rsid w:val="74292181"/>
    <w:rsid w:val="747B40EB"/>
    <w:rsid w:val="77C37683"/>
    <w:rsid w:val="79FF515B"/>
    <w:rsid w:val="7A3C635C"/>
    <w:rsid w:val="7C4B60AF"/>
    <w:rsid w:val="7CAD0B17"/>
    <w:rsid w:val="7D6C09D3"/>
    <w:rsid w:val="7E2E67E5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Cambria" w:hAnsi="Cambria" w:eastAsia="仿宋" w:cs="Times New Roman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5310</Words>
  <Characters>5803</Characters>
  <Lines>63</Lines>
  <Paragraphs>18</Paragraphs>
  <TotalTime>94</TotalTime>
  <ScaleCrop>false</ScaleCrop>
  <LinksUpToDate>false</LinksUpToDate>
  <CharactersWithSpaces>5822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妍</cp:lastModifiedBy>
  <cp:lastPrinted>2024-08-08T10:20:00Z</cp:lastPrinted>
  <dcterms:modified xsi:type="dcterms:W3CDTF">2025-08-27T01:53:42Z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98623D6660B449428EB8E073C6C952EA</vt:lpwstr>
  </property>
</Properties>
</file>