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岳阳市考古研究和文物保护中心</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spacing w:line="540" w:lineRule="exact"/>
        <w:jc w:val="both"/>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岳阳市考古研究和文物保护中心</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岳阳市考古研究和文物保护中心部门</w:t>
      </w:r>
      <w:r>
        <w:rPr>
          <w:rFonts w:hint="eastAsia" w:ascii="方正小标宋_GBK" w:hAnsi="方正小标宋_GBK" w:eastAsia="方正小标宋_GBK" w:cs="方正小标宋_GBK"/>
          <w:sz w:val="84"/>
          <w:szCs w:val="84"/>
        </w:rPr>
        <w:t>概况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2"/>
        <w:rPr>
          <w:rFonts w:hint="eastAsia" w:ascii="方正小标宋_GBK" w:hAnsi="方正小标宋_GBK" w:eastAsia="方正小标宋_GBK" w:cs="方正小标宋_GBK"/>
          <w:sz w:val="84"/>
          <w:szCs w:val="84"/>
        </w:rPr>
      </w:pPr>
    </w:p>
    <w:p>
      <w:pPr>
        <w:pStyle w:val="3"/>
        <w:ind w:left="0" w:leftChars="0" w:firstLine="0" w:firstLineChars="0"/>
        <w:rPr>
          <w:rFonts w:hint="eastAsia" w:ascii="方正小标宋_GBK" w:hAnsi="方正小标宋_GBK" w:eastAsia="方正小标宋_GBK" w:cs="方正小标宋_GBK"/>
          <w:sz w:val="84"/>
          <w:szCs w:val="84"/>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主要负责直属管理的各级文物保护单位的日常管理、保护利用等相关工作；承担全市的文物、考古发掘和非遗保护的业务，协助开展打击文物犯罪活动和涉案文物鉴定工作；负责指导全市不可移动文物普查和专项调查，参与各级文物保护单位的申报、推荐工作，协助开展历史文化名城名镇名村和传统村落的保护利用；参与拟订文化遗产的地方性法规、规章并组织实施的行政辅助工作；负责直属文物保护单位“四有”资料的收集整理建档，文物保护规划、项目计划、文物保护工程方案的编制、评审和报批的行政辅助，协助做好文物保护工程全流程管理；建立全市非物质文化遗产档案，组织开展全市非物质文化遗产的普查、挖掘、抢救、整理、项目业务指导等工作；除了以上各项为机关提供支持保障的职能，我中心还承担全市文物和非遗保护的业务培训、学术交流和研究，文物科技保护与修复的技术支撑，文物价值阐释传播等公益服务职能。</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岳阳市考古研究和文物保护中心</w:t>
      </w:r>
      <w:r>
        <w:rPr>
          <w:rFonts w:hint="eastAsia" w:ascii="Times New Roman" w:hAnsi="Times New Roman" w:eastAsia="仿宋_GB2312" w:cs="仿宋_GB2312"/>
          <w:bCs/>
          <w:kern w:val="0"/>
          <w:sz w:val="32"/>
          <w:szCs w:val="32"/>
        </w:rPr>
        <w:t>单位内设机构包括：综合、文物保护、非遗保护、宣教展示利用、文庙开放管理、岳阳楼书画院、离退休管理部、党办、考古9个内设机构和一个分支机构君山岛文物管理所。</w:t>
      </w:r>
    </w:p>
    <w:p>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岳阳市考古研究和文物保护中心</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年部门决算汇总公开单位构成包括：本单位无独立核算的下属单位，2023年度部门决算汇总公开单位仅包括</w:t>
      </w:r>
      <w:r>
        <w:rPr>
          <w:rFonts w:hint="eastAsia" w:ascii="Times New Roman" w:hAnsi="Times New Roman" w:eastAsia="仿宋_GB2312" w:cs="仿宋_GB2312"/>
          <w:bCs/>
          <w:kern w:val="0"/>
          <w:sz w:val="32"/>
          <w:szCs w:val="32"/>
          <w:lang w:eastAsia="zh-CN"/>
        </w:rPr>
        <w:t>岳阳市考古研究和文物保护中心</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pPr>
        <w:jc w:val="left"/>
        <w:rPr>
          <w:rFonts w:ascii="仿宋_GB2312" w:eastAsia="仿宋_GB2312" w:hAnsiTheme="minorEastAsia"/>
          <w:sz w:val="28"/>
          <w:szCs w:val="32"/>
        </w:rPr>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iCs/>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年度收、支总计2387.59万元。与上年相比，增加</w:t>
      </w:r>
      <w:r>
        <w:rPr>
          <w:rFonts w:hint="eastAsia" w:ascii="仿宋_GB2312" w:hAnsi="仿宋_GB2312" w:eastAsia="仿宋_GB2312" w:cs="仿宋_GB2312"/>
          <w:sz w:val="32"/>
          <w:szCs w:val="32"/>
          <w:lang w:val="en-US" w:eastAsia="zh-CN"/>
        </w:rPr>
        <w:t>256.19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12.02</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项目经费较上年增长。</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2387.59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1669.31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69.92</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718.28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30.08</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年度支出合计2385.39万元，其中：基本支出1436.6万元，占</w:t>
      </w:r>
      <w:r>
        <w:rPr>
          <w:rFonts w:hint="eastAsia" w:ascii="仿宋_GB2312" w:hAnsi="仿宋_GB2312" w:eastAsia="仿宋_GB2312" w:cs="仿宋_GB2312"/>
          <w:sz w:val="32"/>
          <w:szCs w:val="32"/>
          <w:lang w:val="en-US" w:eastAsia="zh-CN"/>
        </w:rPr>
        <w:t>60.22</w:t>
      </w:r>
      <w:r>
        <w:rPr>
          <w:rFonts w:hint="eastAsia" w:ascii="仿宋_GB2312" w:hAnsi="仿宋_GB2312" w:eastAsia="仿宋_GB2312" w:cs="仿宋_GB2312"/>
          <w:sz w:val="32"/>
          <w:szCs w:val="32"/>
        </w:rPr>
        <w:t>%；项目支出948.79万元，占</w:t>
      </w:r>
      <w:r>
        <w:rPr>
          <w:rFonts w:hint="eastAsia" w:ascii="仿宋_GB2312" w:hAnsi="仿宋_GB2312" w:eastAsia="仿宋_GB2312" w:cs="仿宋_GB2312"/>
          <w:sz w:val="32"/>
          <w:szCs w:val="32"/>
          <w:lang w:val="en-US" w:eastAsia="zh-CN"/>
        </w:rPr>
        <w:t>39.78</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i/>
          <w:iCs/>
          <w:color w:val="000000"/>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1669.31</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738.1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79.26</w:t>
      </w:r>
      <w:r>
        <w:rPr>
          <w:rFonts w:hint="eastAsia" w:ascii="仿宋_GB2312" w:hAnsi="仿宋_GB2312" w:eastAsia="仿宋_GB2312" w:cs="仿宋_GB2312"/>
          <w:sz w:val="32"/>
          <w:szCs w:val="32"/>
        </w:rPr>
        <w:t>%，主要是因为项目经费较上年增长</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i/>
          <w:iCs/>
          <w:color w:val="FF0000"/>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1669.31</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69.98</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738.1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79.26</w:t>
      </w:r>
      <w:r>
        <w:rPr>
          <w:rFonts w:hint="eastAsia" w:ascii="仿宋_GB2312" w:hAnsi="仿宋_GB2312" w:eastAsia="仿宋_GB2312" w:cs="仿宋_GB2312"/>
          <w:sz w:val="32"/>
          <w:szCs w:val="32"/>
        </w:rPr>
        <w:t>%，主要是因为项目经费较上年增长。</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1669.31</w:t>
      </w:r>
      <w:r>
        <w:rPr>
          <w:rFonts w:hint="eastAsia" w:ascii="仿宋_GB2312" w:hAnsi="仿宋_GB2312" w:eastAsia="仿宋_GB2312" w:cs="仿宋_GB2312"/>
          <w:sz w:val="32"/>
          <w:szCs w:val="32"/>
        </w:rPr>
        <w:t>万元，主要用于以下方面：文化旅游体育与传媒支出（类）支出1516.58万元，占</w:t>
      </w:r>
      <w:r>
        <w:rPr>
          <w:rFonts w:hint="eastAsia" w:ascii="仿宋_GB2312" w:hAnsi="仿宋_GB2312" w:eastAsia="仿宋_GB2312" w:cs="仿宋_GB2312"/>
          <w:sz w:val="32"/>
          <w:szCs w:val="32"/>
          <w:lang w:val="en-US" w:eastAsia="zh-CN"/>
        </w:rPr>
        <w:t>90.85</w:t>
      </w:r>
      <w:r>
        <w:rPr>
          <w:rFonts w:hint="eastAsia" w:ascii="仿宋_GB2312" w:hAnsi="仿宋_GB2312" w:eastAsia="仿宋_GB2312" w:cs="仿宋_GB2312"/>
          <w:sz w:val="32"/>
          <w:szCs w:val="32"/>
        </w:rPr>
        <w:t>%；社会保障和就业支出（类）支出70万元，占</w:t>
      </w:r>
      <w:r>
        <w:rPr>
          <w:rFonts w:hint="eastAsia" w:ascii="仿宋_GB2312" w:hAnsi="仿宋_GB2312" w:eastAsia="仿宋_GB2312" w:cs="仿宋_GB2312"/>
          <w:sz w:val="32"/>
          <w:szCs w:val="32"/>
          <w:lang w:val="en-US" w:eastAsia="zh-CN"/>
        </w:rPr>
        <w:t>4.19</w:t>
      </w:r>
      <w:r>
        <w:rPr>
          <w:rFonts w:hint="eastAsia" w:ascii="仿宋_GB2312" w:hAnsi="仿宋_GB2312" w:eastAsia="仿宋_GB2312" w:cs="仿宋_GB2312"/>
          <w:sz w:val="32"/>
          <w:szCs w:val="32"/>
        </w:rPr>
        <w:t>%;卫生健康支出（类）支出38.39万元，占</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%；住房保障支出（类）支出44.34万元，占</w:t>
      </w:r>
      <w:r>
        <w:rPr>
          <w:rFonts w:hint="eastAsia" w:ascii="仿宋_GB2312" w:hAnsi="仿宋_GB2312" w:eastAsia="仿宋_GB2312" w:cs="仿宋_GB2312"/>
          <w:sz w:val="32"/>
          <w:szCs w:val="32"/>
          <w:lang w:val="en-US" w:eastAsia="zh-CN"/>
        </w:rPr>
        <w:t>2.66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852.97</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1669.31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195.71</w:t>
      </w:r>
      <w:r>
        <w:rPr>
          <w:rFonts w:hint="eastAsia" w:ascii="仿宋_GB2312" w:hAnsi="仿宋_GB2312" w:eastAsia="仿宋_GB2312" w:cs="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1、文化旅游体育与传媒支出（类）文化和旅游（款）文化创作与保护（项）。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万元，无法计算占年初预算的</w:t>
      </w:r>
      <w:r>
        <w:rPr>
          <w:rFonts w:hint="eastAsia" w:ascii="仿宋_GB2312" w:hAnsi="仿宋_GB2312" w:eastAsia="仿宋_GB2312" w:cs="仿宋_GB2312"/>
          <w:color w:val="auto"/>
          <w:sz w:val="32"/>
          <w:szCs w:val="32"/>
          <w:lang w:val="en-US" w:eastAsia="zh-CN"/>
        </w:rPr>
        <w:t>比重</w:t>
      </w:r>
      <w:r>
        <w:rPr>
          <w:rFonts w:hint="eastAsia" w:ascii="仿宋_GB2312" w:hAnsi="仿宋_GB2312" w:eastAsia="仿宋_GB2312" w:cs="仿宋_GB2312"/>
          <w:color w:val="auto"/>
          <w:sz w:val="32"/>
          <w:szCs w:val="32"/>
        </w:rPr>
        <w:t>，决算数大于年初预算数的主要原因是：项目经费较上年增长</w:t>
      </w:r>
      <w:r>
        <w:rPr>
          <w:rFonts w:hint="eastAsia" w:ascii="Times New Roman" w:hAnsi="Times New Roman" w:eastAsia="仿宋_GB2312"/>
          <w:color w:val="auto"/>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2、文化旅游体育与传媒支出（类）文化和旅游（款）其他文化和旅游支出（项）。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万元，支出决算为301.23万元，无法计算占年初预算的</w:t>
      </w:r>
      <w:r>
        <w:rPr>
          <w:rFonts w:hint="eastAsia" w:ascii="仿宋_GB2312" w:hAnsi="仿宋_GB2312" w:eastAsia="仿宋_GB2312" w:cs="仿宋_GB2312"/>
          <w:color w:val="auto"/>
          <w:sz w:val="32"/>
          <w:szCs w:val="32"/>
          <w:lang w:val="en-US" w:eastAsia="zh-CN"/>
        </w:rPr>
        <w:t>比重</w:t>
      </w:r>
      <w:r>
        <w:rPr>
          <w:rFonts w:hint="eastAsia" w:ascii="仿宋_GB2312" w:hAnsi="仿宋_GB2312" w:eastAsia="仿宋_GB2312" w:cs="仿宋_GB2312"/>
          <w:color w:val="auto"/>
          <w:sz w:val="32"/>
          <w:szCs w:val="32"/>
        </w:rPr>
        <w:t>，决算数大于年初预算数的主要原因是：项目经费较上年增长</w:t>
      </w:r>
      <w:r>
        <w:rPr>
          <w:rFonts w:hint="eastAsia" w:ascii="Times New Roman" w:hAnsi="Times New Roman" w:eastAsia="仿宋_GB2312"/>
          <w:color w:val="auto"/>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、文化旅游体育与传媒支出（类）文物（款）文物保护（项）。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706.7</w:t>
      </w:r>
      <w:r>
        <w:rPr>
          <w:rFonts w:hint="eastAsia" w:ascii="仿宋_GB2312" w:hAnsi="仿宋_GB2312" w:eastAsia="仿宋_GB2312" w:cs="仿宋_GB2312"/>
          <w:color w:val="auto"/>
          <w:sz w:val="32"/>
          <w:szCs w:val="32"/>
        </w:rPr>
        <w:t>万元，支出决算为968.76万元，完成年初预算的</w:t>
      </w:r>
      <w:r>
        <w:rPr>
          <w:rFonts w:hint="eastAsia" w:ascii="仿宋_GB2312" w:hAnsi="仿宋_GB2312" w:eastAsia="仿宋_GB2312" w:cs="仿宋_GB2312"/>
          <w:color w:val="auto"/>
          <w:sz w:val="32"/>
          <w:szCs w:val="32"/>
          <w:lang w:val="en-US" w:eastAsia="zh-CN"/>
        </w:rPr>
        <w:t>137.08</w:t>
      </w:r>
      <w:r>
        <w:rPr>
          <w:rFonts w:hint="eastAsia" w:ascii="仿宋_GB2312" w:hAnsi="仿宋_GB2312" w:eastAsia="仿宋_GB2312" w:cs="仿宋_GB2312"/>
          <w:color w:val="auto"/>
          <w:sz w:val="32"/>
          <w:szCs w:val="32"/>
        </w:rPr>
        <w:t>%，决算数大于年初预算数的主要原因是：项目经费较上年增长</w:t>
      </w:r>
      <w:r>
        <w:rPr>
          <w:rFonts w:hint="eastAsia" w:ascii="仿宋_GB2312" w:hAnsi="仿宋_GB2312" w:eastAsia="仿宋_GB2312" w:cs="仿宋_GB2312"/>
          <w:color w:val="auto"/>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、文化旅游体育与传媒支出（类）文物（款）博物馆（项）。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万元，支出决算为4.52万元，无法计算占年初预算的</w:t>
      </w:r>
      <w:r>
        <w:rPr>
          <w:rFonts w:hint="eastAsia" w:ascii="仿宋_GB2312" w:hAnsi="仿宋_GB2312" w:eastAsia="仿宋_GB2312" w:cs="仿宋_GB2312"/>
          <w:color w:val="auto"/>
          <w:sz w:val="32"/>
          <w:szCs w:val="32"/>
          <w:lang w:val="en-US" w:eastAsia="zh-CN"/>
        </w:rPr>
        <w:t>比重</w:t>
      </w:r>
      <w:r>
        <w:rPr>
          <w:rFonts w:hint="eastAsia" w:ascii="仿宋_GB2312" w:hAnsi="仿宋_GB2312" w:eastAsia="仿宋_GB2312" w:cs="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单位正常运行的支出。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、文化旅游体育与传媒支出（类）文物（款）其他文物支出（项）。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万元，支出决算为235.57万元，无法计算占年初预算的</w:t>
      </w:r>
      <w:r>
        <w:rPr>
          <w:rFonts w:hint="eastAsia" w:ascii="仿宋_GB2312" w:hAnsi="仿宋_GB2312" w:eastAsia="仿宋_GB2312" w:cs="仿宋_GB2312"/>
          <w:color w:val="auto"/>
          <w:sz w:val="32"/>
          <w:szCs w:val="32"/>
          <w:lang w:val="en-US" w:eastAsia="zh-CN"/>
        </w:rPr>
        <w:t>比重</w:t>
      </w:r>
      <w:r>
        <w:rPr>
          <w:rFonts w:hint="eastAsia" w:ascii="仿宋_GB2312" w:hAnsi="仿宋_GB2312" w:eastAsia="仿宋_GB2312" w:cs="仿宋_GB2312"/>
          <w:color w:val="auto"/>
          <w:sz w:val="32"/>
          <w:szCs w:val="32"/>
        </w:rPr>
        <w:t>，决算数大于年初预算数的主要原因是：项目经费较上年增长</w:t>
      </w:r>
      <w:r>
        <w:rPr>
          <w:rFonts w:hint="eastAsia" w:ascii="Times New Roman" w:hAnsi="Times New Roman" w:eastAsia="仿宋_GB2312"/>
          <w:color w:val="auto"/>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、社会保障和就业支出（类）行政事业单位养老支出（款）事业单位离退休（项）。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15.3</w:t>
      </w:r>
      <w:r>
        <w:rPr>
          <w:rFonts w:hint="eastAsia" w:ascii="仿宋_GB2312" w:hAnsi="仿宋_GB2312" w:eastAsia="仿宋_GB2312" w:cs="仿宋_GB2312"/>
          <w:color w:val="auto"/>
          <w:sz w:val="32"/>
          <w:szCs w:val="32"/>
        </w:rPr>
        <w:t>万元，支出决算为16.91万元，完成年初预算的</w:t>
      </w:r>
      <w:r>
        <w:rPr>
          <w:rFonts w:hint="eastAsia" w:ascii="仿宋_GB2312" w:hAnsi="仿宋_GB2312" w:eastAsia="仿宋_GB2312" w:cs="仿宋_GB2312"/>
          <w:color w:val="auto"/>
          <w:sz w:val="32"/>
          <w:szCs w:val="32"/>
          <w:lang w:val="en-US" w:eastAsia="zh-CN"/>
        </w:rPr>
        <w:t>110.52</w:t>
      </w:r>
      <w:r>
        <w:rPr>
          <w:rFonts w:hint="eastAsia" w:ascii="仿宋_GB2312" w:hAnsi="仿宋_GB2312" w:eastAsia="仿宋_GB2312" w:cs="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单位正常运行的支出，预算数与决算数相近。</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、社会保障和就业支出（类）行政事业单位养老支出（款）机关事业单位基本养老保险缴费支出（项）。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46.32</w:t>
      </w:r>
      <w:r>
        <w:rPr>
          <w:rFonts w:hint="eastAsia" w:ascii="仿宋_GB2312" w:hAnsi="仿宋_GB2312" w:eastAsia="仿宋_GB2312" w:cs="仿宋_GB2312"/>
          <w:color w:val="auto"/>
          <w:sz w:val="32"/>
          <w:szCs w:val="32"/>
        </w:rPr>
        <w:t>万元，支出决算为46.32万元，完成年初预算的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单位正常运行的支出，预算数与决算数相近。</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、社会保障和就业支出（类）抚恤（款）其他优抚支出（项）。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万元，支出决算为5.21万元，无法计算占年初预算的</w:t>
      </w:r>
      <w:r>
        <w:rPr>
          <w:rFonts w:hint="eastAsia" w:ascii="仿宋_GB2312" w:hAnsi="仿宋_GB2312" w:eastAsia="仿宋_GB2312" w:cs="仿宋_GB2312"/>
          <w:color w:val="auto"/>
          <w:sz w:val="32"/>
          <w:szCs w:val="32"/>
          <w:lang w:val="en-US" w:eastAsia="zh-CN"/>
        </w:rPr>
        <w:t>比重</w:t>
      </w:r>
      <w:r>
        <w:rPr>
          <w:rFonts w:hint="eastAsia" w:ascii="仿宋_GB2312" w:hAnsi="仿宋_GB2312" w:eastAsia="仿宋_GB2312" w:cs="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单位正常运行的支出。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、社会保障和就业支出（类）其他社会保障和就业支出（款）其他社会保障和就业支出（项）。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1.41</w:t>
      </w:r>
      <w:r>
        <w:rPr>
          <w:rFonts w:hint="eastAsia" w:ascii="仿宋_GB2312" w:hAnsi="仿宋_GB2312" w:eastAsia="仿宋_GB2312" w:cs="仿宋_GB2312"/>
          <w:color w:val="auto"/>
          <w:sz w:val="32"/>
          <w:szCs w:val="32"/>
        </w:rPr>
        <w:t>万元，支出决算为1.56万元，完成年初预算的</w:t>
      </w:r>
      <w:r>
        <w:rPr>
          <w:rFonts w:hint="eastAsia" w:ascii="仿宋_GB2312" w:hAnsi="仿宋_GB2312" w:eastAsia="仿宋_GB2312" w:cs="仿宋_GB2312"/>
          <w:color w:val="auto"/>
          <w:sz w:val="32"/>
          <w:szCs w:val="32"/>
          <w:lang w:val="en-US" w:eastAsia="zh-CN"/>
        </w:rPr>
        <w:t>110.64</w:t>
      </w:r>
      <w:r>
        <w:rPr>
          <w:rFonts w:hint="eastAsia" w:ascii="仿宋_GB2312" w:hAnsi="仿宋_GB2312" w:eastAsia="仿宋_GB2312" w:cs="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单位正常运行的支出。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、卫生健康支出（类）行政事业单位医疗（款）事业单位医疗（项）。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37.41</w:t>
      </w:r>
      <w:r>
        <w:rPr>
          <w:rFonts w:hint="eastAsia" w:ascii="仿宋_GB2312" w:hAnsi="仿宋_GB2312" w:eastAsia="仿宋_GB2312" w:cs="仿宋_GB2312"/>
          <w:sz w:val="32"/>
          <w:szCs w:val="32"/>
        </w:rPr>
        <w:t>万元，支出决算为38.39万元，完成年初预算的</w:t>
      </w:r>
      <w:r>
        <w:rPr>
          <w:rFonts w:hint="eastAsia" w:ascii="仿宋_GB2312" w:hAnsi="仿宋_GB2312" w:eastAsia="仿宋_GB2312" w:cs="仿宋_GB2312"/>
          <w:sz w:val="32"/>
          <w:szCs w:val="32"/>
          <w:lang w:val="en-US" w:eastAsia="zh-CN"/>
        </w:rPr>
        <w:t>102.62</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lang w:val="en-US" w:eastAsia="zh-CN"/>
        </w:rPr>
        <w:t>单位正常运行的支出，预算数与决算数相近。</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、住房保障支出（类）住房改革支出（款）住房公积金（项）。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45.83</w:t>
      </w:r>
      <w:r>
        <w:rPr>
          <w:rFonts w:hint="eastAsia" w:ascii="仿宋_GB2312" w:hAnsi="仿宋_GB2312" w:eastAsia="仿宋_GB2312" w:cs="仿宋_GB2312"/>
          <w:sz w:val="32"/>
          <w:szCs w:val="32"/>
        </w:rPr>
        <w:t>万元，支出决算为44.34万元，完成年初预算的</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%，决算数小于年初预算数的主要原因是：</w:t>
      </w:r>
      <w:r>
        <w:rPr>
          <w:rFonts w:hint="eastAsia" w:ascii="Times New Roman" w:hAnsi="Times New Roman" w:eastAsia="仿宋_GB2312"/>
          <w:sz w:val="32"/>
          <w:szCs w:val="32"/>
          <w:lang w:val="en-US" w:eastAsia="zh-CN"/>
        </w:rPr>
        <w:t>单位正常运行的支出，预算数与决算数相近。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720.52</w:t>
      </w:r>
      <w:r>
        <w:rPr>
          <w:rFonts w:hint="eastAsia" w:ascii="仿宋_GB2312" w:hAnsi="仿宋_GB2312" w:eastAsia="仿宋_GB2312" w:cs="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667.31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92.62</w:t>
      </w:r>
      <w:r>
        <w:rPr>
          <w:rFonts w:hint="eastAsia" w:ascii="仿宋_GB2312" w:hAnsi="仿宋_GB2312" w:eastAsia="仿宋_GB2312" w:cs="仿宋_GB2312"/>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53.21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7.38</w:t>
      </w:r>
      <w:r>
        <w:rPr>
          <w:rFonts w:hint="eastAsia" w:ascii="仿宋_GB2312" w:hAnsi="仿宋_GB2312" w:eastAsia="仿宋_GB2312" w:cs="仿宋_GB2312"/>
          <w:sz w:val="32"/>
          <w:szCs w:val="32"/>
        </w:rPr>
        <w:t>%，主要包括办公费、印刷费、咨询费、手续费、水费、电费、邮电费、取暖费、物业管理费、差旅费、因公出国（境）费用、维修（护）费、租赁费、会议费、培训费、公务接待费、专用材料费、劳务费、委托业务费、工会经费、福利费、其他交通费用、税金及附加费用、其他商品和服务支出、办公设备购置、专用设备购置。</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2"/>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Times New Roman" w:hAnsi="Times New Roman" w:eastAsia="仿宋_GB2312"/>
          <w:sz w:val="32"/>
          <w:szCs w:val="32"/>
          <w:lang w:val="en-US" w:eastAsia="zh-CN"/>
        </w:rPr>
        <w:t>我单位严格按预算执行决算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6.67</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与上年金额相近，为单位正常支出</w:t>
      </w:r>
      <w:r>
        <w:rPr>
          <w:rFonts w:hint="eastAsia" w:ascii="仿宋_GB2312" w:hAnsi="仿宋_GB2312" w:eastAsia="仿宋_GB2312" w:cs="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因公出国（境）费支，与上年相比增加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因公出国（境）费支。</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Times New Roman" w:hAnsi="Times New Roman" w:eastAsia="仿宋_GB2312"/>
          <w:sz w:val="32"/>
          <w:szCs w:val="32"/>
          <w:lang w:val="en-US" w:eastAsia="zh-CN"/>
        </w:rPr>
        <w:t>我单位严格按预算执行决算</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6.67</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与上年金额相近，为单位正常支出</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公务用车购置费支出，与上年相比增加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%,增长的主要原因是无公务用车购置费支出。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bookmarkStart w:id="0" w:name="_GoBack"/>
      <w:bookmarkEnd w:id="0"/>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eastAsia="zh-CN"/>
        </w:rPr>
        <w:t>无公务用车</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无公务用车</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b/>
          <w:bCs/>
          <w:i/>
          <w:color w:val="auto"/>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eastAsia="zh-CN"/>
        </w:rPr>
        <w:t>娄底文旅局考察、常德文旅局考察、湖南科技大学文庙文化研究中心考察</w:t>
      </w:r>
      <w:r>
        <w:rPr>
          <w:rFonts w:hint="eastAsia" w:ascii="仿宋_GB2312" w:hAnsi="仿宋_GB2312" w:eastAsia="仿宋_GB2312" w:cs="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万元，其中：公务用车购置费0万元，当年没有购置公务用车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无公务用车</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2"/>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53.21</w:t>
      </w:r>
      <w:r>
        <w:rPr>
          <w:rFonts w:hint="eastAsia" w:ascii="仿宋_GB2312" w:hAnsi="仿宋_GB2312" w:eastAsia="仿宋_GB2312" w:cs="仿宋_GB2312"/>
          <w:sz w:val="32"/>
          <w:szCs w:val="32"/>
        </w:rPr>
        <w:t>万元，比年初预算数减少</w:t>
      </w:r>
      <w:r>
        <w:rPr>
          <w:rFonts w:hint="eastAsia" w:ascii="仿宋_GB2312" w:hAnsi="仿宋_GB2312" w:eastAsia="仿宋_GB2312" w:cs="仿宋_GB2312"/>
          <w:sz w:val="32"/>
          <w:szCs w:val="32"/>
          <w:lang w:val="en-US" w:eastAsia="zh-CN"/>
        </w:rPr>
        <w:t>9.55</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15.22</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单位按实际情况正常支出。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年度，会议费年初预算0.24万元，支出决算为0.24万元，完成年初预算的100%。用于召开中国文物学会历史文化名楼保护专业委员会2023年理事会暨第十八届名楼论坛会议，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人，内容为中国文物学会历史文化名楼保护专业委员会2023年理事会暨第十八届名楼论坛</w:t>
      </w:r>
      <w:r>
        <w:rPr>
          <w:rFonts w:hint="eastAsia" w:ascii="仿宋_GB2312" w:hAnsi="仿宋_GB2312" w:eastAsia="仿宋_GB2312" w:cs="仿宋_GB2312"/>
          <w:sz w:val="32"/>
          <w:szCs w:val="32"/>
          <w:lang w:eastAsia="zh-CN"/>
        </w:rPr>
        <w:t>会务费。</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1.55万元，支出决算为1.55万元，完成年初预算的100%。用于开展全市党外知识分子代表人士培训，消防职业技能培训，员工教育培训，全市新任及年轻县处级领导干部廉政培训，事业单位工作人员培训，人数96人，内容为全市党外知识分子代表人士培训，消防职业技能培训，员工教育培训，全市新任及年轻县处级领导干部廉政培训，事业单位工作人员培训。</w:t>
      </w:r>
    </w:p>
    <w:p>
      <w:pPr>
        <w:widowControl w:val="0"/>
        <w:autoSpaceDE w:val="0"/>
        <w:autoSpaceDN w:val="0"/>
        <w:adjustRightInd w:val="0"/>
        <w:ind w:firstLine="640" w:firstLineChars="200"/>
        <w:rPr>
          <w:rFonts w:hint="eastAsia" w:ascii="楷体" w:hAnsi="楷体" w:eastAsia="楷体" w:cs="楷体"/>
          <w:b/>
          <w:bCs/>
          <w:i w:val="0"/>
          <w:iCs w:val="0"/>
          <w:color w:val="FF0000"/>
          <w:kern w:val="0"/>
          <w:sz w:val="40"/>
          <w:szCs w:val="40"/>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举办节庆、晚会、论坛、赛事活动年初预算0万元，支出决算为0万元，主要是本单位无举办节庆、晚会、论坛、赛事等活动的预算和支出决算数。</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FF0000"/>
          <w:sz w:val="32"/>
          <w:szCs w:val="32"/>
          <w:lang w:val="en-US"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年度政府采购支出总额970.06万元，其中：政府采购货物支出38.98万元、政府采购工程支出505.82万元、政府采购服务支出425.26万元。授予中小企业合同金额970.06万元，占政府采购支出总额的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970.06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i w:val="0"/>
          <w:iCs/>
          <w:color w:val="FF0000"/>
          <w:sz w:val="32"/>
          <w:szCs w:val="32"/>
          <w:lang w:val="en-US" w:eastAsia="zh-CN"/>
        </w:rPr>
      </w:pPr>
      <w:r>
        <w:rPr>
          <w:rFonts w:hint="eastAsia" w:ascii="仿宋_GB2312" w:hAnsi="仿宋_GB2312" w:eastAsia="仿宋_GB2312" w:cs="仿宋_GB2312"/>
          <w:color w:val="auto"/>
          <w:sz w:val="32"/>
          <w:szCs w:val="32"/>
        </w:rPr>
        <w:t>截至2023年12月31日，本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1669.31万元，政府性基金预算支出0万元，国有资本经营预算支出0万元。从评价情况来看，整体支出绩效评价中，2023年整体支出1669.31万元，其中：基本支出720.53万元，项目支出948.79万元，本单位整体支出绩效自评综合评分100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2个，共涉及资金326.3万元，占一般公共预算项目支出总额的34.39%。组织对政府性基金预算项目支出开展绩效自评，项目0个，共涉及资金0万元，占政府性基金预算项目支出总额的0%。组织对国有资本经营预算项目支出开展绩效自评，项目0个，共涉及资金0万元，占国有资本经营预算项目支出总额的0%。从评价情况来看，项目绩效自评得分100分，评价结果等次为优秀。</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FF0000"/>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2387.59万元，执行数为2385.38万元，完成预算的99.9%。绩效目标完成情况：一是在周末、黄金周、夜间开放期间，由班子成员带头，安排全体员工轮流值守岳阳楼、岳阳文庙、慈氏塔3处国保文物和鲁肃墓省保文物，做好了重点文物保护区域的巡查、督导工作。全年无文物安全事故；二是2023年6月6日，市委常委、副市长李美云主持召开“市二中改扩建及岳阳文庙恢复传统规制”协调会。8月14日，市政府出台相关会议纪要，对调整土地划拨等问题进行明确，将市二中约14.7亩地（北侧5272.42m²、南侧4467m²）,连同市二中现有办公楼划归岳阳文庙，用于恢复岳阳文庙景区中轴线主院落和东院落传统规制和格局。目前，“岳阳文庙保护展示及配套服务设施建设项目”已进入国家发改委项目库，已完成项目可行性研究报告的编制、项目勘察设计方案的编制、建设用地权属勘测定界图的勘测绘制、建设范围地下人防工程勘测等工作，林业选址论证、文物影响评估、方案评审正在按程序报省文物和国家文物局审批；三是为进一步激活文庙文化魅力，引进专项资金300万元重点推进岳阳文庙《科举·岳阳》展陈项目建设，通过展览让人民群众走进文庙、认识文庙、了解文庙，该项目已于11月底完工并对游客开放；四是年初邀请省级文物专家刘绍军教授撰写了《君山摩崖石刻修缮工程项目计划书》，并向省文物局提交了摩崖石刻立项申报，已于10月26日通过省局审批；湘妃祠屋面修缮保护工程已于上半年完成，下半年又对湘妃祠内部进行了修缮保护；五是配合市文旅局承办了2023年文化和自然遗产日宣传活动，以“洞庭一味·鱼韵悠长”为主题，通过巴陵全鱼席制作厨艺大赛、非遗项目展演、展示、展销及新媒体宣传等形式，加强全市非遗交流互动，凝聚更加广泛的社会关注和保护共识，全面展示近年来我市非遗保护传承工作取得的成果；六是配合岳阳地区基本建设进行文物调查、勘探和抢救性考古发掘。共涉及“三建”工地57余个，涉及面积620万余平方米。完成了岳阳市第三水厂、良心堡唐墓、湘阴S506公路明清墓葬等4个抢救性考古发掘，共发掘墓葬16座，出土文物7件；协助省文物考古研究所完成国家主动性文物考古课题；积极开展文物修复和科学研究。</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FF0000"/>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一是未落实单位内部财会监督主体责任，未建立“五位一体”财会监督体系中的单位内部监督制度；二是未落实中央、省、市财会监督有关决策部署方案。下一步改进措施：一是建立健全“五位一体”财会监督体系。一是加强组织领导，压实主体责任。召开中心党委班子会，研究财政监督检查相关问题的整改方案，做好对财会监督工作的督促和指导；二是坚持问题导向，强化协同联动。与纪检办做好对本单位财会工作的日常监督，形成齐抓共管的财会监督新局面；三是提高思想认真，加强业务学习。组织相关部室及人员学习财会监督单位内部监督制度，及时传达学习相关政策和文件精神；二是进一步落实中央、省、市财会监督有关决策部署方案，根据《岳阳市考古研究和文物保护中心关于进一步加强财会监督的工作方案》，责任分工到部室到人；把财会监督的相关政策文和文件精神的学习纳入中心党委班子会议题；按上级要求严格落实工作部署，不断完善细化单位内部监督制度。</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numPr>
          <w:ilvl w:val="0"/>
          <w:numId w:val="0"/>
        </w:numPr>
        <w:autoSpaceDE w:val="0"/>
        <w:autoSpaceDN w:val="0"/>
        <w:adjustRightInd w:val="0"/>
        <w:jc w:val="left"/>
        <w:rPr>
          <w:rFonts w:hint="default" w:ascii="楷体" w:hAnsi="楷体" w:eastAsia="楷体" w:cs="楷体"/>
          <w:b/>
          <w:bCs/>
          <w:i w:val="0"/>
          <w:iCs w:val="0"/>
          <w:color w:val="FF0000"/>
          <w:kern w:val="0"/>
          <w:sz w:val="36"/>
          <w:szCs w:val="36"/>
          <w:lang w:val="en-US" w:eastAsia="zh-CN"/>
        </w:rPr>
      </w:pPr>
    </w:p>
    <w:p>
      <w:pPr>
        <w:pStyle w:val="12"/>
        <w:jc w:val="both"/>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0"/>
          <w:szCs w:val="70"/>
          <w:lang w:eastAsia="zh-CN"/>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
      <w:pPr>
        <w:pStyle w:val="2"/>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both"/>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9274C"/>
    <w:rsid w:val="02EF2F6A"/>
    <w:rsid w:val="059958AD"/>
    <w:rsid w:val="05D94925"/>
    <w:rsid w:val="06C857E7"/>
    <w:rsid w:val="08C24A73"/>
    <w:rsid w:val="08E13784"/>
    <w:rsid w:val="0C616581"/>
    <w:rsid w:val="0C7D4C3A"/>
    <w:rsid w:val="0DF668D0"/>
    <w:rsid w:val="10C92731"/>
    <w:rsid w:val="12583BA5"/>
    <w:rsid w:val="12E63D11"/>
    <w:rsid w:val="13BA5B9C"/>
    <w:rsid w:val="14DF3FB8"/>
    <w:rsid w:val="150C5718"/>
    <w:rsid w:val="15216F1B"/>
    <w:rsid w:val="15F42E8B"/>
    <w:rsid w:val="16810BF3"/>
    <w:rsid w:val="17DE1C8A"/>
    <w:rsid w:val="17E91438"/>
    <w:rsid w:val="18E24DE3"/>
    <w:rsid w:val="1A1B58EB"/>
    <w:rsid w:val="1B600FA2"/>
    <w:rsid w:val="1BD63C8D"/>
    <w:rsid w:val="1D091930"/>
    <w:rsid w:val="1D97DEFF"/>
    <w:rsid w:val="1DFF72E5"/>
    <w:rsid w:val="1EFC6F07"/>
    <w:rsid w:val="1EFC7A22"/>
    <w:rsid w:val="1F0527A6"/>
    <w:rsid w:val="1F05338C"/>
    <w:rsid w:val="212F0378"/>
    <w:rsid w:val="21672609"/>
    <w:rsid w:val="221A105A"/>
    <w:rsid w:val="22AC03C2"/>
    <w:rsid w:val="24651DA9"/>
    <w:rsid w:val="25276723"/>
    <w:rsid w:val="26F747E5"/>
    <w:rsid w:val="291D2698"/>
    <w:rsid w:val="2A46291A"/>
    <w:rsid w:val="2A820352"/>
    <w:rsid w:val="2BA85539"/>
    <w:rsid w:val="2D302834"/>
    <w:rsid w:val="2FDF85B8"/>
    <w:rsid w:val="2FE97876"/>
    <w:rsid w:val="2FFFEE04"/>
    <w:rsid w:val="30133FEC"/>
    <w:rsid w:val="31C95635"/>
    <w:rsid w:val="31D16C6E"/>
    <w:rsid w:val="34DF85B0"/>
    <w:rsid w:val="35625AE9"/>
    <w:rsid w:val="367A503A"/>
    <w:rsid w:val="373C1E2F"/>
    <w:rsid w:val="3B8F36BC"/>
    <w:rsid w:val="3E21679C"/>
    <w:rsid w:val="40A86482"/>
    <w:rsid w:val="418238EE"/>
    <w:rsid w:val="430A198E"/>
    <w:rsid w:val="43532D9C"/>
    <w:rsid w:val="44CE7B45"/>
    <w:rsid w:val="46B53E1D"/>
    <w:rsid w:val="4765095D"/>
    <w:rsid w:val="47BC1C27"/>
    <w:rsid w:val="47FD1162"/>
    <w:rsid w:val="48D65CD9"/>
    <w:rsid w:val="49057A43"/>
    <w:rsid w:val="491FF225"/>
    <w:rsid w:val="493C5CB3"/>
    <w:rsid w:val="4BF46358"/>
    <w:rsid w:val="4DDC79BF"/>
    <w:rsid w:val="4FF07EA2"/>
    <w:rsid w:val="4FFD214C"/>
    <w:rsid w:val="518B361C"/>
    <w:rsid w:val="519B0C71"/>
    <w:rsid w:val="5352765A"/>
    <w:rsid w:val="53957C99"/>
    <w:rsid w:val="56115165"/>
    <w:rsid w:val="5777D4F5"/>
    <w:rsid w:val="580A63DC"/>
    <w:rsid w:val="59D14186"/>
    <w:rsid w:val="59DD8326"/>
    <w:rsid w:val="5B131D15"/>
    <w:rsid w:val="5D863421"/>
    <w:rsid w:val="5DC425EE"/>
    <w:rsid w:val="5DEF592A"/>
    <w:rsid w:val="5FC6BB1E"/>
    <w:rsid w:val="5FF720F1"/>
    <w:rsid w:val="62C46C97"/>
    <w:rsid w:val="64EB4C93"/>
    <w:rsid w:val="67AA6005"/>
    <w:rsid w:val="67FF5C0B"/>
    <w:rsid w:val="6A7400B6"/>
    <w:rsid w:val="6BAA4A2F"/>
    <w:rsid w:val="6ED26B2E"/>
    <w:rsid w:val="6EFC0924"/>
    <w:rsid w:val="6FB74722"/>
    <w:rsid w:val="6FEF8B7E"/>
    <w:rsid w:val="700E0800"/>
    <w:rsid w:val="70610333"/>
    <w:rsid w:val="70D40750"/>
    <w:rsid w:val="71A6591B"/>
    <w:rsid w:val="73491A49"/>
    <w:rsid w:val="7378493E"/>
    <w:rsid w:val="737D59BA"/>
    <w:rsid w:val="737F32B1"/>
    <w:rsid w:val="75AB06AA"/>
    <w:rsid w:val="77047750"/>
    <w:rsid w:val="77C37683"/>
    <w:rsid w:val="79FF515B"/>
    <w:rsid w:val="7A441264"/>
    <w:rsid w:val="7A48312B"/>
    <w:rsid w:val="7A7A258C"/>
    <w:rsid w:val="7DC1685E"/>
    <w:rsid w:val="7E9E1962"/>
    <w:rsid w:val="7E9F11B4"/>
    <w:rsid w:val="7F37EC1E"/>
    <w:rsid w:val="7F7DCD9D"/>
    <w:rsid w:val="7F970A6F"/>
    <w:rsid w:val="7FC1FFF3"/>
    <w:rsid w:val="7FC69637"/>
    <w:rsid w:val="7FDF8620"/>
    <w:rsid w:val="7FE900B8"/>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24</TotalTime>
  <ScaleCrop>false</ScaleCrop>
  <LinksUpToDate>false</LinksUpToDate>
  <CharactersWithSpaces>9008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2025-08-25T03:48:31Z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98623D6660B449428EB8E073C6C952EA</vt:lpwstr>
  </property>
</Properties>
</file>