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AD65B">
      <w:pPr>
        <w:pStyle w:val="11"/>
        <w:framePr w:wrap="auto" w:vAnchor="margin" w:hAnchor="text" w:yAlign="inline"/>
        <w:jc w:val="center"/>
        <w:rPr>
          <w:sz w:val="56"/>
          <w:szCs w:val="56"/>
        </w:rPr>
      </w:pPr>
    </w:p>
    <w:p w14:paraId="6F9783A3">
      <w:pPr>
        <w:pStyle w:val="11"/>
        <w:framePr w:wrap="auto" w:vAnchor="margin" w:hAnchor="text" w:yAlign="inline"/>
        <w:jc w:val="center"/>
        <w:rPr>
          <w:sz w:val="56"/>
          <w:szCs w:val="56"/>
        </w:rPr>
      </w:pPr>
    </w:p>
    <w:p w14:paraId="34680974">
      <w:pPr>
        <w:pStyle w:val="11"/>
        <w:framePr w:wrap="auto" w:vAnchor="margin" w:hAnchor="text" w:yAlign="inline"/>
        <w:jc w:val="center"/>
        <w:rPr>
          <w:sz w:val="84"/>
          <w:szCs w:val="84"/>
        </w:rPr>
      </w:pPr>
    </w:p>
    <w:p w14:paraId="0A2EE047">
      <w:pPr>
        <w:pStyle w:val="11"/>
        <w:framePr w:wrap="auto" w:vAnchor="margin" w:hAnchor="text" w:yAlign="inline"/>
        <w:jc w:val="center"/>
        <w:rPr>
          <w:sz w:val="84"/>
          <w:szCs w:val="84"/>
        </w:rPr>
      </w:pPr>
    </w:p>
    <w:p w14:paraId="191DB020">
      <w:pPr>
        <w:pStyle w:val="11"/>
        <w:framePr w:wrap="auto" w:vAnchor="margin" w:hAnchor="text" w:yAlign="inline"/>
        <w:jc w:val="center"/>
        <w:rPr>
          <w:rFonts w:ascii="方正小标宋_GBK" w:hAnsi="方正小标宋_GBK" w:eastAsia="方正小标宋_GBK" w:cs="方正小标宋_GBK"/>
          <w:sz w:val="84"/>
          <w:szCs w:val="84"/>
        </w:rPr>
      </w:pPr>
      <w:r>
        <w:rPr>
          <w:rFonts w:ascii="方正小标宋_GBK" w:hAnsi="方正小标宋_GBK" w:eastAsia="方正小标宋_GBK" w:cs="方正小标宋_GBK"/>
          <w:sz w:val="84"/>
          <w:szCs w:val="84"/>
          <w:rtl w:val="0"/>
          <w:lang w:val="en-US"/>
        </w:rPr>
        <w:t>2023</w:t>
      </w:r>
      <w:r>
        <w:rPr>
          <w:rFonts w:ascii="方正小标宋_GBK" w:hAnsi="方正小标宋_GBK" w:eastAsia="方正小标宋_GBK" w:cs="方正小标宋_GBK"/>
          <w:sz w:val="84"/>
          <w:szCs w:val="84"/>
          <w:rtl w:val="0"/>
          <w:lang w:val="zh-TW" w:eastAsia="zh-TW"/>
        </w:rPr>
        <w:t>年度</w:t>
      </w:r>
    </w:p>
    <w:p w14:paraId="2E8B1C66">
      <w:pPr>
        <w:pStyle w:val="11"/>
        <w:framePr w:wrap="auto" w:vAnchor="margin" w:hAnchor="text" w:yAlign="inline"/>
        <w:jc w:val="center"/>
        <w:rPr>
          <w:rFonts w:ascii="方正小标宋_GBK" w:hAnsi="方正小标宋_GBK" w:eastAsia="方正小标宋_GBK" w:cs="方正小标宋_GBK"/>
          <w:sz w:val="84"/>
          <w:szCs w:val="84"/>
        </w:rPr>
      </w:pPr>
      <w:r>
        <w:rPr>
          <w:rFonts w:ascii="方正小标宋_GBK" w:hAnsi="方正小标宋_GBK" w:eastAsia="方正小标宋_GBK" w:cs="方正小标宋_GBK"/>
          <w:sz w:val="84"/>
          <w:szCs w:val="84"/>
          <w:rtl w:val="0"/>
          <w:lang w:val="zh-CN" w:eastAsia="zh-CN"/>
        </w:rPr>
        <w:t>岳阳市博物馆单位</w:t>
      </w:r>
      <w:r>
        <w:rPr>
          <w:rFonts w:ascii="方正小标宋_GBK" w:hAnsi="方正小标宋_GBK" w:eastAsia="方正小标宋_GBK" w:cs="方正小标宋_GBK"/>
          <w:sz w:val="84"/>
          <w:szCs w:val="84"/>
          <w:rtl w:val="0"/>
          <w:lang w:val="zh-TW" w:eastAsia="zh-TW"/>
        </w:rPr>
        <w:t>决算</w:t>
      </w:r>
    </w:p>
    <w:p w14:paraId="6096DF85">
      <w:pPr>
        <w:pStyle w:val="11"/>
        <w:framePr w:wrap="auto" w:vAnchor="margin" w:hAnchor="text" w:yAlign="inline"/>
        <w:jc w:val="center"/>
        <w:rPr>
          <w:rFonts w:ascii="方正小标宋_GBK" w:hAnsi="方正小标宋_GBK" w:eastAsia="方正小标宋_GBK" w:cs="方正小标宋_GBK"/>
          <w:sz w:val="56"/>
          <w:szCs w:val="56"/>
          <w:lang w:val="zh-TW" w:eastAsia="zh-TW"/>
        </w:rPr>
      </w:pPr>
    </w:p>
    <w:p w14:paraId="6F3562F4">
      <w:pPr>
        <w:pStyle w:val="11"/>
        <w:framePr w:wrap="auto" w:vAnchor="margin" w:hAnchor="text" w:yAlign="inline"/>
        <w:jc w:val="center"/>
        <w:rPr>
          <w:sz w:val="56"/>
          <w:szCs w:val="56"/>
        </w:rPr>
      </w:pPr>
    </w:p>
    <w:p w14:paraId="61F7FCAD">
      <w:pPr>
        <w:pStyle w:val="11"/>
        <w:framePr w:wrap="auto" w:vAnchor="margin" w:hAnchor="text" w:yAlign="inline"/>
        <w:jc w:val="center"/>
        <w:rPr>
          <w:sz w:val="56"/>
          <w:szCs w:val="56"/>
        </w:rPr>
      </w:pPr>
    </w:p>
    <w:p w14:paraId="41F8D275">
      <w:pPr>
        <w:pStyle w:val="11"/>
        <w:framePr w:wrap="auto" w:vAnchor="margin" w:hAnchor="text" w:yAlign="inline"/>
        <w:jc w:val="center"/>
        <w:rPr>
          <w:sz w:val="56"/>
          <w:szCs w:val="56"/>
        </w:rPr>
      </w:pPr>
    </w:p>
    <w:p w14:paraId="7BAED753">
      <w:pPr>
        <w:pStyle w:val="11"/>
        <w:framePr w:wrap="auto" w:vAnchor="margin" w:hAnchor="text" w:yAlign="inline"/>
        <w:jc w:val="center"/>
        <w:rPr>
          <w:sz w:val="32"/>
          <w:szCs w:val="32"/>
        </w:rPr>
      </w:pPr>
    </w:p>
    <w:p w14:paraId="2A2D3A41">
      <w:pPr>
        <w:pStyle w:val="11"/>
        <w:framePr w:wrap="auto" w:vAnchor="margin" w:hAnchor="text" w:yAlign="inline"/>
        <w:jc w:val="center"/>
        <w:rPr>
          <w:sz w:val="32"/>
          <w:szCs w:val="32"/>
        </w:rPr>
      </w:pPr>
    </w:p>
    <w:p w14:paraId="6DD4071E">
      <w:pPr>
        <w:pStyle w:val="11"/>
        <w:framePr w:wrap="auto" w:vAnchor="margin" w:hAnchor="text" w:yAlign="inline"/>
        <w:jc w:val="center"/>
        <w:rPr>
          <w:sz w:val="32"/>
          <w:szCs w:val="32"/>
        </w:rPr>
      </w:pPr>
    </w:p>
    <w:p w14:paraId="20927D31">
      <w:pPr>
        <w:pStyle w:val="11"/>
        <w:framePr w:wrap="auto" w:vAnchor="margin" w:hAnchor="text" w:yAlign="inline"/>
        <w:jc w:val="center"/>
        <w:rPr>
          <w:sz w:val="32"/>
          <w:szCs w:val="32"/>
        </w:rPr>
      </w:pPr>
    </w:p>
    <w:p w14:paraId="7FC9C00A">
      <w:pPr>
        <w:pStyle w:val="11"/>
        <w:framePr w:wrap="auto" w:vAnchor="margin" w:hAnchor="text" w:yAlign="inline"/>
        <w:jc w:val="center"/>
        <w:rPr>
          <w:sz w:val="32"/>
          <w:szCs w:val="32"/>
        </w:rPr>
      </w:pPr>
    </w:p>
    <w:p w14:paraId="3FA1705C">
      <w:pPr>
        <w:pStyle w:val="11"/>
        <w:framePr w:wrap="auto" w:vAnchor="margin" w:hAnchor="text" w:yAlign="inline"/>
        <w:spacing w:line="540" w:lineRule="exact"/>
        <w:jc w:val="center"/>
        <w:rPr>
          <w:sz w:val="56"/>
          <w:szCs w:val="56"/>
        </w:rPr>
      </w:pPr>
    </w:p>
    <w:p w14:paraId="7E5DA935">
      <w:pPr>
        <w:pStyle w:val="11"/>
        <w:framePr w:wrap="auto" w:vAnchor="margin" w:hAnchor="text" w:yAlign="inline"/>
        <w:spacing w:line="500" w:lineRule="exact"/>
        <w:rPr>
          <w:b/>
          <w:bCs/>
          <w:sz w:val="36"/>
          <w:szCs w:val="36"/>
        </w:rPr>
      </w:pPr>
    </w:p>
    <w:p w14:paraId="05F8B768">
      <w:pPr>
        <w:pStyle w:val="11"/>
        <w:framePr w:wrap="auto" w:vAnchor="margin" w:hAnchor="text" w:yAlign="inline"/>
        <w:spacing w:line="500" w:lineRule="exact"/>
        <w:jc w:val="center"/>
        <w:rPr>
          <w:b/>
          <w:bCs/>
          <w:sz w:val="36"/>
          <w:szCs w:val="36"/>
          <w:lang w:val="zh-TW" w:eastAsia="zh-TW"/>
        </w:rPr>
      </w:pPr>
      <w:r>
        <w:rPr>
          <w:b/>
          <w:bCs/>
          <w:sz w:val="36"/>
          <w:szCs w:val="36"/>
          <w:rtl w:val="0"/>
          <w:lang w:val="zh-TW" w:eastAsia="zh-TW"/>
        </w:rPr>
        <w:t>目录</w:t>
      </w:r>
    </w:p>
    <w:p w14:paraId="3AB1B44D">
      <w:pPr>
        <w:pStyle w:val="11"/>
        <w:framePr w:wrap="auto" w:vAnchor="margin" w:hAnchor="text" w:yAlign="inline"/>
        <w:spacing w:line="500" w:lineRule="exact"/>
        <w:rPr>
          <w:sz w:val="28"/>
          <w:szCs w:val="28"/>
        </w:rPr>
      </w:pPr>
      <w:r>
        <w:rPr>
          <w:sz w:val="28"/>
          <w:szCs w:val="28"/>
          <w:rtl w:val="0"/>
          <w:lang w:val="zh-TW" w:eastAsia="zh-TW"/>
        </w:rPr>
        <w:t>第一部分</w:t>
      </w:r>
      <w:r>
        <w:rPr>
          <w:sz w:val="28"/>
          <w:szCs w:val="28"/>
          <w:rtl w:val="0"/>
          <w:lang w:val="en-US"/>
        </w:rPr>
        <w:t xml:space="preserve"> </w:t>
      </w:r>
      <w:r>
        <w:rPr>
          <w:rtl w:val="0"/>
          <w:lang w:val="zh-CN" w:eastAsia="zh-CN"/>
        </w:rPr>
        <w:t>岳阳市博物馆</w:t>
      </w:r>
      <w:r>
        <w:rPr>
          <w:sz w:val="28"/>
          <w:szCs w:val="28"/>
          <w:rtl w:val="0"/>
          <w:lang w:val="zh-TW" w:eastAsia="zh-TW"/>
        </w:rPr>
        <w:t>单位概况</w:t>
      </w:r>
    </w:p>
    <w:p w14:paraId="05778F91">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一、部门职责</w:t>
      </w:r>
    </w:p>
    <w:p w14:paraId="277E8451">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二、机构设置</w:t>
      </w:r>
    </w:p>
    <w:p w14:paraId="01BA4384">
      <w:pPr>
        <w:pStyle w:val="11"/>
        <w:framePr w:wrap="auto" w:vAnchor="margin" w:hAnchor="text" w:yAlign="inline"/>
        <w:spacing w:line="500" w:lineRule="exact"/>
        <w:rPr>
          <w:sz w:val="28"/>
          <w:szCs w:val="28"/>
        </w:rPr>
      </w:pPr>
      <w:r>
        <w:rPr>
          <w:sz w:val="28"/>
          <w:szCs w:val="28"/>
          <w:rtl w:val="0"/>
          <w:lang w:val="zh-TW" w:eastAsia="zh-TW"/>
        </w:rPr>
        <w:t>第二部分</w:t>
      </w:r>
      <w:r>
        <w:rPr>
          <w:sz w:val="28"/>
          <w:szCs w:val="28"/>
          <w:rtl w:val="0"/>
          <w:lang w:val="en-US"/>
        </w:rPr>
        <w:t xml:space="preserve"> </w:t>
      </w:r>
      <w:r>
        <w:rPr>
          <w:sz w:val="28"/>
          <w:szCs w:val="28"/>
          <w:rtl w:val="0"/>
          <w:lang w:val="zh-TW" w:eastAsia="zh-TW"/>
        </w:rPr>
        <w:t>部门决算表</w:t>
      </w:r>
    </w:p>
    <w:p w14:paraId="51013F36">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一、收入支出决算总表</w:t>
      </w:r>
    </w:p>
    <w:p w14:paraId="19A64302">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二、收入决算表</w:t>
      </w:r>
    </w:p>
    <w:p w14:paraId="4C6377A0">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三、支出决算表</w:t>
      </w:r>
    </w:p>
    <w:p w14:paraId="3DB7FE0A">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四、财政拨款收入支出决算总表</w:t>
      </w:r>
    </w:p>
    <w:p w14:paraId="17285E2F">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五、一般公共预算财政拨款支出决算表</w:t>
      </w:r>
    </w:p>
    <w:p w14:paraId="3A16EA35">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六、一般公共预算财政拨款基本支出决算明细表</w:t>
      </w:r>
    </w:p>
    <w:p w14:paraId="17241563">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七、政府性基金预算财政拨款收入支出决算表</w:t>
      </w:r>
    </w:p>
    <w:p w14:paraId="409F8B57">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八、国有资本经营预算财政拨款支出决算表</w:t>
      </w:r>
    </w:p>
    <w:p w14:paraId="6B1BE775">
      <w:pPr>
        <w:pStyle w:val="11"/>
        <w:framePr w:wrap="auto" w:vAnchor="margin" w:hAnchor="text" w:yAlign="inline"/>
        <w:spacing w:line="500" w:lineRule="exact"/>
        <w:ind w:firstLine="700"/>
        <w:rPr>
          <w:rFonts w:ascii="仿宋_GB2312" w:hAnsi="仿宋_GB2312" w:eastAsia="仿宋_GB2312" w:cs="仿宋_GB2312"/>
          <w:sz w:val="28"/>
          <w:szCs w:val="28"/>
        </w:rPr>
      </w:pPr>
      <w:r>
        <w:rPr>
          <w:rFonts w:ascii="仿宋_GB2312" w:hAnsi="仿宋_GB2312" w:eastAsia="仿宋_GB2312" w:cs="仿宋_GB2312"/>
          <w:sz w:val="28"/>
          <w:szCs w:val="28"/>
          <w:rtl w:val="0"/>
          <w:lang w:val="zh-TW" w:eastAsia="zh-TW"/>
        </w:rPr>
        <w:t>九、财政拨款</w:t>
      </w:r>
      <w:r>
        <w:rPr>
          <w:rFonts w:ascii="仿宋_GB2312" w:hAnsi="仿宋_GB2312" w:eastAsia="仿宋_GB2312" w:cs="仿宋_GB2312"/>
          <w:sz w:val="28"/>
          <w:szCs w:val="28"/>
          <w:rtl w:val="0"/>
          <w:lang w:val="en-US"/>
        </w:rPr>
        <w:t>“</w:t>
      </w:r>
      <w:r>
        <w:rPr>
          <w:rFonts w:ascii="仿宋_GB2312" w:hAnsi="仿宋_GB2312" w:eastAsia="仿宋_GB2312" w:cs="仿宋_GB2312"/>
          <w:sz w:val="28"/>
          <w:szCs w:val="28"/>
          <w:rtl w:val="0"/>
          <w:lang w:val="zh-TW" w:eastAsia="zh-TW"/>
        </w:rPr>
        <w:t>三公</w:t>
      </w:r>
      <w:r>
        <w:rPr>
          <w:rFonts w:ascii="仿宋_GB2312" w:hAnsi="仿宋_GB2312" w:eastAsia="仿宋_GB2312" w:cs="仿宋_GB2312"/>
          <w:sz w:val="28"/>
          <w:szCs w:val="28"/>
          <w:rtl w:val="0"/>
          <w:lang w:val="en-US"/>
        </w:rPr>
        <w:t>”</w:t>
      </w:r>
      <w:r>
        <w:rPr>
          <w:rFonts w:ascii="仿宋_GB2312" w:hAnsi="仿宋_GB2312" w:eastAsia="仿宋_GB2312" w:cs="仿宋_GB2312"/>
          <w:sz w:val="28"/>
          <w:szCs w:val="28"/>
          <w:rtl w:val="0"/>
          <w:lang w:val="zh-TW" w:eastAsia="zh-TW"/>
        </w:rPr>
        <w:t>经费支出决算表</w:t>
      </w:r>
    </w:p>
    <w:p w14:paraId="09E18153">
      <w:pPr>
        <w:pStyle w:val="11"/>
        <w:framePr w:wrap="auto" w:vAnchor="margin" w:hAnchor="text" w:yAlign="inline"/>
        <w:spacing w:line="500" w:lineRule="exact"/>
        <w:rPr>
          <w:sz w:val="28"/>
          <w:szCs w:val="28"/>
        </w:rPr>
      </w:pPr>
      <w:r>
        <w:rPr>
          <w:sz w:val="28"/>
          <w:szCs w:val="28"/>
          <w:rtl w:val="0"/>
          <w:lang w:val="zh-TW" w:eastAsia="zh-TW"/>
        </w:rPr>
        <w:t>第三部分</w:t>
      </w:r>
      <w:r>
        <w:rPr>
          <w:sz w:val="28"/>
          <w:szCs w:val="28"/>
          <w:rtl w:val="0"/>
          <w:lang w:val="en-US"/>
        </w:rPr>
        <w:t xml:space="preserve"> </w:t>
      </w:r>
      <w:r>
        <w:rPr>
          <w:sz w:val="28"/>
          <w:szCs w:val="28"/>
          <w:rtl w:val="0"/>
          <w:lang w:val="zh-TW" w:eastAsia="zh-TW"/>
        </w:rPr>
        <w:t>部门决算情况说明</w:t>
      </w:r>
    </w:p>
    <w:p w14:paraId="0F7DA337">
      <w:pPr>
        <w:pStyle w:val="11"/>
        <w:framePr w:wrap="auto" w:vAnchor="margin" w:hAnchor="text" w:yAlign="inline"/>
        <w:spacing w:line="500" w:lineRule="exact"/>
        <w:ind w:firstLine="700"/>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一、收入支出决算总体情况说明</w:t>
      </w:r>
    </w:p>
    <w:p w14:paraId="5959C215">
      <w:pPr>
        <w:framePr w:wrap="auto" w:vAnchor="margin" w:hAnchor="text" w:yAlign="inline"/>
        <w:spacing w:line="500" w:lineRule="exact"/>
        <w:ind w:firstLine="700"/>
        <w:jc w:val="left"/>
        <w:rPr>
          <w:rFonts w:ascii="仿宋_GB2312" w:hAnsi="仿宋_GB2312" w:eastAsia="仿宋_GB2312" w:cs="仿宋_GB2312"/>
          <w:sz w:val="28"/>
          <w:szCs w:val="28"/>
          <w:lang w:val="zh-TW" w:eastAsia="zh-TW"/>
        </w:rPr>
      </w:pPr>
      <w:r>
        <w:rPr>
          <w:rFonts w:ascii="仿宋_GB2312" w:hAnsi="仿宋_GB2312" w:eastAsia="仿宋_GB2312" w:cs="仿宋_GB2312"/>
          <w:sz w:val="28"/>
          <w:szCs w:val="28"/>
          <w:rtl w:val="0"/>
          <w:lang w:val="zh-TW" w:eastAsia="zh-TW"/>
        </w:rPr>
        <w:t>二、收入决算情况说明</w:t>
      </w:r>
    </w:p>
    <w:p w14:paraId="08566F32">
      <w:pPr>
        <w:framePr w:wrap="auto" w:vAnchor="margin" w:hAnchor="text" w:yAlign="inline"/>
        <w:spacing w:line="50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三、支出决算情况说明</w:t>
      </w:r>
    </w:p>
    <w:p w14:paraId="7D392B02">
      <w:pPr>
        <w:framePr w:wrap="auto" w:vAnchor="margin" w:hAnchor="text" w:yAlign="inline"/>
        <w:spacing w:line="50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四、财政拨款收入支出决算总体情况说明</w:t>
      </w:r>
    </w:p>
    <w:p w14:paraId="6E885B90">
      <w:pPr>
        <w:framePr w:wrap="auto" w:vAnchor="margin" w:hAnchor="text" w:yAlign="inline"/>
        <w:spacing w:line="50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五、一般公共预算财政拨款支出决算情况说明</w:t>
      </w:r>
    </w:p>
    <w:p w14:paraId="75621C97">
      <w:pPr>
        <w:framePr w:wrap="auto" w:vAnchor="margin" w:hAnchor="text" w:yAlign="inline"/>
        <w:spacing w:line="50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六、一般公共预算财政拨款基本支出决算情况说明</w:t>
      </w:r>
    </w:p>
    <w:p w14:paraId="20CE62FA">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七、政府性基金预算收入支出决算情况</w:t>
      </w:r>
    </w:p>
    <w:p w14:paraId="39C0EC1C">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八、</w:t>
      </w:r>
      <w:r>
        <w:rPr>
          <w:rFonts w:ascii="仿宋_GB2312" w:hAnsi="仿宋_GB2312" w:eastAsia="仿宋_GB2312" w:cs="仿宋_GB2312"/>
          <w:sz w:val="28"/>
          <w:szCs w:val="28"/>
          <w:rtl w:val="0"/>
          <w:lang w:val="zh-TW" w:eastAsia="zh-TW"/>
        </w:rPr>
        <w:t>国有资本经营预算财政拨款支出决算情况</w:t>
      </w:r>
    </w:p>
    <w:p w14:paraId="0557A676">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九、财政拨款三公经费支出决算情况说明</w:t>
      </w:r>
    </w:p>
    <w:p w14:paraId="3E5EFB8F">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十、关于机关运行经费支出说明</w:t>
      </w:r>
    </w:p>
    <w:p w14:paraId="5EA81A6B">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十一、一般性支出情况说明</w:t>
      </w:r>
    </w:p>
    <w:p w14:paraId="36F9AF35">
      <w:pPr>
        <w:framePr w:wrap="auto" w:vAnchor="margin" w:hAnchor="text" w:yAlign="inline"/>
        <w:spacing w:line="480" w:lineRule="exact"/>
        <w:ind w:firstLine="700"/>
        <w:jc w:val="left"/>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sz w:val="28"/>
          <w:szCs w:val="28"/>
          <w:rtl w:val="0"/>
          <w:lang w:val="zh-TW" w:eastAsia="zh-TW"/>
        </w:rPr>
        <w:t>十二、</w:t>
      </w:r>
      <w:r>
        <w:rPr>
          <w:rFonts w:ascii="仿宋_GB2312" w:hAnsi="仿宋_GB2312" w:eastAsia="仿宋_GB2312" w:cs="仿宋_GB2312"/>
          <w:color w:val="000000"/>
          <w:kern w:val="0"/>
          <w:sz w:val="28"/>
          <w:szCs w:val="28"/>
          <w:u w:color="000000"/>
          <w:rtl w:val="0"/>
          <w:lang w:val="zh-TW" w:eastAsia="zh-TW"/>
        </w:rPr>
        <w:t>关于政府采购支出说明</w:t>
      </w:r>
    </w:p>
    <w:p w14:paraId="09FE9359">
      <w:pPr>
        <w:framePr w:wrap="auto" w:vAnchor="margin" w:hAnchor="text" w:yAlign="inline"/>
        <w:spacing w:line="480" w:lineRule="exact"/>
        <w:ind w:firstLine="700"/>
        <w:rPr>
          <w:rFonts w:ascii="仿宋_GB2312" w:hAnsi="仿宋_GB2312" w:eastAsia="仿宋_GB2312" w:cs="仿宋_GB2312"/>
          <w:color w:val="000000"/>
          <w:kern w:val="0"/>
          <w:sz w:val="28"/>
          <w:szCs w:val="28"/>
          <w:u w:color="000000"/>
          <w:lang w:val="zh-TW" w:eastAsia="zh-TW"/>
        </w:rPr>
      </w:pPr>
      <w:r>
        <w:rPr>
          <w:rFonts w:ascii="仿宋_GB2312" w:hAnsi="仿宋_GB2312" w:eastAsia="仿宋_GB2312" w:cs="仿宋_GB2312"/>
          <w:color w:val="000000"/>
          <w:kern w:val="0"/>
          <w:sz w:val="28"/>
          <w:szCs w:val="28"/>
          <w:u w:color="000000"/>
          <w:rtl w:val="0"/>
          <w:lang w:val="zh-TW" w:eastAsia="zh-TW"/>
        </w:rPr>
        <w:t>十三、关于国有资产占用情况说明</w:t>
      </w:r>
    </w:p>
    <w:p w14:paraId="66CA8C53">
      <w:pPr>
        <w:pStyle w:val="11"/>
        <w:framePr w:wrap="auto" w:vAnchor="margin" w:hAnchor="text" w:yAlign="inline"/>
        <w:spacing w:line="500" w:lineRule="exact"/>
        <w:ind w:firstLine="700"/>
        <w:rPr>
          <w:rFonts w:ascii="仿宋_GB2312" w:hAnsi="仿宋_GB2312" w:eastAsia="仿宋_GB2312" w:cs="仿宋_GB2312"/>
          <w:sz w:val="28"/>
          <w:szCs w:val="28"/>
        </w:rPr>
      </w:pPr>
      <w:r>
        <w:rPr>
          <w:rFonts w:ascii="仿宋_GB2312" w:hAnsi="仿宋_GB2312" w:eastAsia="仿宋_GB2312" w:cs="仿宋_GB2312"/>
          <w:color w:val="000000"/>
          <w:kern w:val="0"/>
          <w:sz w:val="28"/>
          <w:szCs w:val="28"/>
          <w:u w:color="000000"/>
          <w:rtl w:val="0"/>
          <w:lang w:val="zh-TW" w:eastAsia="zh-TW"/>
        </w:rPr>
        <w:t>十四、</w:t>
      </w:r>
      <w:r>
        <w:rPr>
          <w:rFonts w:ascii="仿宋_GB2312" w:hAnsi="仿宋_GB2312" w:eastAsia="仿宋_GB2312" w:cs="仿宋_GB2312"/>
          <w:sz w:val="28"/>
          <w:szCs w:val="28"/>
          <w:rtl w:val="0"/>
          <w:lang w:val="zh-TW" w:eastAsia="zh-TW"/>
        </w:rPr>
        <w:t>关于</w:t>
      </w:r>
      <w:r>
        <w:rPr>
          <w:rFonts w:ascii="Times New Roman" w:hAnsi="Times New Roman"/>
          <w:sz w:val="28"/>
          <w:szCs w:val="28"/>
          <w:rtl w:val="0"/>
          <w:lang w:val="en-US"/>
        </w:rPr>
        <w:t>2023</w:t>
      </w:r>
      <w:r>
        <w:rPr>
          <w:rFonts w:ascii="仿宋_GB2312" w:hAnsi="仿宋_GB2312" w:eastAsia="仿宋_GB2312" w:cs="仿宋_GB2312"/>
          <w:sz w:val="28"/>
          <w:szCs w:val="28"/>
          <w:rtl w:val="0"/>
          <w:lang w:val="zh-TW" w:eastAsia="zh-TW"/>
        </w:rPr>
        <w:t>年度预算绩效情况的说明</w:t>
      </w:r>
    </w:p>
    <w:p w14:paraId="6394BA68">
      <w:pPr>
        <w:pStyle w:val="11"/>
        <w:framePr w:wrap="auto" w:vAnchor="margin" w:hAnchor="text" w:yAlign="inline"/>
        <w:spacing w:line="500" w:lineRule="exact"/>
        <w:rPr>
          <w:sz w:val="28"/>
          <w:szCs w:val="28"/>
        </w:rPr>
      </w:pPr>
      <w:r>
        <w:rPr>
          <w:sz w:val="28"/>
          <w:szCs w:val="28"/>
          <w:rtl w:val="0"/>
          <w:lang w:val="zh-TW" w:eastAsia="zh-TW"/>
        </w:rPr>
        <w:t>第四部分</w:t>
      </w:r>
      <w:r>
        <w:rPr>
          <w:sz w:val="28"/>
          <w:szCs w:val="28"/>
          <w:rtl w:val="0"/>
          <w:lang w:val="en-US"/>
        </w:rPr>
        <w:t xml:space="preserve"> </w:t>
      </w:r>
      <w:r>
        <w:rPr>
          <w:sz w:val="28"/>
          <w:szCs w:val="28"/>
          <w:rtl w:val="0"/>
          <w:lang w:val="zh-TW" w:eastAsia="zh-TW"/>
        </w:rPr>
        <w:t>名词解释</w:t>
      </w:r>
    </w:p>
    <w:p w14:paraId="39330D25">
      <w:pPr>
        <w:pStyle w:val="11"/>
        <w:framePr w:wrap="auto" w:vAnchor="margin" w:hAnchor="text" w:yAlign="inline"/>
        <w:spacing w:line="500" w:lineRule="exact"/>
        <w:rPr>
          <w:sz w:val="28"/>
          <w:szCs w:val="28"/>
        </w:rPr>
      </w:pPr>
      <w:r>
        <w:rPr>
          <w:sz w:val="28"/>
          <w:szCs w:val="28"/>
          <w:rtl w:val="0"/>
          <w:lang w:val="zh-TW" w:eastAsia="zh-TW"/>
        </w:rPr>
        <w:t>第五部分</w:t>
      </w:r>
      <w:r>
        <w:rPr>
          <w:sz w:val="28"/>
          <w:szCs w:val="28"/>
          <w:rtl w:val="0"/>
          <w:lang w:val="en-US"/>
        </w:rPr>
        <w:t xml:space="preserve"> </w:t>
      </w:r>
      <w:r>
        <w:rPr>
          <w:sz w:val="28"/>
          <w:szCs w:val="28"/>
          <w:rtl w:val="0"/>
          <w:lang w:val="zh-TW" w:eastAsia="zh-TW"/>
        </w:rPr>
        <w:t>附件</w:t>
      </w:r>
    </w:p>
    <w:p w14:paraId="7F57B75B">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6032DFEA">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5432A728">
      <w:pPr>
        <w:pStyle w:val="11"/>
        <w:framePr w:wrap="auto" w:vAnchor="margin" w:hAnchor="text" w:yAlign="inline"/>
        <w:jc w:val="center"/>
        <w:rPr>
          <w:rFonts w:ascii="方正小标宋_GBK" w:hAnsi="方正小标宋_GBK" w:eastAsia="方正小标宋_GBK" w:cs="方正小标宋_GBK"/>
          <w:sz w:val="84"/>
          <w:szCs w:val="84"/>
          <w:lang w:val="zh-TW" w:eastAsia="zh-TW"/>
        </w:rPr>
      </w:pPr>
      <w:r>
        <w:rPr>
          <w:rFonts w:ascii="方正小标宋_GBK" w:hAnsi="方正小标宋_GBK" w:eastAsia="方正小标宋_GBK" w:cs="方正小标宋_GBK"/>
          <w:sz w:val="84"/>
          <w:szCs w:val="84"/>
          <w:rtl w:val="0"/>
          <w:lang w:val="zh-TW" w:eastAsia="zh-TW"/>
        </w:rPr>
        <w:t xml:space="preserve">第一部分 </w:t>
      </w:r>
    </w:p>
    <w:p w14:paraId="79AA1038">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6AB88AB6">
      <w:pPr>
        <w:framePr w:wrap="auto" w:vAnchor="margin" w:hAnchor="text" w:yAlign="inline"/>
        <w:jc w:val="center"/>
        <w:rPr>
          <w:rFonts w:ascii="方正小标宋_GBK" w:hAnsi="方正小标宋_GBK" w:eastAsia="方正小标宋_GBK" w:cs="方正小标宋_GBK"/>
          <w:sz w:val="84"/>
          <w:szCs w:val="84"/>
        </w:rPr>
      </w:pPr>
      <w:r>
        <w:rPr>
          <w:rFonts w:ascii="方正小标宋_GBK" w:hAnsi="方正小标宋_GBK" w:eastAsia="方正小标宋_GBK" w:cs="方正小标宋_GBK"/>
          <w:b w:val="0"/>
          <w:bCs w:val="0"/>
          <w:i w:val="0"/>
          <w:iCs w:val="0"/>
          <w:caps w:val="0"/>
          <w:smallCaps w:val="0"/>
          <w:strike w:val="0"/>
          <w:dstrike w:val="0"/>
          <w:outline w:val="0"/>
          <w:emboss w:val="0"/>
          <w:imprint w:val="0"/>
          <w:vanish w:val="0"/>
          <w:sz w:val="84"/>
          <w:szCs w:val="84"/>
          <w:rtl w:val="0"/>
          <w:lang w:val="zh-CN" w:eastAsia="zh-CN"/>
        </w:rPr>
        <w:t>岳阳市博物馆</w:t>
      </w:r>
      <w:r>
        <w:rPr>
          <w:rFonts w:ascii="方正小标宋_GBK" w:hAnsi="方正小标宋_GBK" w:eastAsia="方正小标宋_GBK" w:cs="方正小标宋_GBK"/>
          <w:sz w:val="84"/>
          <w:szCs w:val="84"/>
          <w:rtl w:val="0"/>
          <w:lang w:val="zh-TW" w:eastAsia="zh-TW"/>
        </w:rPr>
        <w:t>单位概况</w:t>
      </w:r>
    </w:p>
    <w:p w14:paraId="1334BF8A">
      <w:pPr>
        <w:pStyle w:val="4"/>
        <w:framePr w:wrap="auto" w:vAnchor="margin" w:hAnchor="text" w:yAlign="inline"/>
        <w:rPr>
          <w:rFonts w:ascii="方正小标宋_GBK" w:hAnsi="方正小标宋_GBK" w:eastAsia="方正小标宋_GBK" w:cs="方正小标宋_GBK"/>
          <w:sz w:val="84"/>
          <w:szCs w:val="84"/>
          <w:lang w:val="zh-TW" w:eastAsia="zh-TW"/>
        </w:rPr>
      </w:pPr>
    </w:p>
    <w:p w14:paraId="2BB0AD65">
      <w:pPr>
        <w:pStyle w:val="5"/>
        <w:framePr w:wrap="auto" w:vAnchor="margin" w:hAnchor="text" w:yAlign="inline"/>
        <w:rPr>
          <w:rFonts w:ascii="方正小标宋_GBK" w:hAnsi="方正小标宋_GBK" w:eastAsia="方正小标宋_GBK" w:cs="方正小标宋_GBK"/>
          <w:sz w:val="84"/>
          <w:szCs w:val="84"/>
          <w:lang w:val="zh-TW" w:eastAsia="zh-TW"/>
        </w:rPr>
      </w:pPr>
    </w:p>
    <w:p w14:paraId="1A0A60D1">
      <w:pPr>
        <w:framePr w:wrap="auto" w:vAnchor="margin" w:hAnchor="text" w:yAlign="inline"/>
        <w:rPr>
          <w:rFonts w:ascii="方正小标宋_GBK" w:hAnsi="方正小标宋_GBK" w:eastAsia="方正小标宋_GBK" w:cs="方正小标宋_GBK"/>
          <w:sz w:val="84"/>
          <w:szCs w:val="84"/>
          <w:lang w:val="zh-TW" w:eastAsia="zh-TW"/>
        </w:rPr>
      </w:pPr>
    </w:p>
    <w:p w14:paraId="30B95F01">
      <w:pPr>
        <w:pStyle w:val="4"/>
        <w:framePr w:wrap="auto" w:vAnchor="margin" w:hAnchor="text" w:yAlign="inline"/>
        <w:rPr>
          <w:rFonts w:ascii="方正小标宋_GBK" w:hAnsi="方正小标宋_GBK" w:eastAsia="方正小标宋_GBK" w:cs="方正小标宋_GBK"/>
          <w:sz w:val="84"/>
          <w:szCs w:val="84"/>
          <w:lang w:val="zh-TW" w:eastAsia="zh-TW"/>
        </w:rPr>
      </w:pPr>
    </w:p>
    <w:p w14:paraId="46863C52">
      <w:pPr>
        <w:pStyle w:val="5"/>
        <w:framePr w:wrap="auto" w:vAnchor="margin" w:hAnchor="text" w:yAlign="inline"/>
        <w:rPr>
          <w:rFonts w:ascii="方正小标宋_GBK" w:hAnsi="方正小标宋_GBK" w:eastAsia="方正小标宋_GBK" w:cs="方正小标宋_GBK"/>
          <w:sz w:val="84"/>
          <w:szCs w:val="84"/>
          <w:lang w:val="zh-TW" w:eastAsia="zh-TW"/>
        </w:rPr>
      </w:pPr>
    </w:p>
    <w:p w14:paraId="1078F001">
      <w:pPr>
        <w:pStyle w:val="12"/>
        <w:framePr w:wrap="auto" w:vAnchor="margin" w:hAnchor="text" w:yAlign="inline"/>
        <w:numPr>
          <w:ilvl w:val="0"/>
          <w:numId w:val="1"/>
        </w:numPr>
        <w:bidi w:val="0"/>
        <w:ind w:right="0"/>
        <w:jc w:val="left"/>
        <w:rPr>
          <w:rFonts w:ascii="黑体" w:hAnsi="黑体" w:eastAsia="黑体" w:cs="黑体"/>
          <w:sz w:val="32"/>
          <w:szCs w:val="32"/>
          <w:rtl w:val="0"/>
          <w:lang w:val="zh-TW" w:eastAsia="zh-TW"/>
        </w:rPr>
      </w:pPr>
      <w:r>
        <w:rPr>
          <w:rFonts w:ascii="黑体" w:hAnsi="黑体" w:eastAsia="黑体" w:cs="黑体"/>
          <w:sz w:val="32"/>
          <w:szCs w:val="32"/>
          <w:rtl w:val="0"/>
          <w:lang w:val="zh-TW" w:eastAsia="zh-TW"/>
        </w:rPr>
        <w:t>部门职责</w:t>
      </w:r>
    </w:p>
    <w:p w14:paraId="3F0A4943">
      <w:pPr>
        <w:framePr w:wrap="auto" w:vAnchor="margin" w:hAnchor="text" w:yAlign="inline"/>
        <w:ind w:firstLine="800"/>
        <w:jc w:val="left"/>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w:t>
      </w:r>
      <w:r>
        <w:rPr>
          <w:rFonts w:ascii="仿宋_GB2312" w:hAnsi="仿宋_GB2312" w:eastAsia="仿宋_GB2312" w:cs="仿宋_GB2312"/>
          <w:kern w:val="0"/>
          <w:sz w:val="32"/>
          <w:szCs w:val="32"/>
          <w:rtl w:val="0"/>
          <w:lang w:val="zh-TW" w:eastAsia="zh-TW"/>
        </w:rPr>
        <w:t>负责岳阳博物馆的日常管理和运营工作，组织开展馆藏文物、博物馆学术研究。</w:t>
      </w:r>
    </w:p>
    <w:p w14:paraId="697F9DA8">
      <w:pPr>
        <w:framePr w:wrap="auto" w:vAnchor="margin" w:hAnchor="text" w:yAlign="inline"/>
        <w:ind w:firstLine="800"/>
        <w:jc w:val="left"/>
        <w:rPr>
          <w:rFonts w:ascii="Times New Roman" w:hAnsi="Times New Roman" w:eastAsia="Times New Roman" w:cs="Times New Roman"/>
          <w:kern w:val="0"/>
          <w:sz w:val="32"/>
          <w:szCs w:val="32"/>
          <w:lang w:val="zh-TW" w:eastAsia="zh-TW"/>
        </w:rPr>
      </w:pPr>
      <w:r>
        <w:rPr>
          <w:rFonts w:ascii="仿宋_GB2312" w:hAnsi="仿宋_GB2312" w:eastAsia="仿宋_GB2312" w:cs="仿宋_GB2312"/>
          <w:sz w:val="32"/>
          <w:szCs w:val="32"/>
          <w:rtl w:val="0"/>
          <w:lang w:val="zh-TW" w:eastAsia="zh-TW"/>
        </w:rPr>
        <w:t>（二）</w:t>
      </w:r>
      <w:r>
        <w:rPr>
          <w:rFonts w:ascii="仿宋_GB2312" w:hAnsi="仿宋_GB2312" w:eastAsia="仿宋_GB2312" w:cs="仿宋_GB2312"/>
          <w:kern w:val="0"/>
          <w:sz w:val="32"/>
          <w:szCs w:val="32"/>
          <w:rtl w:val="0"/>
          <w:lang w:val="zh-TW" w:eastAsia="zh-TW"/>
        </w:rPr>
        <w:t>对馆藏文物按有关规定进行妥善保管，举办陈列展览，负责本地区文物征集、文物资料和档案的搜集和研究。</w:t>
      </w:r>
    </w:p>
    <w:p w14:paraId="30EE5A95">
      <w:pPr>
        <w:pStyle w:val="13"/>
        <w:framePr w:wrap="auto" w:vAnchor="margin" w:hAnchor="text" w:yAlign="inline"/>
        <w:widowControl/>
        <w:jc w:val="left"/>
        <w:rPr>
          <w:rFonts w:ascii="仿宋_GB2312" w:hAnsi="仿宋_GB2312" w:eastAsia="仿宋_GB2312" w:cs="仿宋_GB2312"/>
          <w:color w:val="000000"/>
          <w:kern w:val="0"/>
          <w:sz w:val="32"/>
          <w:szCs w:val="32"/>
          <w:u w:color="000000"/>
          <w:lang w:val="zh-TW" w:eastAsia="zh-TW"/>
        </w:rPr>
      </w:pPr>
      <w:r>
        <w:rPr>
          <w:rFonts w:ascii="Times New Roman" w:hAnsi="Times New Roman"/>
          <w:kern w:val="0"/>
          <w:sz w:val="32"/>
          <w:szCs w:val="32"/>
          <w:rtl w:val="0"/>
          <w:lang w:val="zh-CN" w:eastAsia="zh-CN"/>
        </w:rPr>
        <w:t xml:space="preserve">          </w:t>
      </w:r>
      <w:r>
        <w:rPr>
          <w:rFonts w:ascii="仿宋_GB2312" w:hAnsi="仿宋_GB2312" w:eastAsia="仿宋_GB2312" w:cs="仿宋_GB2312"/>
          <w:color w:val="000000"/>
          <w:kern w:val="0"/>
          <w:sz w:val="32"/>
          <w:szCs w:val="32"/>
          <w:u w:color="000000"/>
          <w:rtl w:val="0"/>
          <w:lang w:val="zh-TW" w:eastAsia="zh-TW"/>
        </w:rPr>
        <w:t>（三）配合本地区基本建设进行考古调查、勘探和发掘，并对出土文物及古建筑进行保护管理和考古研究。</w:t>
      </w:r>
    </w:p>
    <w:p w14:paraId="247A602E">
      <w:pPr>
        <w:pStyle w:val="13"/>
        <w:framePr w:wrap="auto" w:vAnchor="margin" w:hAnchor="text" w:yAlign="inline"/>
        <w:widowControl/>
        <w:jc w:val="left"/>
        <w:rPr>
          <w:rFonts w:ascii="仿宋_GB2312" w:hAnsi="仿宋_GB2312" w:eastAsia="仿宋_GB2312" w:cs="仿宋_GB2312"/>
          <w:sz w:val="32"/>
          <w:szCs w:val="32"/>
          <w:lang w:val="zh-TW" w:eastAsia="zh-TW"/>
        </w:rPr>
      </w:pPr>
      <w:r>
        <w:rPr>
          <w:rFonts w:ascii="仿宋_GB2312" w:hAnsi="仿宋_GB2312" w:eastAsia="仿宋_GB2312" w:cs="仿宋_GB2312"/>
          <w:color w:val="000000"/>
          <w:kern w:val="0"/>
          <w:sz w:val="32"/>
          <w:szCs w:val="32"/>
          <w:u w:color="000000"/>
          <w:rtl w:val="0"/>
          <w:lang w:val="zh-CN" w:eastAsia="zh-CN"/>
        </w:rPr>
        <w:t xml:space="preserve">    </w:t>
      </w:r>
      <w:r>
        <w:rPr>
          <w:rFonts w:ascii="仿宋_GB2312" w:hAnsi="仿宋_GB2312" w:eastAsia="仿宋_GB2312" w:cs="仿宋_GB2312"/>
          <w:color w:val="000000"/>
          <w:kern w:val="0"/>
          <w:sz w:val="32"/>
          <w:szCs w:val="32"/>
          <w:u w:color="000000"/>
          <w:rtl w:val="0"/>
          <w:lang w:val="zh-TW" w:eastAsia="zh-TW"/>
        </w:rPr>
        <w:t xml:space="preserve">（四）承办市委、市政府和上级主管部门交办的其他事项。 </w:t>
      </w:r>
    </w:p>
    <w:p w14:paraId="6A75B7F1">
      <w:pPr>
        <w:framePr w:wrap="auto" w:vAnchor="margin" w:hAnchor="text" w:yAlign="inline"/>
        <w:widowControl/>
        <w:spacing w:line="600" w:lineRule="exact"/>
        <w:rPr>
          <w:rFonts w:ascii="黑体" w:hAnsi="黑体" w:eastAsia="黑体" w:cs="黑体"/>
          <w:kern w:val="0"/>
          <w:sz w:val="32"/>
          <w:szCs w:val="32"/>
          <w:lang w:val="zh-TW" w:eastAsia="zh-TW"/>
        </w:rPr>
      </w:pPr>
      <w:r>
        <w:rPr>
          <w:rFonts w:ascii="黑体" w:hAnsi="黑体" w:eastAsia="黑体" w:cs="黑体"/>
          <w:kern w:val="0"/>
          <w:sz w:val="32"/>
          <w:szCs w:val="32"/>
          <w:rtl w:val="0"/>
          <w:lang w:val="zh-TW" w:eastAsia="zh-TW"/>
        </w:rPr>
        <w:t>二、机构设置及决算单位构成</w:t>
      </w:r>
    </w:p>
    <w:p w14:paraId="5961F5AB">
      <w:pPr>
        <w:framePr w:wrap="auto" w:vAnchor="margin" w:hAnchor="text" w:yAlign="inline"/>
        <w:widowControl/>
        <w:spacing w:line="600" w:lineRule="exact"/>
        <w:rPr>
          <w:rFonts w:ascii="Times New Roman" w:hAnsi="Times New Roman" w:eastAsia="Times New Roman" w:cs="Times New Roman"/>
          <w:kern w:val="0"/>
          <w:sz w:val="32"/>
          <w:szCs w:val="32"/>
          <w:lang w:val="en-US"/>
        </w:rPr>
      </w:pPr>
      <w:r>
        <w:rPr>
          <w:rFonts w:ascii="仿宋_GB2312" w:hAnsi="仿宋_GB2312" w:eastAsia="仿宋_GB2312" w:cs="仿宋_GB2312"/>
          <w:kern w:val="0"/>
          <w:sz w:val="32"/>
          <w:szCs w:val="32"/>
          <w:rtl w:val="0"/>
          <w:lang w:val="zh-TW" w:eastAsia="zh-TW"/>
        </w:rPr>
        <w:t>（一）内设机构设置。</w:t>
      </w:r>
    </w:p>
    <w:p w14:paraId="53BE93B1">
      <w:pPr>
        <w:pStyle w:val="13"/>
        <w:framePr w:wrap="auto" w:vAnchor="margin" w:hAnchor="text" w:yAlign="inline"/>
        <w:widowControl/>
        <w:jc w:val="left"/>
      </w:pPr>
      <w:r>
        <w:rPr>
          <w:rFonts w:ascii="仿宋_GB2312" w:hAnsi="仿宋_GB2312" w:eastAsia="仿宋_GB2312" w:cs="仿宋_GB2312"/>
          <w:color w:val="000000"/>
          <w:kern w:val="0"/>
          <w:sz w:val="32"/>
          <w:szCs w:val="32"/>
          <w:u w:color="000000"/>
          <w:rtl w:val="0"/>
          <w:lang w:val="zh-TW" w:eastAsia="zh-TW"/>
        </w:rPr>
        <w:t>根据</w:t>
      </w:r>
      <w:r>
        <w:rPr>
          <w:rFonts w:ascii="Times New Roman" w:hAnsi="Times New Roman"/>
          <w:color w:val="000000"/>
          <w:kern w:val="0"/>
          <w:sz w:val="32"/>
          <w:szCs w:val="32"/>
          <w:u w:color="000000"/>
          <w:rtl w:val="0"/>
          <w:lang w:val="en-US"/>
        </w:rPr>
        <w:t>2021</w:t>
      </w:r>
      <w:r>
        <w:rPr>
          <w:rFonts w:ascii="仿宋_GB2312" w:hAnsi="仿宋_GB2312" w:eastAsia="仿宋_GB2312" w:cs="仿宋_GB2312"/>
          <w:color w:val="000000"/>
          <w:kern w:val="0"/>
          <w:sz w:val="32"/>
          <w:szCs w:val="32"/>
          <w:u w:color="000000"/>
          <w:rtl w:val="0"/>
          <w:lang w:val="zh-TW" w:eastAsia="zh-TW"/>
        </w:rPr>
        <w:t>年</w:t>
      </w:r>
      <w:r>
        <w:rPr>
          <w:rFonts w:ascii="Times New Roman" w:hAnsi="Times New Roman"/>
          <w:color w:val="000000"/>
          <w:kern w:val="0"/>
          <w:sz w:val="32"/>
          <w:szCs w:val="32"/>
          <w:u w:color="000000"/>
          <w:rtl w:val="0"/>
          <w:lang w:val="en-US"/>
        </w:rPr>
        <w:t>9</w:t>
      </w:r>
      <w:r>
        <w:rPr>
          <w:rFonts w:ascii="仿宋_GB2312" w:hAnsi="仿宋_GB2312" w:eastAsia="仿宋_GB2312" w:cs="仿宋_GB2312"/>
          <w:color w:val="000000"/>
          <w:kern w:val="0"/>
          <w:sz w:val="32"/>
          <w:szCs w:val="32"/>
          <w:u w:color="000000"/>
          <w:rtl w:val="0"/>
          <w:lang w:val="zh-TW" w:eastAsia="zh-TW"/>
        </w:rPr>
        <w:t>月</w:t>
      </w:r>
      <w:r>
        <w:rPr>
          <w:rFonts w:ascii="Times New Roman" w:hAnsi="Times New Roman"/>
          <w:color w:val="000000"/>
          <w:kern w:val="0"/>
          <w:sz w:val="32"/>
          <w:szCs w:val="32"/>
          <w:u w:color="000000"/>
          <w:rtl w:val="0"/>
          <w:lang w:val="en-US"/>
        </w:rPr>
        <w:t>9</w:t>
      </w:r>
      <w:r>
        <w:rPr>
          <w:rFonts w:ascii="仿宋_GB2312" w:hAnsi="仿宋_GB2312" w:eastAsia="仿宋_GB2312" w:cs="仿宋_GB2312"/>
          <w:color w:val="000000"/>
          <w:kern w:val="0"/>
          <w:sz w:val="32"/>
          <w:szCs w:val="32"/>
          <w:u w:color="000000"/>
          <w:rtl w:val="0"/>
          <w:lang w:val="zh-TW" w:eastAsia="zh-TW"/>
        </w:rPr>
        <w:t>日市委机构编制委员会办公室下发了岳编办函</w:t>
      </w:r>
      <w:r>
        <w:rPr>
          <w:rFonts w:ascii="Times New Roman" w:hAnsi="Times New Roman"/>
          <w:color w:val="000000"/>
          <w:kern w:val="0"/>
          <w:sz w:val="32"/>
          <w:szCs w:val="32"/>
          <w:u w:color="000000"/>
          <w:rtl w:val="0"/>
          <w:lang w:val="en-US"/>
        </w:rPr>
        <w:t>[2021]284</w:t>
      </w:r>
      <w:r>
        <w:rPr>
          <w:rFonts w:ascii="仿宋_GB2312" w:hAnsi="仿宋_GB2312" w:eastAsia="仿宋_GB2312" w:cs="仿宋_GB2312"/>
          <w:color w:val="000000"/>
          <w:kern w:val="0"/>
          <w:sz w:val="32"/>
          <w:szCs w:val="32"/>
          <w:u w:color="000000"/>
          <w:rtl w:val="0"/>
          <w:lang w:val="zh-TW" w:eastAsia="zh-TW"/>
        </w:rPr>
        <w:t>号文件，重新明确市博物馆（市文物考古研究所）机构编制，核定事业编制</w:t>
      </w:r>
      <w:r>
        <w:rPr>
          <w:rFonts w:ascii="Times New Roman" w:hAnsi="Times New Roman"/>
          <w:color w:val="000000"/>
          <w:kern w:val="0"/>
          <w:sz w:val="32"/>
          <w:szCs w:val="32"/>
          <w:u w:color="000000"/>
          <w:rtl w:val="0"/>
          <w:lang w:val="en-US"/>
        </w:rPr>
        <w:t>1</w:t>
      </w:r>
      <w:r>
        <w:rPr>
          <w:rFonts w:hint="eastAsia" w:ascii="Times New Roman" w:hAnsi="Times New Roman" w:eastAsia="宋体"/>
          <w:color w:val="000000"/>
          <w:kern w:val="0"/>
          <w:sz w:val="32"/>
          <w:szCs w:val="32"/>
          <w:u w:color="000000"/>
          <w:rtl w:val="0"/>
          <w:lang w:val="en-US" w:eastAsia="zh-CN"/>
        </w:rPr>
        <w:t>3</w:t>
      </w:r>
      <w:r>
        <w:rPr>
          <w:rFonts w:ascii="仿宋_GB2312" w:hAnsi="仿宋_GB2312" w:eastAsia="仿宋_GB2312" w:cs="仿宋_GB2312"/>
          <w:color w:val="000000"/>
          <w:kern w:val="0"/>
          <w:sz w:val="32"/>
          <w:szCs w:val="32"/>
          <w:u w:color="000000"/>
          <w:rtl w:val="0"/>
          <w:lang w:val="zh-TW" w:eastAsia="zh-TW"/>
        </w:rPr>
        <w:t>名，核定馆长（乡科级）</w:t>
      </w:r>
      <w:r>
        <w:rPr>
          <w:rFonts w:ascii="Times New Roman" w:hAnsi="Times New Roman"/>
          <w:color w:val="000000"/>
          <w:kern w:val="0"/>
          <w:sz w:val="32"/>
          <w:szCs w:val="32"/>
          <w:u w:color="000000"/>
          <w:rtl w:val="0"/>
          <w:lang w:val="en-US"/>
        </w:rPr>
        <w:t>1</w:t>
      </w:r>
      <w:r>
        <w:rPr>
          <w:rFonts w:ascii="仿宋_GB2312" w:hAnsi="仿宋_GB2312" w:eastAsia="仿宋_GB2312" w:cs="仿宋_GB2312"/>
          <w:color w:val="000000"/>
          <w:kern w:val="0"/>
          <w:sz w:val="32"/>
          <w:szCs w:val="32"/>
          <w:u w:color="000000"/>
          <w:rtl w:val="0"/>
          <w:lang w:val="zh-TW" w:eastAsia="zh-TW"/>
        </w:rPr>
        <w:t>名，核定副馆长（副科级）</w:t>
      </w:r>
      <w:r>
        <w:rPr>
          <w:rFonts w:ascii="Times New Roman" w:hAnsi="Times New Roman"/>
          <w:color w:val="000000"/>
          <w:kern w:val="0"/>
          <w:sz w:val="32"/>
          <w:szCs w:val="32"/>
          <w:u w:color="000000"/>
          <w:rtl w:val="0"/>
          <w:lang w:val="en-US"/>
        </w:rPr>
        <w:t>2</w:t>
      </w:r>
      <w:r>
        <w:rPr>
          <w:rFonts w:ascii="仿宋_GB2312" w:hAnsi="仿宋_GB2312" w:eastAsia="仿宋_GB2312" w:cs="仿宋_GB2312"/>
          <w:color w:val="000000"/>
          <w:kern w:val="0"/>
          <w:sz w:val="32"/>
          <w:szCs w:val="32"/>
          <w:u w:color="000000"/>
          <w:rtl w:val="0"/>
          <w:lang w:val="zh-TW" w:eastAsia="zh-TW"/>
        </w:rPr>
        <w:t>名，另核定临时用工计划数（讲解员）</w:t>
      </w:r>
      <w:r>
        <w:rPr>
          <w:rFonts w:ascii="Times New Roman" w:hAnsi="Times New Roman"/>
          <w:color w:val="000000"/>
          <w:kern w:val="0"/>
          <w:sz w:val="32"/>
          <w:szCs w:val="32"/>
          <w:u w:color="000000"/>
          <w:rtl w:val="0"/>
          <w:lang w:val="en-US"/>
        </w:rPr>
        <w:t>4</w:t>
      </w:r>
      <w:r>
        <w:rPr>
          <w:rFonts w:ascii="仿宋_GB2312" w:hAnsi="仿宋_GB2312" w:eastAsia="仿宋_GB2312" w:cs="仿宋_GB2312"/>
          <w:color w:val="000000"/>
          <w:kern w:val="0"/>
          <w:sz w:val="32"/>
          <w:szCs w:val="32"/>
          <w:u w:color="000000"/>
          <w:rtl w:val="0"/>
          <w:lang w:val="zh-TW" w:eastAsia="zh-TW"/>
        </w:rPr>
        <w:t>名，其</w:t>
      </w:r>
      <w:r>
        <w:rPr>
          <w:rFonts w:hint="default" w:ascii="Times New Roman" w:hAnsi="Times New Roman"/>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三定</w:t>
      </w:r>
      <w:r>
        <w:rPr>
          <w:rFonts w:hint="default" w:ascii="Times New Roman" w:hAnsi="Times New Roman"/>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规定另行制定。内设机构包括办公室，考古部，征集保管部，展览教育部，文创办。</w:t>
      </w:r>
    </w:p>
    <w:p w14:paraId="6B340C20">
      <w:pPr>
        <w:framePr w:wrap="auto" w:vAnchor="margin" w:hAnchor="text" w:yAlign="inline"/>
        <w:widowControl/>
        <w:spacing w:line="600" w:lineRule="exact"/>
        <w:rPr>
          <w:rFonts w:ascii="仿宋_GB2312" w:hAnsi="仿宋_GB2312" w:eastAsia="仿宋_GB2312" w:cs="仿宋_GB2312"/>
          <w:kern w:val="0"/>
          <w:sz w:val="32"/>
          <w:szCs w:val="32"/>
          <w:lang w:val="zh-TW" w:eastAsia="zh-TW"/>
        </w:rPr>
      </w:pPr>
      <w:r>
        <w:rPr>
          <w:rFonts w:ascii="仿宋_GB2312" w:hAnsi="仿宋_GB2312" w:eastAsia="仿宋_GB2312" w:cs="仿宋_GB2312"/>
          <w:kern w:val="0"/>
          <w:sz w:val="32"/>
          <w:szCs w:val="32"/>
          <w:rtl w:val="0"/>
          <w:lang w:val="zh-TW" w:eastAsia="zh-TW"/>
        </w:rPr>
        <w:t>（二）决算单位构成。</w:t>
      </w:r>
    </w:p>
    <w:p w14:paraId="662B21CF">
      <w:pPr>
        <w:pStyle w:val="13"/>
        <w:framePr w:wrap="auto" w:vAnchor="margin" w:hAnchor="text" w:yAlign="inline"/>
        <w:widowControl/>
        <w:jc w:val="left"/>
      </w:pPr>
      <w:r>
        <w:rPr>
          <w:rFonts w:ascii="仿宋_GB2312" w:hAnsi="仿宋_GB2312" w:eastAsia="仿宋_GB2312" w:cs="仿宋_GB2312"/>
          <w:color w:val="000000"/>
          <w:kern w:val="0"/>
          <w:sz w:val="32"/>
          <w:szCs w:val="32"/>
          <w:u w:color="000000"/>
          <w:rtl w:val="0"/>
          <w:lang w:val="zh-TW" w:eastAsia="zh-TW"/>
        </w:rPr>
        <w:t>岳阳市博物馆</w:t>
      </w:r>
      <w:r>
        <w:rPr>
          <w:rFonts w:ascii="Times New Roman" w:hAnsi="Times New Roman"/>
          <w:color w:val="000000"/>
          <w:kern w:val="0"/>
          <w:sz w:val="32"/>
          <w:szCs w:val="32"/>
          <w:u w:color="000000"/>
          <w:rtl w:val="0"/>
          <w:lang w:val="en-US"/>
        </w:rPr>
        <w:t>202</w:t>
      </w:r>
      <w:r>
        <w:rPr>
          <w:rFonts w:hint="eastAsia" w:ascii="Times New Roman" w:hAnsi="Times New Roman" w:eastAsia="宋体"/>
          <w:color w:val="000000"/>
          <w:kern w:val="0"/>
          <w:sz w:val="32"/>
          <w:szCs w:val="32"/>
          <w:u w:color="000000"/>
          <w:rtl w:val="0"/>
          <w:lang w:val="en-US" w:eastAsia="zh-CN"/>
        </w:rPr>
        <w:t>3</w:t>
      </w:r>
      <w:r>
        <w:rPr>
          <w:rFonts w:ascii="仿宋_GB2312" w:hAnsi="仿宋_GB2312" w:eastAsia="仿宋_GB2312" w:cs="仿宋_GB2312"/>
          <w:color w:val="000000"/>
          <w:kern w:val="0"/>
          <w:sz w:val="32"/>
          <w:szCs w:val="32"/>
          <w:u w:color="000000"/>
          <w:rtl w:val="0"/>
          <w:lang w:val="zh-TW" w:eastAsia="zh-TW"/>
        </w:rPr>
        <w:t>年部门决算汇总公开单位构成包括：岳阳市博物馆本级。本单位无独立核算的下属单位，</w:t>
      </w:r>
      <w:r>
        <w:rPr>
          <w:rFonts w:ascii="Times New Roman" w:hAnsi="Times New Roman"/>
          <w:color w:val="000000"/>
          <w:kern w:val="0"/>
          <w:sz w:val="32"/>
          <w:szCs w:val="32"/>
          <w:u w:color="000000"/>
          <w:rtl w:val="0"/>
          <w:lang w:val="en-US"/>
        </w:rPr>
        <w:t>202</w:t>
      </w:r>
      <w:r>
        <w:rPr>
          <w:rFonts w:hint="eastAsia" w:ascii="Times New Roman" w:hAnsi="Times New Roman" w:eastAsia="宋体"/>
          <w:color w:val="000000"/>
          <w:kern w:val="0"/>
          <w:sz w:val="32"/>
          <w:szCs w:val="32"/>
          <w:u w:color="000000"/>
          <w:rtl w:val="0"/>
          <w:lang w:val="en-US" w:eastAsia="zh-CN"/>
        </w:rPr>
        <w:t>3</w:t>
      </w:r>
      <w:r>
        <w:rPr>
          <w:rFonts w:ascii="仿宋_GB2312" w:hAnsi="仿宋_GB2312" w:eastAsia="仿宋_GB2312" w:cs="仿宋_GB2312"/>
          <w:color w:val="000000"/>
          <w:kern w:val="0"/>
          <w:sz w:val="32"/>
          <w:szCs w:val="32"/>
          <w:u w:color="000000"/>
          <w:rtl w:val="0"/>
          <w:lang w:val="zh-TW" w:eastAsia="zh-TW"/>
        </w:rPr>
        <w:t>年度部门决算汇总公开单位仅包括岳阳市博物馆本级。</w:t>
      </w:r>
    </w:p>
    <w:p w14:paraId="07600688">
      <w:pPr>
        <w:pStyle w:val="4"/>
        <w:framePr w:wrap="auto" w:vAnchor="margin" w:hAnchor="text" w:yAlign="inline"/>
      </w:pPr>
    </w:p>
    <w:p w14:paraId="5E3D2AA1">
      <w:pPr>
        <w:pStyle w:val="5"/>
        <w:framePr w:wrap="auto" w:vAnchor="margin" w:hAnchor="text" w:yAlign="inline"/>
      </w:pPr>
    </w:p>
    <w:p w14:paraId="1C1A754A">
      <w:pPr>
        <w:framePr w:wrap="auto" w:vAnchor="margin" w:hAnchor="text" w:yAlign="inline"/>
      </w:pPr>
    </w:p>
    <w:p w14:paraId="2F080C6C">
      <w:pPr>
        <w:pStyle w:val="4"/>
        <w:framePr w:wrap="auto" w:vAnchor="margin" w:hAnchor="text" w:yAlign="inline"/>
      </w:pPr>
    </w:p>
    <w:p w14:paraId="4321D4AC">
      <w:pPr>
        <w:pStyle w:val="5"/>
        <w:framePr w:wrap="auto" w:vAnchor="margin" w:hAnchor="text" w:yAlign="inline"/>
      </w:pPr>
    </w:p>
    <w:p w14:paraId="21DDFFF6">
      <w:pPr>
        <w:framePr w:wrap="auto" w:vAnchor="margin" w:hAnchor="text" w:yAlign="inline"/>
      </w:pPr>
    </w:p>
    <w:p w14:paraId="7B72AD44">
      <w:pPr>
        <w:pStyle w:val="4"/>
        <w:framePr w:wrap="auto" w:vAnchor="margin" w:hAnchor="text" w:yAlign="inline"/>
      </w:pPr>
    </w:p>
    <w:p w14:paraId="08708067">
      <w:pPr>
        <w:pStyle w:val="5"/>
        <w:framePr w:wrap="auto" w:vAnchor="margin" w:hAnchor="text" w:yAlign="inline"/>
      </w:pPr>
    </w:p>
    <w:p w14:paraId="158DB537">
      <w:pPr>
        <w:framePr w:wrap="auto" w:vAnchor="margin" w:hAnchor="text" w:yAlign="inline"/>
      </w:pPr>
    </w:p>
    <w:p w14:paraId="1E0E237C">
      <w:pPr>
        <w:pStyle w:val="4"/>
        <w:framePr w:wrap="auto" w:vAnchor="margin" w:hAnchor="text" w:yAlign="inline"/>
      </w:pPr>
    </w:p>
    <w:p w14:paraId="0E742427">
      <w:pPr>
        <w:pStyle w:val="5"/>
        <w:framePr w:wrap="auto" w:vAnchor="margin" w:hAnchor="text" w:yAlign="inline"/>
      </w:pPr>
    </w:p>
    <w:p w14:paraId="1DAAC32B">
      <w:pPr>
        <w:framePr w:wrap="auto" w:vAnchor="margin" w:hAnchor="text" w:yAlign="inline"/>
      </w:pPr>
    </w:p>
    <w:p w14:paraId="549FF168">
      <w:pPr>
        <w:pStyle w:val="4"/>
        <w:framePr w:wrap="auto" w:vAnchor="margin" w:hAnchor="text" w:yAlign="inline"/>
      </w:pPr>
    </w:p>
    <w:p w14:paraId="5E9EF652">
      <w:pPr>
        <w:pStyle w:val="5"/>
        <w:framePr w:wrap="auto" w:vAnchor="margin" w:hAnchor="text" w:yAlign="inline"/>
      </w:pPr>
    </w:p>
    <w:p w14:paraId="2D4317D8">
      <w:pPr>
        <w:framePr w:wrap="auto" w:vAnchor="margin" w:hAnchor="text" w:yAlign="inline"/>
      </w:pPr>
    </w:p>
    <w:p w14:paraId="3588D9CD">
      <w:pPr>
        <w:pStyle w:val="4"/>
        <w:framePr w:wrap="auto" w:vAnchor="margin" w:hAnchor="text" w:yAlign="inline"/>
      </w:pPr>
    </w:p>
    <w:p w14:paraId="0006523D">
      <w:pPr>
        <w:pStyle w:val="5"/>
        <w:framePr w:wrap="auto" w:vAnchor="margin" w:hAnchor="text" w:yAlign="inline"/>
      </w:pPr>
    </w:p>
    <w:p w14:paraId="02A0C622">
      <w:pPr>
        <w:framePr w:wrap="auto" w:vAnchor="margin" w:hAnchor="text" w:yAlign="inline"/>
      </w:pPr>
    </w:p>
    <w:p w14:paraId="51C95AEE">
      <w:pPr>
        <w:pStyle w:val="4"/>
        <w:framePr w:wrap="auto" w:vAnchor="margin" w:hAnchor="text" w:yAlign="inline"/>
      </w:pPr>
    </w:p>
    <w:p w14:paraId="116202C6">
      <w:pPr>
        <w:pStyle w:val="5"/>
        <w:framePr w:wrap="auto" w:vAnchor="margin" w:hAnchor="text" w:yAlign="inline"/>
      </w:pPr>
    </w:p>
    <w:p w14:paraId="5CB3C630">
      <w:pPr>
        <w:framePr w:wrap="auto" w:vAnchor="margin" w:hAnchor="text" w:yAlign="inline"/>
      </w:pPr>
    </w:p>
    <w:p w14:paraId="660E6C24">
      <w:pPr>
        <w:pStyle w:val="4"/>
        <w:framePr w:wrap="auto" w:vAnchor="margin" w:hAnchor="text" w:yAlign="inline"/>
      </w:pPr>
    </w:p>
    <w:p w14:paraId="24FFD628">
      <w:pPr>
        <w:pStyle w:val="5"/>
        <w:framePr w:wrap="auto" w:vAnchor="margin" w:hAnchor="text" w:yAlign="inline"/>
      </w:pPr>
    </w:p>
    <w:p w14:paraId="5E01B42B">
      <w:pPr>
        <w:framePr w:wrap="auto" w:vAnchor="margin" w:hAnchor="text" w:yAlign="inline"/>
      </w:pPr>
    </w:p>
    <w:p w14:paraId="73335CD5">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549851EC">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080A81B6">
      <w:pPr>
        <w:pStyle w:val="11"/>
        <w:framePr w:wrap="auto" w:vAnchor="margin" w:hAnchor="text" w:yAlign="inline"/>
        <w:jc w:val="center"/>
        <w:rPr>
          <w:rFonts w:ascii="方正小标宋_GBK" w:hAnsi="方正小标宋_GBK" w:eastAsia="方正小标宋_GBK" w:cs="方正小标宋_GBK"/>
          <w:sz w:val="84"/>
          <w:szCs w:val="84"/>
          <w:lang w:val="zh-TW" w:eastAsia="zh-TW"/>
        </w:rPr>
      </w:pPr>
      <w:r>
        <w:rPr>
          <w:rFonts w:ascii="方正小标宋_GBK" w:hAnsi="方正小标宋_GBK" w:eastAsia="方正小标宋_GBK" w:cs="方正小标宋_GBK"/>
          <w:sz w:val="84"/>
          <w:szCs w:val="84"/>
          <w:rtl w:val="0"/>
          <w:lang w:val="zh-TW" w:eastAsia="zh-TW"/>
        </w:rPr>
        <w:t>第二部分</w:t>
      </w:r>
    </w:p>
    <w:p w14:paraId="103A6C2B">
      <w:pPr>
        <w:pStyle w:val="11"/>
        <w:framePr w:wrap="auto" w:vAnchor="margin" w:hAnchor="text" w:yAlign="inline"/>
        <w:jc w:val="center"/>
        <w:rPr>
          <w:rFonts w:ascii="方正小标宋_GBK" w:hAnsi="方正小标宋_GBK" w:eastAsia="方正小标宋_GBK" w:cs="方正小标宋_GBK"/>
          <w:sz w:val="84"/>
          <w:szCs w:val="84"/>
          <w:lang w:val="zh-TW" w:eastAsia="zh-TW"/>
        </w:rPr>
      </w:pPr>
    </w:p>
    <w:p w14:paraId="65D22AA4">
      <w:pPr>
        <w:pStyle w:val="11"/>
        <w:framePr w:wrap="auto" w:vAnchor="margin" w:hAnchor="text" w:yAlign="inline"/>
        <w:jc w:val="center"/>
        <w:rPr>
          <w:rFonts w:ascii="方正小标宋_GBK" w:hAnsi="方正小标宋_GBK" w:eastAsia="方正小标宋_GBK" w:cs="方正小标宋_GBK"/>
          <w:sz w:val="84"/>
          <w:szCs w:val="84"/>
          <w:lang w:val="zh-TW" w:eastAsia="zh-TW"/>
        </w:rPr>
      </w:pPr>
      <w:r>
        <w:rPr>
          <w:rFonts w:ascii="方正小标宋_GBK" w:hAnsi="方正小标宋_GBK" w:eastAsia="方正小标宋_GBK" w:cs="方正小标宋_GBK"/>
          <w:sz w:val="84"/>
          <w:szCs w:val="84"/>
          <w:rtl w:val="0"/>
          <w:lang w:val="zh-TW" w:eastAsia="zh-TW"/>
        </w:rPr>
        <w:t>部门决算表</w:t>
      </w:r>
    </w:p>
    <w:p w14:paraId="7CF49300">
      <w:pPr>
        <w:pStyle w:val="11"/>
        <w:framePr w:wrap="auto" w:vAnchor="margin" w:hAnchor="text" w:yAlign="inline"/>
        <w:jc w:val="center"/>
        <w:rPr>
          <w:rFonts w:ascii="仿宋_GB2312" w:hAnsi="仿宋_GB2312" w:eastAsia="仿宋_GB2312" w:cs="仿宋_GB2312"/>
          <w:sz w:val="72"/>
          <w:szCs w:val="72"/>
          <w:lang w:val="zh-TW" w:eastAsia="zh-TW"/>
        </w:rPr>
      </w:pPr>
      <w:r>
        <w:rPr>
          <w:rFonts w:ascii="仿宋_GB2312" w:hAnsi="仿宋_GB2312" w:eastAsia="仿宋_GB2312" w:cs="仿宋_GB2312"/>
          <w:sz w:val="72"/>
          <w:szCs w:val="72"/>
          <w:rtl w:val="0"/>
          <w:lang w:val="zh-TW" w:eastAsia="zh-TW"/>
        </w:rPr>
        <w:t>（见附件）</w:t>
      </w:r>
    </w:p>
    <w:p w14:paraId="4EC0F36D">
      <w:pPr>
        <w:pStyle w:val="11"/>
        <w:framePr w:wrap="auto" w:vAnchor="margin" w:hAnchor="text" w:yAlign="inline"/>
        <w:jc w:val="center"/>
        <w:rPr>
          <w:rFonts w:ascii="仿宋_GB2312" w:hAnsi="仿宋_GB2312" w:eastAsia="仿宋_GB2312" w:cs="仿宋_GB2312"/>
          <w:sz w:val="72"/>
          <w:szCs w:val="72"/>
          <w:lang w:val="zh-TW" w:eastAsia="zh-TW"/>
        </w:rPr>
      </w:pPr>
    </w:p>
    <w:p w14:paraId="789FB056">
      <w:pPr>
        <w:pStyle w:val="11"/>
        <w:framePr w:wrap="auto" w:vAnchor="margin" w:hAnchor="text" w:yAlign="inline"/>
        <w:jc w:val="center"/>
        <w:rPr>
          <w:rFonts w:ascii="仿宋_GB2312" w:hAnsi="仿宋_GB2312" w:eastAsia="仿宋_GB2312" w:cs="仿宋_GB2312"/>
          <w:sz w:val="72"/>
          <w:szCs w:val="72"/>
          <w:lang w:val="zh-TW" w:eastAsia="zh-TW"/>
        </w:rPr>
      </w:pPr>
    </w:p>
    <w:p w14:paraId="6F44D9CC">
      <w:pPr>
        <w:pStyle w:val="11"/>
        <w:framePr w:wrap="auto" w:vAnchor="margin" w:hAnchor="text" w:yAlign="inline"/>
        <w:jc w:val="center"/>
        <w:rPr>
          <w:rFonts w:ascii="仿宋_GB2312" w:hAnsi="仿宋_GB2312" w:eastAsia="仿宋_GB2312" w:cs="仿宋_GB2312"/>
          <w:sz w:val="72"/>
          <w:szCs w:val="72"/>
          <w:lang w:val="zh-TW" w:eastAsia="zh-TW"/>
        </w:rPr>
      </w:pPr>
    </w:p>
    <w:p w14:paraId="7C09450B">
      <w:pPr>
        <w:pStyle w:val="11"/>
        <w:framePr w:wrap="auto" w:vAnchor="margin" w:hAnchor="text" w:yAlign="inline"/>
        <w:jc w:val="center"/>
        <w:rPr>
          <w:rFonts w:ascii="仿宋_GB2312" w:hAnsi="仿宋_GB2312" w:eastAsia="仿宋_GB2312" w:cs="仿宋_GB2312"/>
          <w:sz w:val="72"/>
          <w:szCs w:val="72"/>
          <w:lang w:val="zh-TW" w:eastAsia="zh-TW"/>
        </w:rPr>
      </w:pPr>
    </w:p>
    <w:p w14:paraId="3FE5539C">
      <w:pPr>
        <w:pStyle w:val="11"/>
        <w:framePr w:wrap="auto" w:vAnchor="margin" w:hAnchor="text" w:yAlign="inline"/>
        <w:jc w:val="center"/>
        <w:rPr>
          <w:rFonts w:ascii="仿宋_GB2312" w:hAnsi="仿宋_GB2312" w:eastAsia="仿宋_GB2312" w:cs="仿宋_GB2312"/>
          <w:sz w:val="72"/>
          <w:szCs w:val="72"/>
          <w:lang w:val="zh-TW" w:eastAsia="zh-TW"/>
        </w:rPr>
      </w:pPr>
    </w:p>
    <w:p w14:paraId="6C149A8A">
      <w:pPr>
        <w:pStyle w:val="11"/>
        <w:framePr w:wrap="auto" w:vAnchor="margin" w:hAnchor="text" w:yAlign="inline"/>
        <w:jc w:val="center"/>
        <w:rPr>
          <w:rFonts w:ascii="仿宋_GB2312" w:hAnsi="仿宋_GB2312" w:eastAsia="仿宋_GB2312" w:cs="仿宋_GB2312"/>
          <w:sz w:val="72"/>
          <w:szCs w:val="72"/>
          <w:lang w:val="zh-TW" w:eastAsia="zh-TW"/>
        </w:rPr>
      </w:pPr>
    </w:p>
    <w:p w14:paraId="6F523210">
      <w:pPr>
        <w:pStyle w:val="11"/>
        <w:framePr w:wrap="auto" w:vAnchor="margin" w:hAnchor="text" w:yAlign="inline"/>
        <w:jc w:val="center"/>
        <w:rPr>
          <w:rFonts w:ascii="仿宋_GB2312" w:hAnsi="仿宋_GB2312" w:eastAsia="仿宋_GB2312" w:cs="仿宋_GB2312"/>
          <w:sz w:val="72"/>
          <w:szCs w:val="72"/>
          <w:lang w:val="zh-TW" w:eastAsia="zh-TW"/>
        </w:rPr>
      </w:pPr>
    </w:p>
    <w:p w14:paraId="1BCB87BE">
      <w:pPr>
        <w:pStyle w:val="11"/>
        <w:framePr w:wrap="auto" w:vAnchor="margin" w:hAnchor="text" w:yAlign="inline"/>
        <w:jc w:val="center"/>
        <w:rPr>
          <w:rFonts w:ascii="方正小标宋_GBK" w:hAnsi="方正小标宋_GBK" w:eastAsia="方正小标宋_GBK" w:cs="方正小标宋_GBK"/>
          <w:sz w:val="72"/>
          <w:szCs w:val="72"/>
          <w:lang w:val="zh-TW" w:eastAsia="zh-TW"/>
        </w:rPr>
      </w:pPr>
    </w:p>
    <w:p w14:paraId="79218B43">
      <w:pPr>
        <w:pStyle w:val="11"/>
        <w:framePr w:wrap="auto" w:vAnchor="margin" w:hAnchor="text" w:yAlign="inline"/>
        <w:jc w:val="center"/>
        <w:rPr>
          <w:rFonts w:ascii="方正小标宋_GBK" w:hAnsi="方正小标宋_GBK" w:eastAsia="方正小标宋_GBK" w:cs="方正小标宋_GBK"/>
          <w:sz w:val="72"/>
          <w:szCs w:val="72"/>
          <w:lang w:val="zh-TW" w:eastAsia="zh-TW"/>
        </w:rPr>
      </w:pPr>
    </w:p>
    <w:p w14:paraId="16085120">
      <w:pPr>
        <w:pStyle w:val="11"/>
        <w:framePr w:wrap="auto" w:vAnchor="margin" w:hAnchor="text" w:yAlign="inline"/>
        <w:rPr>
          <w:rFonts w:ascii="方正小标宋_GBK" w:hAnsi="方正小标宋_GBK" w:eastAsia="方正小标宋_GBK" w:cs="方正小标宋_GBK"/>
          <w:sz w:val="72"/>
          <w:szCs w:val="72"/>
          <w:lang w:val="zh-TW" w:eastAsia="zh-TW"/>
        </w:rPr>
      </w:pPr>
    </w:p>
    <w:p w14:paraId="489A53BC">
      <w:pPr>
        <w:pStyle w:val="11"/>
        <w:framePr w:wrap="auto" w:vAnchor="margin" w:hAnchor="text" w:yAlign="inline"/>
        <w:jc w:val="center"/>
        <w:rPr>
          <w:rFonts w:ascii="方正小标宋_GBK" w:hAnsi="方正小标宋_GBK" w:eastAsia="方正小标宋_GBK" w:cs="方正小标宋_GBK"/>
          <w:sz w:val="72"/>
          <w:szCs w:val="72"/>
          <w:lang w:val="zh-TW" w:eastAsia="zh-TW"/>
        </w:rPr>
      </w:pPr>
      <w:r>
        <w:rPr>
          <w:rFonts w:ascii="方正小标宋_GBK" w:hAnsi="方正小标宋_GBK" w:eastAsia="方正小标宋_GBK" w:cs="方正小标宋_GBK"/>
          <w:sz w:val="72"/>
          <w:szCs w:val="72"/>
          <w:rtl w:val="0"/>
          <w:lang w:val="zh-TW" w:eastAsia="zh-TW"/>
        </w:rPr>
        <w:t>第三部分</w:t>
      </w:r>
    </w:p>
    <w:p w14:paraId="27096CEA">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7435B4F1">
      <w:pPr>
        <w:pStyle w:val="11"/>
        <w:framePr w:wrap="auto" w:vAnchor="margin" w:hAnchor="text" w:yAlign="inline"/>
        <w:jc w:val="center"/>
        <w:rPr>
          <w:rFonts w:ascii="方正小标宋_GBK" w:hAnsi="方正小标宋_GBK" w:eastAsia="方正小标宋_GBK" w:cs="方正小标宋_GBK"/>
          <w:sz w:val="70"/>
          <w:szCs w:val="70"/>
        </w:rPr>
      </w:pPr>
      <w:r>
        <w:rPr>
          <w:rFonts w:ascii="方正小标宋_GBK" w:hAnsi="方正小标宋_GBK" w:eastAsia="方正小标宋_GBK" w:cs="方正小标宋_GBK"/>
          <w:sz w:val="70"/>
          <w:szCs w:val="70"/>
          <w:rtl w:val="0"/>
          <w:lang w:val="en-US"/>
        </w:rPr>
        <w:t>2023</w:t>
      </w:r>
      <w:r>
        <w:rPr>
          <w:rFonts w:ascii="方正小标宋_GBK" w:hAnsi="方正小标宋_GBK" w:eastAsia="方正小标宋_GBK" w:cs="方正小标宋_GBK"/>
          <w:sz w:val="70"/>
          <w:szCs w:val="70"/>
          <w:rtl w:val="0"/>
          <w:lang w:val="zh-TW" w:eastAsia="zh-TW"/>
        </w:rPr>
        <w:t>年度部门决算情况说明</w:t>
      </w:r>
    </w:p>
    <w:p w14:paraId="46F73861">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006FA169">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4C3FA567">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5A024FBE">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7F102874">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40237B78">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5B7DD45E">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一、收入支出决算总体情况说明</w:t>
      </w:r>
    </w:p>
    <w:p w14:paraId="71D554C4">
      <w:pPr>
        <w:pStyle w:val="11"/>
        <w:framePr w:wrap="auto" w:vAnchor="margin" w:hAnchor="text" w:yAlign="inline"/>
        <w:spacing w:line="60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年度收、支总计</w:t>
      </w:r>
      <w:r>
        <w:rPr>
          <w:rFonts w:ascii="仿宋_GB2312" w:hAnsi="仿宋_GB2312" w:eastAsia="仿宋_GB2312" w:cs="仿宋_GB2312"/>
          <w:sz w:val="32"/>
          <w:szCs w:val="32"/>
          <w:rtl w:val="0"/>
          <w:lang w:val="zh-CN" w:eastAsia="zh-CN"/>
        </w:rPr>
        <w:t>920.22</w:t>
      </w:r>
      <w:r>
        <w:rPr>
          <w:rFonts w:ascii="仿宋_GB2312" w:hAnsi="仿宋_GB2312" w:eastAsia="仿宋_GB2312" w:cs="仿宋_GB2312"/>
          <w:sz w:val="32"/>
          <w:szCs w:val="32"/>
          <w:rtl w:val="0"/>
          <w:lang w:val="zh-TW" w:eastAsia="zh-TW"/>
        </w:rPr>
        <w:t>万元。与上年相比，减少</w:t>
      </w:r>
      <w:r>
        <w:rPr>
          <w:rFonts w:ascii="仿宋_GB2312" w:hAnsi="仿宋_GB2312" w:eastAsia="仿宋_GB2312" w:cs="仿宋_GB2312"/>
          <w:sz w:val="32"/>
          <w:szCs w:val="32"/>
          <w:rtl w:val="0"/>
          <w:lang w:val="zh-CN" w:eastAsia="zh-CN"/>
        </w:rPr>
        <w:t>181.15</w:t>
      </w:r>
      <w:r>
        <w:rPr>
          <w:rFonts w:ascii="仿宋_GB2312" w:hAnsi="仿宋_GB2312" w:eastAsia="仿宋_GB2312" w:cs="仿宋_GB2312"/>
          <w:sz w:val="32"/>
          <w:szCs w:val="32"/>
          <w:rtl w:val="0"/>
          <w:lang w:val="zh-TW" w:eastAsia="zh-TW"/>
        </w:rPr>
        <w:t>万元，减少</w:t>
      </w:r>
      <w:r>
        <w:rPr>
          <w:rFonts w:ascii="仿宋_GB2312" w:hAnsi="仿宋_GB2312" w:eastAsia="仿宋_GB2312" w:cs="仿宋_GB2312"/>
          <w:sz w:val="32"/>
          <w:szCs w:val="32"/>
          <w:rtl w:val="0"/>
          <w:lang w:val="zh-CN" w:eastAsia="zh-CN"/>
        </w:rPr>
        <w:t>16.45</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，主要是因为根据财政要求一般商品和服务支出要缩减</w:t>
      </w:r>
      <w:r>
        <w:rPr>
          <w:rFonts w:ascii="仿宋_GB2312" w:hAnsi="仿宋_GB2312" w:eastAsia="仿宋_GB2312" w:cs="仿宋_GB2312"/>
          <w:sz w:val="32"/>
          <w:szCs w:val="32"/>
          <w:rtl w:val="0"/>
          <w:lang w:val="zh-CN" w:eastAsia="zh-CN"/>
        </w:rPr>
        <w:t>。</w:t>
      </w:r>
    </w:p>
    <w:p w14:paraId="1CE7F199">
      <w:pPr>
        <w:framePr w:wrap="auto" w:vAnchor="margin" w:hAnchor="text" w:yAlign="inline"/>
        <w:ind w:firstLine="640"/>
        <w:rPr>
          <w:sz w:val="32"/>
          <w:szCs w:val="32"/>
          <w:lang w:val="zh-TW" w:eastAsia="zh-TW"/>
        </w:rPr>
      </w:pPr>
      <w:r>
        <w:rPr>
          <w:sz w:val="32"/>
          <w:szCs w:val="32"/>
          <w:rtl w:val="0"/>
          <w:lang w:val="zh-TW" w:eastAsia="zh-TW"/>
        </w:rPr>
        <w:t>二、收入决算情况说明</w:t>
      </w:r>
    </w:p>
    <w:p w14:paraId="577D515A">
      <w:pPr>
        <w:pStyle w:val="11"/>
        <w:framePr w:wrap="auto" w:vAnchor="margin" w:hAnchor="text" w:yAlign="inline"/>
        <w:spacing w:line="600" w:lineRule="exact"/>
        <w:ind w:firstLine="640"/>
        <w:jc w:val="left"/>
        <w:rPr>
          <w:rFonts w:ascii="仿宋_GB2312" w:hAnsi="仿宋_GB2312" w:eastAsia="仿宋_GB2312" w:cs="仿宋_GB2312"/>
          <w:color w:val="000000"/>
          <w:kern w:val="0"/>
          <w:sz w:val="32"/>
          <w:szCs w:val="32"/>
          <w:u w:color="000000"/>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年度收入合计</w:t>
      </w:r>
      <w:r>
        <w:rPr>
          <w:rFonts w:ascii="仿宋_GB2312" w:hAnsi="仿宋_GB2312" w:eastAsia="仿宋_GB2312" w:cs="仿宋_GB2312"/>
          <w:sz w:val="32"/>
          <w:szCs w:val="32"/>
          <w:rtl w:val="0"/>
          <w:lang w:val="zh-CN" w:eastAsia="zh-CN"/>
        </w:rPr>
        <w:t>920.22</w:t>
      </w:r>
      <w:r>
        <w:rPr>
          <w:rFonts w:ascii="仿宋_GB2312" w:hAnsi="仿宋_GB2312" w:eastAsia="仿宋_GB2312" w:cs="仿宋_GB2312"/>
          <w:sz w:val="32"/>
          <w:szCs w:val="32"/>
          <w:rtl w:val="0"/>
          <w:lang w:val="zh-TW" w:eastAsia="zh-TW"/>
        </w:rPr>
        <w:t>万元，其中：财政拨款收入</w:t>
      </w:r>
      <w:r>
        <w:rPr>
          <w:rFonts w:ascii="仿宋_GB2312" w:hAnsi="仿宋_GB2312" w:eastAsia="仿宋_GB2312" w:cs="仿宋_GB2312"/>
          <w:sz w:val="32"/>
          <w:szCs w:val="32"/>
          <w:rtl w:val="0"/>
          <w:lang w:val="zh-CN" w:eastAsia="zh-CN"/>
        </w:rPr>
        <w:t>856.38</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93.06</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；上级补助收入</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；事业收入</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；经营收入</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；附属单位上缴收入</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；其他收入</w:t>
      </w:r>
      <w:r>
        <w:rPr>
          <w:rFonts w:ascii="仿宋_GB2312" w:hAnsi="仿宋_GB2312" w:eastAsia="仿宋_GB2312" w:cs="仿宋_GB2312"/>
          <w:sz w:val="32"/>
          <w:szCs w:val="32"/>
          <w:rtl w:val="0"/>
          <w:lang w:val="zh-CN" w:eastAsia="zh-CN"/>
        </w:rPr>
        <w:t>63.84</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6.94</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w:t>
      </w:r>
    </w:p>
    <w:p w14:paraId="34E1A383">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三、支出决算情况说明</w:t>
      </w:r>
    </w:p>
    <w:p w14:paraId="002B78F4">
      <w:pPr>
        <w:pStyle w:val="11"/>
        <w:framePr w:wrap="auto" w:vAnchor="margin" w:hAnchor="text" w:yAlign="inline"/>
        <w:spacing w:line="600" w:lineRule="exact"/>
        <w:ind w:firstLine="640"/>
        <w:jc w:val="left"/>
        <w:rPr>
          <w:rFonts w:ascii="仿宋_GB2312" w:hAnsi="仿宋_GB2312" w:eastAsia="仿宋_GB2312" w:cs="仿宋_GB2312"/>
          <w:color w:val="000000"/>
          <w:kern w:val="0"/>
          <w:sz w:val="32"/>
          <w:szCs w:val="32"/>
          <w:u w:color="000000"/>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年度支出合计</w:t>
      </w:r>
      <w:r>
        <w:rPr>
          <w:rFonts w:ascii="仿宋_GB2312" w:hAnsi="仿宋_GB2312" w:eastAsia="仿宋_GB2312" w:cs="仿宋_GB2312"/>
          <w:sz w:val="32"/>
          <w:szCs w:val="32"/>
          <w:rtl w:val="0"/>
          <w:lang w:val="zh-CN" w:eastAsia="zh-CN"/>
        </w:rPr>
        <w:t>894.70</w:t>
      </w:r>
      <w:r>
        <w:rPr>
          <w:rFonts w:ascii="仿宋_GB2312" w:hAnsi="仿宋_GB2312" w:eastAsia="仿宋_GB2312" w:cs="仿宋_GB2312"/>
          <w:sz w:val="32"/>
          <w:szCs w:val="32"/>
          <w:rtl w:val="0"/>
          <w:lang w:val="zh-TW" w:eastAsia="zh-TW"/>
        </w:rPr>
        <w:t>万元，其中：基本支出</w:t>
      </w:r>
      <w:r>
        <w:rPr>
          <w:rFonts w:ascii="仿宋_GB2312" w:hAnsi="仿宋_GB2312" w:eastAsia="仿宋_GB2312" w:cs="仿宋_GB2312"/>
          <w:sz w:val="32"/>
          <w:szCs w:val="32"/>
          <w:rtl w:val="0"/>
          <w:lang w:val="zh-CN" w:eastAsia="zh-CN"/>
        </w:rPr>
        <w:t>334.54</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37.39</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；项目支出</w:t>
      </w:r>
      <w:r>
        <w:rPr>
          <w:rFonts w:ascii="仿宋_GB2312" w:hAnsi="仿宋_GB2312" w:eastAsia="仿宋_GB2312" w:cs="仿宋_GB2312"/>
          <w:sz w:val="32"/>
          <w:szCs w:val="32"/>
          <w:rtl w:val="0"/>
          <w:lang w:val="zh-CN" w:eastAsia="zh-CN"/>
        </w:rPr>
        <w:t>560.16</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62.61</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；上缴上级支出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；经营支出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；对附属单位补助支出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w:t>
      </w:r>
    </w:p>
    <w:p w14:paraId="3487520A">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四、财政拨款收入支出决算总体情况说明</w:t>
      </w:r>
    </w:p>
    <w:p w14:paraId="0E110706">
      <w:pPr>
        <w:pStyle w:val="11"/>
        <w:framePr w:wrap="auto" w:vAnchor="margin" w:hAnchor="text" w:yAlign="inline"/>
        <w:spacing w:line="600" w:lineRule="exact"/>
        <w:jc w:val="left"/>
        <w:rPr>
          <w:rFonts w:ascii="仿宋_GB2312" w:hAnsi="仿宋_GB2312" w:eastAsia="仿宋_GB2312" w:cs="仿宋_GB2312"/>
          <w:sz w:val="32"/>
          <w:szCs w:val="32"/>
        </w:rPr>
      </w:pPr>
      <w:r>
        <w:rPr>
          <w:rFonts w:ascii="Times New Roman" w:hAnsi="Times New Roman"/>
          <w:sz w:val="32"/>
          <w:szCs w:val="32"/>
          <w:rtl w:val="0"/>
          <w:lang w:val="en-US"/>
        </w:rPr>
        <w:t xml:space="preserve">   </w:t>
      </w:r>
      <w:r>
        <w:rPr>
          <w:rFonts w:ascii="仿宋_GB2312" w:hAnsi="仿宋_GB2312" w:eastAsia="仿宋_GB2312" w:cs="仿宋_GB2312"/>
          <w:sz w:val="32"/>
          <w:szCs w:val="32"/>
          <w:rtl w:val="0"/>
          <w:lang w:val="en-US"/>
        </w:rPr>
        <w:t xml:space="preserve"> 2023</w:t>
      </w:r>
      <w:r>
        <w:rPr>
          <w:rFonts w:ascii="仿宋_GB2312" w:hAnsi="仿宋_GB2312" w:eastAsia="仿宋_GB2312" w:cs="仿宋_GB2312"/>
          <w:sz w:val="32"/>
          <w:szCs w:val="32"/>
          <w:rtl w:val="0"/>
          <w:lang w:val="zh-TW" w:eastAsia="zh-TW"/>
        </w:rPr>
        <w:t>年度财政拨款收、支总计</w:t>
      </w:r>
      <w:r>
        <w:rPr>
          <w:rFonts w:ascii="仿宋_GB2312" w:hAnsi="仿宋_GB2312" w:eastAsia="仿宋_GB2312" w:cs="仿宋_GB2312"/>
          <w:sz w:val="32"/>
          <w:szCs w:val="32"/>
          <w:rtl w:val="0"/>
          <w:lang w:val="zh-CN" w:eastAsia="zh-CN"/>
        </w:rPr>
        <w:t>856.38</w:t>
      </w:r>
      <w:r>
        <w:rPr>
          <w:rFonts w:ascii="仿宋_GB2312" w:hAnsi="仿宋_GB2312" w:eastAsia="仿宋_GB2312" w:cs="仿宋_GB2312"/>
          <w:sz w:val="32"/>
          <w:szCs w:val="32"/>
          <w:rtl w:val="0"/>
          <w:lang w:val="zh-TW" w:eastAsia="zh-TW"/>
        </w:rPr>
        <w:t>万元，与上年相比，减少</w:t>
      </w:r>
      <w:r>
        <w:rPr>
          <w:rFonts w:ascii="仿宋_GB2312" w:hAnsi="仿宋_GB2312" w:eastAsia="仿宋_GB2312" w:cs="仿宋_GB2312"/>
          <w:sz w:val="32"/>
          <w:szCs w:val="32"/>
          <w:rtl w:val="0"/>
          <w:lang w:val="zh-CN" w:eastAsia="zh-CN"/>
        </w:rPr>
        <w:t>173.47</w:t>
      </w:r>
      <w:r>
        <w:rPr>
          <w:rFonts w:ascii="仿宋_GB2312" w:hAnsi="仿宋_GB2312" w:eastAsia="仿宋_GB2312" w:cs="仿宋_GB2312"/>
          <w:sz w:val="32"/>
          <w:szCs w:val="32"/>
          <w:rtl w:val="0"/>
          <w:lang w:val="zh-TW" w:eastAsia="zh-TW"/>
        </w:rPr>
        <w:t>万元</w:t>
      </w:r>
      <w:r>
        <w:rPr>
          <w:rFonts w:ascii="仿宋_GB2312" w:hAnsi="仿宋_GB2312" w:eastAsia="仿宋_GB2312" w:cs="仿宋_GB2312"/>
          <w:sz w:val="32"/>
          <w:szCs w:val="32"/>
          <w:rtl w:val="0"/>
          <w:lang w:val="en-US" w:eastAsia="zh-TW"/>
        </w:rPr>
        <w:t>,</w:t>
      </w:r>
      <w:r>
        <w:rPr>
          <w:rFonts w:ascii="仿宋_GB2312" w:hAnsi="仿宋_GB2312" w:eastAsia="仿宋_GB2312" w:cs="仿宋_GB2312"/>
          <w:sz w:val="32"/>
          <w:szCs w:val="32"/>
          <w:rtl w:val="0"/>
          <w:lang w:val="zh-TW" w:eastAsia="zh-TW"/>
        </w:rPr>
        <w:t>减少</w:t>
      </w:r>
      <w:r>
        <w:rPr>
          <w:rFonts w:ascii="仿宋_GB2312" w:hAnsi="仿宋_GB2312" w:eastAsia="仿宋_GB2312" w:cs="仿宋_GB2312"/>
          <w:sz w:val="32"/>
          <w:szCs w:val="32"/>
          <w:rtl w:val="0"/>
          <w:lang w:val="zh-CN" w:eastAsia="zh-CN"/>
        </w:rPr>
        <w:t>16.84</w:t>
      </w:r>
      <w:r>
        <w:rPr>
          <w:rFonts w:ascii="仿宋_GB2312" w:hAnsi="仿宋_GB2312" w:eastAsia="仿宋_GB2312" w:cs="仿宋_GB2312"/>
          <w:sz w:val="32"/>
          <w:szCs w:val="32"/>
          <w:rtl w:val="0"/>
          <w:lang w:val="en-US" w:eastAsia="zh-TW"/>
        </w:rPr>
        <w:t>%</w:t>
      </w:r>
      <w:r>
        <w:rPr>
          <w:rFonts w:ascii="仿宋_GB2312" w:hAnsi="仿宋_GB2312" w:eastAsia="仿宋_GB2312" w:cs="仿宋_GB2312"/>
          <w:sz w:val="32"/>
          <w:szCs w:val="32"/>
          <w:rtl w:val="0"/>
          <w:lang w:val="zh-TW" w:eastAsia="zh-TW"/>
        </w:rPr>
        <w:t>，主要是因为</w:t>
      </w:r>
      <w:r>
        <w:rPr>
          <w:rFonts w:ascii="仿宋_GB2312" w:hAnsi="仿宋_GB2312" w:eastAsia="仿宋_GB2312" w:cs="仿宋_GB2312"/>
          <w:sz w:val="32"/>
          <w:szCs w:val="32"/>
          <w:rtl w:val="0"/>
          <w:lang w:val="zh-CN" w:eastAsia="zh-CN"/>
        </w:rPr>
        <w:t>根</w:t>
      </w:r>
      <w:r>
        <w:rPr>
          <w:rFonts w:ascii="仿宋_GB2312" w:hAnsi="仿宋_GB2312" w:eastAsia="仿宋_GB2312" w:cs="仿宋_GB2312"/>
          <w:sz w:val="32"/>
          <w:szCs w:val="32"/>
          <w:rtl w:val="0"/>
          <w:lang w:val="zh-TW" w:eastAsia="zh-TW"/>
        </w:rPr>
        <w:t>据财政要求一般商品和服务支出要缩减</w:t>
      </w:r>
      <w:r>
        <w:rPr>
          <w:rFonts w:ascii="仿宋_GB2312" w:hAnsi="仿宋_GB2312" w:eastAsia="仿宋_GB2312" w:cs="仿宋_GB2312"/>
          <w:sz w:val="32"/>
          <w:szCs w:val="32"/>
          <w:rtl w:val="0"/>
          <w:lang w:val="zh-CN" w:eastAsia="zh-CN"/>
        </w:rPr>
        <w:t>。</w:t>
      </w:r>
    </w:p>
    <w:p w14:paraId="5AA6F61E">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五、一般公共预算财政拨款支出决算情况说明</w:t>
      </w:r>
    </w:p>
    <w:p w14:paraId="1CC8C710">
      <w:pPr>
        <w:pStyle w:val="11"/>
        <w:framePr w:wrap="auto" w:vAnchor="margin" w:hAnchor="text" w:yAlign="inline"/>
        <w:spacing w:line="600" w:lineRule="exact"/>
        <w:ind w:firstLine="640"/>
        <w:jc w:val="left"/>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（一）一般公共预算财政拨款支出决算总体情况</w:t>
      </w:r>
    </w:p>
    <w:p w14:paraId="30AF589F">
      <w:pPr>
        <w:pStyle w:val="11"/>
        <w:framePr w:wrap="auto" w:vAnchor="margin" w:hAnchor="text" w:yAlign="inline"/>
        <w:spacing w:line="600" w:lineRule="exact"/>
        <w:ind w:firstLine="800"/>
        <w:jc w:val="left"/>
        <w:rPr>
          <w:rFonts w:ascii="仿宋_GB2312" w:hAnsi="仿宋_GB2312" w:eastAsia="仿宋_GB2312" w:cs="仿宋_GB2312"/>
          <w:i/>
          <w:iCs/>
          <w:color w:val="FF0000"/>
          <w:sz w:val="32"/>
          <w:szCs w:val="32"/>
          <w:u w:color="FF0000"/>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年度财政拨款支出</w:t>
      </w:r>
      <w:r>
        <w:rPr>
          <w:rFonts w:ascii="仿宋_GB2312" w:hAnsi="仿宋_GB2312" w:eastAsia="仿宋_GB2312" w:cs="仿宋_GB2312"/>
          <w:sz w:val="32"/>
          <w:szCs w:val="32"/>
          <w:rtl w:val="0"/>
          <w:lang w:val="zh-CN" w:eastAsia="zh-CN"/>
        </w:rPr>
        <w:t>856.38</w:t>
      </w:r>
      <w:r>
        <w:rPr>
          <w:rFonts w:ascii="仿宋_GB2312" w:hAnsi="仿宋_GB2312" w:eastAsia="仿宋_GB2312" w:cs="仿宋_GB2312"/>
          <w:sz w:val="32"/>
          <w:szCs w:val="32"/>
          <w:rtl w:val="0"/>
          <w:lang w:val="zh-TW" w:eastAsia="zh-TW"/>
        </w:rPr>
        <w:t>万元，占本年支出合计的</w:t>
      </w:r>
      <w:r>
        <w:rPr>
          <w:rFonts w:ascii="仿宋_GB2312" w:hAnsi="仿宋_GB2312" w:eastAsia="仿宋_GB2312" w:cs="仿宋_GB2312"/>
          <w:sz w:val="32"/>
          <w:szCs w:val="32"/>
          <w:rtl w:val="0"/>
          <w:lang w:val="zh-CN" w:eastAsia="zh-CN"/>
        </w:rPr>
        <w:t>95.72</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，与上年相比，财政拨款支出减少</w:t>
      </w:r>
      <w:r>
        <w:rPr>
          <w:rFonts w:ascii="仿宋_GB2312" w:hAnsi="仿宋_GB2312" w:eastAsia="仿宋_GB2312" w:cs="仿宋_GB2312"/>
          <w:sz w:val="32"/>
          <w:szCs w:val="32"/>
          <w:rtl w:val="0"/>
          <w:lang w:val="zh-CN" w:eastAsia="zh-CN"/>
        </w:rPr>
        <w:t>173.47</w:t>
      </w:r>
      <w:r>
        <w:rPr>
          <w:rFonts w:ascii="仿宋_GB2312" w:hAnsi="仿宋_GB2312" w:eastAsia="仿宋_GB2312" w:cs="仿宋_GB2312"/>
          <w:sz w:val="32"/>
          <w:szCs w:val="32"/>
          <w:rtl w:val="0"/>
          <w:lang w:val="zh-TW" w:eastAsia="zh-TW"/>
        </w:rPr>
        <w:t>万元，减少</w:t>
      </w:r>
      <w:r>
        <w:rPr>
          <w:rFonts w:ascii="仿宋_GB2312" w:hAnsi="仿宋_GB2312" w:eastAsia="仿宋_GB2312" w:cs="仿宋_GB2312"/>
          <w:sz w:val="32"/>
          <w:szCs w:val="32"/>
          <w:rtl w:val="0"/>
          <w:lang w:val="zh-CN" w:eastAsia="zh-CN"/>
        </w:rPr>
        <w:t>16.84</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，主要是因为</w:t>
      </w:r>
      <w:r>
        <w:rPr>
          <w:rtl w:val="0"/>
          <w:lang w:val="zh-CN" w:eastAsia="zh-CN"/>
        </w:rPr>
        <w:t>根</w:t>
      </w:r>
      <w:r>
        <w:rPr>
          <w:rFonts w:ascii="仿宋_GB2312" w:hAnsi="仿宋_GB2312" w:eastAsia="仿宋_GB2312" w:cs="仿宋_GB2312"/>
          <w:sz w:val="32"/>
          <w:szCs w:val="32"/>
          <w:rtl w:val="0"/>
          <w:lang w:val="zh-TW" w:eastAsia="zh-TW"/>
        </w:rPr>
        <w:t>据财政要求一般商品和服务支出要缩减</w:t>
      </w:r>
      <w:r>
        <w:rPr>
          <w:rFonts w:ascii="仿宋_GB2312" w:hAnsi="仿宋_GB2312" w:eastAsia="仿宋_GB2312" w:cs="仿宋_GB2312"/>
          <w:sz w:val="32"/>
          <w:szCs w:val="32"/>
          <w:rtl w:val="0"/>
          <w:lang w:val="zh-CN" w:eastAsia="zh-CN"/>
        </w:rPr>
        <w:t>。</w:t>
      </w:r>
    </w:p>
    <w:p w14:paraId="40C749E6">
      <w:pPr>
        <w:pStyle w:val="11"/>
        <w:framePr w:wrap="auto" w:vAnchor="margin" w:hAnchor="text" w:yAlign="inline"/>
        <w:spacing w:line="600" w:lineRule="exact"/>
        <w:ind w:firstLine="800"/>
        <w:jc w:val="left"/>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（二）一般公共预算财政拨款支出决算结构情况</w:t>
      </w:r>
    </w:p>
    <w:p w14:paraId="7B776470">
      <w:pPr>
        <w:pStyle w:val="11"/>
        <w:framePr w:wrap="auto" w:vAnchor="margin" w:hAnchor="text" w:yAlign="inline"/>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年度财政拨款支出</w:t>
      </w:r>
      <w:r>
        <w:rPr>
          <w:rFonts w:ascii="仿宋_GB2312" w:hAnsi="仿宋_GB2312" w:eastAsia="仿宋_GB2312" w:cs="仿宋_GB2312"/>
          <w:sz w:val="32"/>
          <w:szCs w:val="32"/>
          <w:rtl w:val="0"/>
          <w:lang w:val="zh-CN" w:eastAsia="zh-CN"/>
        </w:rPr>
        <w:t>856.38</w:t>
      </w:r>
      <w:r>
        <w:rPr>
          <w:rFonts w:ascii="仿宋_GB2312" w:hAnsi="仿宋_GB2312" w:eastAsia="仿宋_GB2312" w:cs="仿宋_GB2312"/>
          <w:sz w:val="32"/>
          <w:szCs w:val="32"/>
          <w:rtl w:val="0"/>
          <w:lang w:val="zh-TW" w:eastAsia="zh-TW"/>
        </w:rPr>
        <w:t>万元，主要用于以下方面</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文化旅游体育与传媒</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（类）支出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794.98</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万元，占</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92.83</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社会保障和就业</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（类）支出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35.59</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万元，占</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4.16</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卫生健康（类）支出11.84万元，占1.38%；住房保障（类）支出13.97万元，占1.63%。</w:t>
      </w:r>
    </w:p>
    <w:p w14:paraId="1FC5F4A0">
      <w:pPr>
        <w:pStyle w:val="11"/>
        <w:framePr w:wrap="auto" w:vAnchor="margin" w:hAnchor="text" w:yAlign="inline"/>
        <w:spacing w:line="600" w:lineRule="exact"/>
        <w:ind w:firstLine="800"/>
        <w:jc w:val="left"/>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（三）一般公共预算财政拨款支出决算具体情况</w:t>
      </w:r>
    </w:p>
    <w:p w14:paraId="566365B7">
      <w:pPr>
        <w:pStyle w:val="11"/>
        <w:framePr w:wrap="auto" w:vAnchor="margin" w:hAnchor="text" w:yAlign="inline"/>
        <w:spacing w:line="600" w:lineRule="exact"/>
        <w:ind w:firstLine="800"/>
        <w:jc w:val="left"/>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年度财政拨款支出年初预算数为</w:t>
      </w:r>
      <w:r>
        <w:rPr>
          <w:rFonts w:ascii="仿宋_GB2312" w:hAnsi="仿宋_GB2312" w:eastAsia="仿宋_GB2312" w:cs="仿宋_GB2312"/>
          <w:sz w:val="32"/>
          <w:szCs w:val="32"/>
          <w:rtl w:val="0"/>
          <w:lang w:val="zh-CN" w:eastAsia="zh-CN"/>
        </w:rPr>
        <w:t>253.78</w:t>
      </w:r>
      <w:r>
        <w:rPr>
          <w:rFonts w:ascii="仿宋_GB2312" w:hAnsi="仿宋_GB2312" w:eastAsia="仿宋_GB2312" w:cs="仿宋_GB2312"/>
          <w:sz w:val="32"/>
          <w:szCs w:val="32"/>
          <w:rtl w:val="0"/>
          <w:lang w:val="zh-TW" w:eastAsia="zh-TW"/>
        </w:rPr>
        <w:t>万元，支出决算数为</w:t>
      </w:r>
      <w:r>
        <w:rPr>
          <w:rFonts w:ascii="仿宋_GB2312" w:hAnsi="仿宋_GB2312" w:eastAsia="仿宋_GB2312" w:cs="仿宋_GB2312"/>
          <w:sz w:val="32"/>
          <w:szCs w:val="32"/>
          <w:rtl w:val="0"/>
          <w:lang w:val="zh-CN" w:eastAsia="zh-CN"/>
        </w:rPr>
        <w:t>856.38</w:t>
      </w:r>
      <w:r>
        <w:rPr>
          <w:rFonts w:ascii="仿宋_GB2312" w:hAnsi="仿宋_GB2312" w:eastAsia="仿宋_GB2312" w:cs="仿宋_GB2312"/>
          <w:sz w:val="32"/>
          <w:szCs w:val="32"/>
          <w:rtl w:val="0"/>
          <w:lang w:val="zh-TW" w:eastAsia="zh-TW"/>
        </w:rPr>
        <w:t>万元，完成年初预算的</w:t>
      </w:r>
      <w:r>
        <w:rPr>
          <w:rFonts w:ascii="仿宋_GB2312" w:hAnsi="仿宋_GB2312" w:eastAsia="仿宋_GB2312" w:cs="仿宋_GB2312"/>
          <w:sz w:val="32"/>
          <w:szCs w:val="32"/>
          <w:rtl w:val="0"/>
          <w:lang w:val="zh-CN" w:eastAsia="zh-CN"/>
        </w:rPr>
        <w:t>337.45</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，其中：</w:t>
      </w:r>
    </w:p>
    <w:p w14:paraId="473CF289">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1</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文化旅游体育与传媒支出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（类）</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文化和旅游</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（款）</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一般行政管理事务</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（项）。</w:t>
      </w:r>
    </w:p>
    <w:p w14:paraId="4D8CEDEF">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0.85</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万元，决算数大于年初预算数的主要原因</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是：非税收入弥补了日常公用经费</w:t>
      </w:r>
    </w:p>
    <w:p w14:paraId="41144B1F">
      <w:pPr>
        <w:pStyle w:val="11"/>
        <w:framePr w:wrap="auto" w:vAnchor="margin" w:hAnchor="text" w:yAlign="inline"/>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sz w:val="32"/>
          <w:szCs w:val="32"/>
          <w:rtl w:val="0"/>
          <w:lang w:val="en-US"/>
        </w:rPr>
        <w:t>2</w:t>
      </w:r>
      <w:r>
        <w:rPr>
          <w:rFonts w:ascii="仿宋_GB2312" w:hAnsi="仿宋_GB2312" w:eastAsia="仿宋_GB2312" w:cs="仿宋_GB2312"/>
          <w:sz w:val="32"/>
          <w:szCs w:val="32"/>
          <w:rtl w:val="0"/>
          <w:lang w:val="zh-TW" w:eastAsia="zh-TW"/>
        </w:rPr>
        <w:t>、文化旅游体育与传媒支出（类）</w:t>
      </w:r>
      <w:r>
        <w:rPr>
          <w:rFonts w:ascii="仿宋_GB2312" w:hAnsi="仿宋_GB2312" w:eastAsia="仿宋_GB2312" w:cs="仿宋_GB2312"/>
          <w:sz w:val="32"/>
          <w:szCs w:val="32"/>
          <w:rtl w:val="0"/>
          <w:lang w:val="en-US"/>
        </w:rPr>
        <w:t>文化和旅游</w:t>
      </w:r>
      <w:r>
        <w:rPr>
          <w:rFonts w:ascii="仿宋_GB2312" w:hAnsi="仿宋_GB2312" w:eastAsia="仿宋_GB2312" w:cs="仿宋_GB2312"/>
          <w:sz w:val="32"/>
          <w:szCs w:val="32"/>
          <w:rtl w:val="0"/>
          <w:lang w:val="zh-TW" w:eastAsia="zh-TW"/>
        </w:rPr>
        <w:t>（款）</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其他文化和旅游支出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（项）。</w:t>
      </w:r>
    </w:p>
    <w:p w14:paraId="30360D35">
      <w:pPr>
        <w:pStyle w:val="11"/>
        <w:framePr w:wrap="auto" w:vAnchor="margin" w:hAnchor="text" w:yAlign="inline"/>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sz w:val="32"/>
          <w:szCs w:val="32"/>
          <w:rtl w:val="0"/>
          <w:lang w:val="zh-TW" w:eastAsia="zh-TW"/>
        </w:rPr>
        <w:t>年初预算为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52.94</w:t>
      </w:r>
      <w:r>
        <w:rPr>
          <w:rFonts w:ascii="仿宋_GB2312" w:hAnsi="仿宋_GB2312" w:eastAsia="仿宋_GB2312" w:cs="仿宋_GB2312"/>
          <w:sz w:val="32"/>
          <w:szCs w:val="32"/>
          <w:rtl w:val="0"/>
          <w:lang w:val="zh-TW" w:eastAsia="zh-TW"/>
        </w:rPr>
        <w:t>万元，决算数大于年初预算数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的主要原因是：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非税收入弥补了日常公用经费</w:t>
      </w:r>
    </w:p>
    <w:p w14:paraId="35C1560D">
      <w:pPr>
        <w:pStyle w:val="11"/>
        <w:framePr w:wrap="auto" w:vAnchor="margin" w:hAnchor="text" w:yAlign="inline"/>
        <w:spacing w:line="600" w:lineRule="exact"/>
        <w:ind w:firstLine="800"/>
        <w:jc w:val="left"/>
      </w:pPr>
      <w:r>
        <w:rPr>
          <w:rFonts w:ascii="仿宋_GB2312" w:hAnsi="仿宋_GB2312" w:eastAsia="仿宋_GB2312" w:cs="仿宋_GB2312"/>
          <w:sz w:val="32"/>
          <w:szCs w:val="32"/>
          <w:rtl w:val="0"/>
          <w:lang w:val="zh-CN" w:eastAsia="zh-CN"/>
        </w:rPr>
        <w:t>3.</w:t>
      </w:r>
      <w:r>
        <w:rPr>
          <w:rFonts w:ascii="仿宋_GB2312" w:hAnsi="仿宋_GB2312" w:eastAsia="仿宋_GB2312" w:cs="仿宋_GB2312"/>
          <w:sz w:val="32"/>
          <w:szCs w:val="32"/>
          <w:rtl w:val="0"/>
          <w:lang w:val="zh-TW" w:eastAsia="zh-TW"/>
        </w:rPr>
        <w:t>文化旅游体育与传媒支出（类）</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文物（款）文物保护（项）</w:t>
      </w:r>
    </w:p>
    <w:p w14:paraId="3B1BF344">
      <w:pPr>
        <w:pStyle w:val="11"/>
        <w:framePr w:wrap="auto" w:vAnchor="margin" w:hAnchor="text" w:yAlign="inline"/>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sz w:val="32"/>
          <w:szCs w:val="32"/>
          <w:rtl w:val="0"/>
          <w:lang w:val="zh-TW" w:eastAsia="zh-TW"/>
        </w:rPr>
        <w:t>年初预算为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98.46</w:t>
      </w:r>
      <w:r>
        <w:rPr>
          <w:rFonts w:ascii="仿宋_GB2312" w:hAnsi="仿宋_GB2312" w:eastAsia="仿宋_GB2312" w:cs="仿宋_GB2312"/>
          <w:sz w:val="32"/>
          <w:szCs w:val="32"/>
          <w:rtl w:val="0"/>
          <w:lang w:val="zh-TW" w:eastAsia="zh-TW"/>
        </w:rPr>
        <w:t>万元，决算数大于年初预算数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的主要原因是：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2023年文物保护项目增加</w:t>
      </w:r>
    </w:p>
    <w:p w14:paraId="67B1CBFD">
      <w:pPr>
        <w:pStyle w:val="11"/>
        <w:framePr w:wrap="auto" w:vAnchor="margin" w:hAnchor="text" w:yAlign="inline"/>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sz w:val="32"/>
          <w:szCs w:val="32"/>
          <w:rtl w:val="0"/>
          <w:lang w:val="zh-CN" w:eastAsia="zh-CN"/>
        </w:rPr>
        <w:t>4.</w:t>
      </w:r>
      <w:r>
        <w:rPr>
          <w:rFonts w:ascii="仿宋_GB2312" w:hAnsi="仿宋_GB2312" w:eastAsia="仿宋_GB2312" w:cs="仿宋_GB2312"/>
          <w:sz w:val="32"/>
          <w:szCs w:val="32"/>
          <w:rtl w:val="0"/>
          <w:lang w:val="zh-TW" w:eastAsia="zh-TW"/>
        </w:rPr>
        <w:t>文化旅游体育与传媒支出（类）</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文物（款）博物馆（项）</w:t>
      </w:r>
    </w:p>
    <w:p w14:paraId="74FAA561">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187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15</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591.21</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万元，决算数大于年初预算数的主因是：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上一年未完工的项目资金，在2023年支付</w:t>
      </w:r>
    </w:p>
    <w:p w14:paraId="34E66F3E">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5.</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文化旅游体育与传媒支出（类）</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文物（款）其他文物支出（项）</w:t>
      </w:r>
    </w:p>
    <w:p w14:paraId="63E0DCDB">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51.52</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万元，决算数大于年初预算数的主因是：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非税收入弥补了日常公用经费</w:t>
      </w:r>
    </w:p>
    <w:p w14:paraId="7DCA9338">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6.社会保障和就业支出（类）行政事业单位养老支出（款）事业单位离退休（项）</w:t>
      </w:r>
    </w:p>
    <w:p w14:paraId="1EDC3028">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15.30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17.2</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占年初预算数的112.42%。</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决算数大于年初预算数的主因是：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新增了退休人员</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w:t>
      </w:r>
    </w:p>
    <w:p w14:paraId="0C0FE418">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社会保障和就业支出（类）行政事业单位养老支出（款）</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机关事业单位基本养老保险缴费支出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（项）</w:t>
      </w:r>
    </w:p>
    <w:p w14:paraId="4E759DAA">
      <w:pPr>
        <w:pStyle w:val="11"/>
        <w:framePr w:wrap="auto" w:vAnchor="margin" w:hAnchor="text" w:yAlign="inline"/>
        <w:shd w:val="clear" w:color="auto" w:fill="auto"/>
        <w:spacing w:line="600" w:lineRule="exact"/>
        <w:ind w:firstLine="640"/>
        <w:jc w:val="left"/>
        <w:rPr>
          <w:rFonts w:hint="default"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17.88</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17.88</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CN"/>
        </w:rPr>
        <w:t>，</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占年初预算数的100%。</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决算数</w:t>
      </w:r>
      <w:r>
        <w:rPr>
          <w:rFonts w:hint="eastAsia" w:ascii="仿宋_GB2312" w:hAnsi="仿宋_GB2312" w:eastAsia="仿宋_GB2312" w:cs="仿宋_GB2312"/>
          <w:b w:val="0"/>
          <w:bCs w:val="0"/>
          <w:i w:val="0"/>
          <w:iCs w:val="0"/>
          <w:caps w:val="0"/>
          <w:smallCaps w:val="0"/>
          <w:strike w:val="0"/>
          <w:dstrike w:val="0"/>
          <w:vanish w:val="0"/>
          <w:sz w:val="32"/>
          <w:szCs w:val="32"/>
          <w:rtl w:val="0"/>
          <w:lang w:val="en-US" w:eastAsia="zh-CN"/>
        </w:rPr>
        <w:t>等于</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年初预算数的主因是：</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新增了退休人员</w:t>
      </w:r>
      <w:r>
        <w:rPr>
          <w:rFonts w:hint="eastAsia" w:ascii="仿宋_GB2312" w:hAnsi="仿宋_GB2312" w:eastAsia="仿宋_GB2312" w:cs="仿宋_GB2312"/>
          <w:b w:val="0"/>
          <w:bCs w:val="0"/>
          <w:i w:val="0"/>
          <w:iCs w:val="0"/>
          <w:caps w:val="0"/>
          <w:smallCaps w:val="0"/>
          <w:strike w:val="0"/>
          <w:dstrike w:val="0"/>
          <w:vanish w:val="0"/>
          <w:sz w:val="32"/>
          <w:szCs w:val="32"/>
          <w:rtl w:val="0"/>
          <w:lang w:val="zh-CN" w:eastAsia="zh-CN"/>
        </w:rPr>
        <w:t>，</w:t>
      </w:r>
      <w:r>
        <w:rPr>
          <w:rFonts w:hint="eastAsia" w:ascii="仿宋_GB2312" w:hAnsi="仿宋_GB2312" w:eastAsia="仿宋_GB2312" w:cs="仿宋_GB2312"/>
          <w:b w:val="0"/>
          <w:bCs w:val="0"/>
          <w:i w:val="0"/>
          <w:iCs w:val="0"/>
          <w:caps w:val="0"/>
          <w:smallCaps w:val="0"/>
          <w:strike w:val="0"/>
          <w:dstrike w:val="0"/>
          <w:vanish w:val="0"/>
          <w:sz w:val="32"/>
          <w:szCs w:val="32"/>
          <w:rtl w:val="0"/>
          <w:lang w:val="en-US" w:eastAsia="zh-CN"/>
        </w:rPr>
        <w:t>多余部分由其他资金支付</w:t>
      </w:r>
      <w:r>
        <w:rPr>
          <w:rFonts w:hint="eastAsia" w:ascii="仿宋_GB2312" w:hAnsi="仿宋_GB2312" w:eastAsia="仿宋_GB2312" w:cs="仿宋_GB2312"/>
          <w:b w:val="0"/>
          <w:bCs w:val="0"/>
          <w:i w:val="0"/>
          <w:iCs w:val="0"/>
          <w:caps w:val="0"/>
          <w:smallCaps w:val="0"/>
          <w:strike w:val="0"/>
          <w:dstrike w:val="0"/>
          <w:vanish w:val="0"/>
          <w:sz w:val="32"/>
          <w:szCs w:val="32"/>
          <w:rtl w:val="0"/>
          <w:lang w:val="zh-CN" w:eastAsia="zh-CN"/>
        </w:rPr>
        <w:t>。</w:t>
      </w:r>
    </w:p>
    <w:p w14:paraId="1E7E23DD">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8.</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社会保障和就业支出（类）</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其他</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社会保障和就业支出（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款</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其他</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社会保障和就业支出（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款</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w:t>
      </w:r>
    </w:p>
    <w:p w14:paraId="65A165F5">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0.54</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0.51</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占年初预算数的94.44%。</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决算数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小于</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年初预算数的主因是：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非税收入弥补了日常公用经费</w:t>
      </w:r>
    </w:p>
    <w:p w14:paraId="26783C21">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9.卫生健康支出（类）行政事业单位医疗（款）事业单位医疗（项）</w:t>
      </w:r>
    </w:p>
    <w:p w14:paraId="1BF07463">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15.54</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11.84</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占年初预算数的76.19%。</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决算数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小于</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年初预算数的主因是：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有人员退休</w:t>
      </w:r>
    </w:p>
    <w:p w14:paraId="2E604BE4">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10.住房保障支出（类）住房改革支出（款）住房公积金（项）</w:t>
      </w:r>
    </w:p>
    <w:p w14:paraId="3E29BB75">
      <w:pPr>
        <w:pStyle w:val="11"/>
        <w:framePr w:wrap="auto" w:vAnchor="margin" w:hAnchor="text" w:yAlign="inline"/>
        <w:shd w:val="clear" w:color="auto" w:fill="auto"/>
        <w:spacing w:line="600" w:lineRule="exact"/>
        <w:ind w:firstLine="64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17.37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13.97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占年初预算数的80.43%。</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决算数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小于</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年初预算数的主因是：有人员退休</w:t>
      </w:r>
    </w:p>
    <w:p w14:paraId="2892687C">
      <w:pPr>
        <w:pStyle w:val="11"/>
        <w:framePr w:wrap="auto" w:vAnchor="margin" w:hAnchor="text" w:yAlign="inline"/>
        <w:spacing w:line="600" w:lineRule="exact"/>
        <w:ind w:firstLine="800"/>
        <w:jc w:val="left"/>
        <w:rPr>
          <w:rFonts w:ascii="仿宋_GB2312" w:hAnsi="仿宋_GB2312" w:eastAsia="仿宋_GB2312" w:cs="仿宋_GB2312"/>
          <w:sz w:val="32"/>
          <w:szCs w:val="32"/>
          <w:lang w:val="zh-TW" w:eastAsia="zh-TW"/>
        </w:rPr>
      </w:pPr>
    </w:p>
    <w:p w14:paraId="393E11FA">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六、一般公共预算财政拨款基本支出决算情况说明</w:t>
      </w:r>
    </w:p>
    <w:p w14:paraId="7BB1D206">
      <w:pPr>
        <w:pStyle w:val="11"/>
        <w:framePr w:wrap="auto" w:vAnchor="margin" w:hAnchor="text" w:yAlign="inline"/>
        <w:spacing w:line="600" w:lineRule="exact"/>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年度财政拨款基本支出</w:t>
      </w:r>
      <w:r>
        <w:rPr>
          <w:rFonts w:ascii="仿宋_GB2312" w:hAnsi="仿宋_GB2312" w:eastAsia="仿宋_GB2312" w:cs="仿宋_GB2312"/>
          <w:sz w:val="32"/>
          <w:szCs w:val="32"/>
          <w:rtl w:val="0"/>
          <w:lang w:val="zh-CN" w:eastAsia="zh-CN"/>
        </w:rPr>
        <w:t>296.22</w:t>
      </w:r>
      <w:r>
        <w:rPr>
          <w:rFonts w:ascii="仿宋_GB2312" w:hAnsi="仿宋_GB2312" w:eastAsia="仿宋_GB2312" w:cs="仿宋_GB2312"/>
          <w:sz w:val="32"/>
          <w:szCs w:val="32"/>
          <w:rtl w:val="0"/>
          <w:lang w:val="zh-TW" w:eastAsia="zh-TW"/>
        </w:rPr>
        <w:t>万元，其中：</w:t>
      </w:r>
    </w:p>
    <w:p w14:paraId="74159486">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人员经费</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215.75</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万元，占基本支出的</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72.83</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主要包括基本工资、津贴补贴、奖金、伙食补助费</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、绩效工资、机关事业单位基本养老保险缴费、、职工基本医疗保险缴费、其他社会保障缴费、住房公积金、医疗费、退休费、医疗费补助、其他对个人和家庭的补助</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36AD32B0">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公用经费</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80.47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万元，占基本支出的</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2</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7.17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，主要包括办公费、印刷费、咨询费、手续费</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、水费、邮电费、物业管理费、差旅费、维修费、会议费、培训费、公务接待费、专用材料费、劳务费、委托业务费、工会经费、其他交通费用、其他商品和服务支出、资本性支出和办公设备购置</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42BE6754">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七、政府性基金预算收入支出决算情况</w:t>
      </w:r>
    </w:p>
    <w:p w14:paraId="1DE37A44">
      <w:pPr>
        <w:pStyle w:val="11"/>
        <w:framePr w:wrap="auto" w:vAnchor="margin" w:hAnchor="text" w:yAlign="inline"/>
        <w:spacing w:line="600" w:lineRule="exact"/>
        <w:jc w:val="left"/>
        <w:rPr>
          <w:rFonts w:ascii="仿宋_GB2312" w:hAnsi="仿宋_GB2312" w:eastAsia="仿宋_GB2312" w:cs="仿宋_GB2312"/>
          <w:b w:val="0"/>
          <w:bCs w:val="0"/>
          <w:i/>
          <w:iCs/>
          <w:color w:val="000000" w:themeColor="text1"/>
          <w:kern w:val="0"/>
          <w:sz w:val="32"/>
          <w:szCs w:val="32"/>
          <w:u w:color="000000"/>
          <w14:textFill>
            <w14:solidFill>
              <w14:schemeClr w14:val="tx1"/>
            </w14:solidFill>
          </w14:textFill>
        </w:rPr>
      </w:pPr>
      <w:r>
        <w:rPr>
          <w:rFonts w:ascii="Times New Roman" w:hAnsi="Times New Roman"/>
          <w:sz w:val="32"/>
          <w:szCs w:val="32"/>
          <w:rtl w:val="0"/>
          <w:lang w:val="en-US"/>
        </w:rPr>
        <w:t xml:space="preserve">     </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 xml:space="preserve"> </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2023</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年度政府性基金预算财政拨款收入</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万元；年初结转和结余</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万元；支出</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万元，其中基本支出</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万元，项目支出</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万元；年末结转和结余</w:t>
      </w:r>
      <w:r>
        <w:rPr>
          <w:rFonts w:ascii="仿宋_GB2312" w:hAnsi="仿宋_GB2312" w:eastAsia="仿宋_GB2312" w:cs="仿宋_GB2312"/>
          <w:b w:val="0"/>
          <w:bCs w:val="0"/>
          <w:color w:val="000000" w:themeColor="text1"/>
          <w:sz w:val="36"/>
          <w:szCs w:val="36"/>
          <w:u w:color="FF0000"/>
          <w:rtl w:val="0"/>
          <w:lang w:val="en-US"/>
          <w14:textFill>
            <w14:solidFill>
              <w14:schemeClr w14:val="tx1"/>
            </w14:solidFill>
          </w14:textFill>
        </w:rPr>
        <w:t>0</w:t>
      </w:r>
      <w:r>
        <w:rPr>
          <w:rFonts w:ascii="仿宋_GB2312" w:hAnsi="仿宋_GB2312" w:eastAsia="仿宋_GB2312" w:cs="仿宋_GB2312"/>
          <w:b w:val="0"/>
          <w:bCs w:val="0"/>
          <w:color w:val="000000" w:themeColor="text1"/>
          <w:sz w:val="36"/>
          <w:szCs w:val="36"/>
          <w:u w:color="FF0000"/>
          <w:rtl w:val="0"/>
          <w:lang w:val="zh-TW" w:eastAsia="zh-TW"/>
          <w14:textFill>
            <w14:solidFill>
              <w14:schemeClr w14:val="tx1"/>
            </w14:solidFill>
          </w14:textFill>
        </w:rPr>
        <w:t>万元。</w:t>
      </w:r>
    </w:p>
    <w:p w14:paraId="0F70B0A6">
      <w:pPr>
        <w:framePr w:wrap="auto" w:vAnchor="margin" w:hAnchor="text" w:yAlign="inline"/>
        <w:spacing w:line="600" w:lineRule="exact"/>
        <w:ind w:firstLine="640"/>
        <w:rPr>
          <w:rFonts w:ascii="黑体" w:hAnsi="黑体" w:eastAsia="黑体" w:cs="黑体"/>
          <w:color w:val="000000"/>
          <w:kern w:val="0"/>
          <w:sz w:val="32"/>
          <w:szCs w:val="32"/>
          <w:u w:color="000000"/>
          <w:lang w:val="zh-TW" w:eastAsia="zh-TW"/>
        </w:rPr>
      </w:pPr>
      <w:r>
        <w:rPr>
          <w:rFonts w:ascii="黑体" w:hAnsi="黑体" w:eastAsia="黑体" w:cs="黑体"/>
          <w:color w:val="000000"/>
          <w:kern w:val="0"/>
          <w:sz w:val="32"/>
          <w:szCs w:val="32"/>
          <w:u w:color="000000"/>
          <w:rtl w:val="0"/>
          <w:lang w:val="zh-TW" w:eastAsia="zh-TW"/>
        </w:rPr>
        <w:t>八、国有资本经营预算财政拨款支出决算情况</w:t>
      </w:r>
    </w:p>
    <w:p w14:paraId="23693E2A">
      <w:pPr>
        <w:framePr w:wrap="auto" w:vAnchor="margin" w:hAnchor="text" w:yAlign="inline"/>
        <w:ind w:firstLine="640"/>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pP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2023</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年度国有资本经营预算财政拨款收入</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万元；年初结转和结余</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万；支出</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万元，其中：基本支出</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万元，项目支出</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万元；年末结转和结余</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万元。</w:t>
      </w:r>
    </w:p>
    <w:p w14:paraId="7DC0FF3D">
      <w:pPr>
        <w:framePr w:wrap="auto" w:vAnchor="margin" w:hAnchor="text" w:yAlign="inline"/>
        <w:ind w:firstLine="640"/>
        <w:rPr>
          <w:rFonts w:ascii="Times New Roman" w:hAnsi="Times New Roman" w:eastAsia="Times New Roman" w:cs="Times New Roman"/>
          <w:b/>
          <w:bCs/>
          <w:sz w:val="32"/>
          <w:szCs w:val="32"/>
        </w:rPr>
      </w:pPr>
      <w:r>
        <w:rPr>
          <w:b/>
          <w:bCs/>
          <w:sz w:val="32"/>
          <w:szCs w:val="32"/>
          <w:rtl w:val="0"/>
          <w:lang w:val="zh-TW" w:eastAsia="zh-TW"/>
        </w:rPr>
        <w:t>九、财政拨款三公经费支出决算情况说明</w:t>
      </w:r>
    </w:p>
    <w:p w14:paraId="7D579A46">
      <w:pPr>
        <w:pStyle w:val="11"/>
        <w:framePr w:wrap="auto" w:vAnchor="margin" w:hAnchor="text" w:yAlign="inline"/>
        <w:spacing w:line="600" w:lineRule="exact"/>
        <w:ind w:firstLine="640"/>
        <w:jc w:val="left"/>
        <w:rPr>
          <w:rFonts w:ascii="楷体" w:hAnsi="楷体" w:eastAsia="楷体" w:cs="楷体"/>
          <w:b/>
          <w:bCs/>
          <w:sz w:val="32"/>
          <w:szCs w:val="32"/>
        </w:rPr>
      </w:pPr>
      <w:r>
        <w:rPr>
          <w:rFonts w:ascii="楷体" w:hAnsi="楷体" w:eastAsia="楷体" w:cs="楷体"/>
          <w:b/>
          <w:bCs/>
          <w:sz w:val="32"/>
          <w:szCs w:val="32"/>
          <w:rtl w:val="0"/>
          <w:lang w:val="zh-TW" w:eastAsia="zh-TW"/>
        </w:rPr>
        <w:t>（一）</w:t>
      </w:r>
      <w:r>
        <w:rPr>
          <w:rFonts w:ascii="楷体" w:hAnsi="楷体" w:eastAsia="楷体" w:cs="楷体"/>
          <w:b/>
          <w:bCs/>
          <w:sz w:val="32"/>
          <w:szCs w:val="32"/>
          <w:rtl w:val="0"/>
          <w:lang w:val="en-US"/>
        </w:rPr>
        <w:t>“</w:t>
      </w:r>
      <w:r>
        <w:rPr>
          <w:rFonts w:ascii="楷体" w:hAnsi="楷体" w:eastAsia="楷体" w:cs="楷体"/>
          <w:b/>
          <w:bCs/>
          <w:sz w:val="32"/>
          <w:szCs w:val="32"/>
          <w:rtl w:val="0"/>
          <w:lang w:val="zh-TW" w:eastAsia="zh-TW"/>
        </w:rPr>
        <w:t>三公</w:t>
      </w:r>
      <w:r>
        <w:rPr>
          <w:rFonts w:ascii="楷体" w:hAnsi="楷体" w:eastAsia="楷体" w:cs="楷体"/>
          <w:b/>
          <w:bCs/>
          <w:sz w:val="32"/>
          <w:szCs w:val="32"/>
          <w:rtl w:val="0"/>
          <w:lang w:val="en-US"/>
        </w:rPr>
        <w:t>”</w:t>
      </w:r>
      <w:r>
        <w:rPr>
          <w:rFonts w:ascii="楷体" w:hAnsi="楷体" w:eastAsia="楷体" w:cs="楷体"/>
          <w:b/>
          <w:bCs/>
          <w:sz w:val="32"/>
          <w:szCs w:val="32"/>
          <w:rtl w:val="0"/>
          <w:lang w:val="zh-TW" w:eastAsia="zh-TW"/>
        </w:rPr>
        <w:t>经费财政拨款支出决算总体情况说明</w:t>
      </w:r>
    </w:p>
    <w:p w14:paraId="7676EB9C">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三公</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经费财政拨款支出预算为</w:t>
      </w:r>
      <w:r>
        <w:rPr>
          <w:rFonts w:hint="eastAsia" w:ascii="仿宋_GB2312" w:hAnsi="仿宋_GB2312" w:eastAsia="仿宋_GB2312" w:cs="仿宋_GB2312"/>
          <w:sz w:val="32"/>
          <w:szCs w:val="32"/>
          <w:rtl w:val="0"/>
          <w:lang w:val="en-US" w:eastAsia="zh-CN"/>
        </w:rPr>
        <w:t>0.6</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0.6</w:t>
      </w:r>
      <w:r>
        <w:rPr>
          <w:rFonts w:ascii="仿宋_GB2312" w:hAnsi="仿宋_GB2312" w:eastAsia="仿宋_GB2312" w:cs="仿宋_GB2312"/>
          <w:sz w:val="32"/>
          <w:szCs w:val="32"/>
          <w:rtl w:val="0"/>
          <w:lang w:val="zh-TW" w:eastAsia="zh-TW"/>
        </w:rPr>
        <w:t>万元，完成预算的</w:t>
      </w:r>
      <w:r>
        <w:rPr>
          <w:rFonts w:hint="eastAsia" w:ascii="仿宋_GB2312" w:hAnsi="仿宋_GB2312" w:eastAsia="仿宋_GB2312" w:cs="仿宋_GB2312"/>
          <w:sz w:val="32"/>
          <w:szCs w:val="32"/>
          <w:rtl w:val="0"/>
          <w:lang w:val="en-US" w:eastAsia="zh-CN"/>
        </w:rPr>
        <w:t>10</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，决算数</w:t>
      </w:r>
      <w:r>
        <w:rPr>
          <w:rFonts w:hint="eastAsia" w:ascii="仿宋_GB2312" w:hAnsi="仿宋_GB2312" w:eastAsia="仿宋_GB2312" w:cs="仿宋_GB2312"/>
          <w:sz w:val="32"/>
          <w:szCs w:val="32"/>
          <w:rtl w:val="0"/>
          <w:lang w:val="en-US" w:eastAsia="zh-CN"/>
        </w:rPr>
        <w:t>等于</w:t>
      </w:r>
      <w:r>
        <w:rPr>
          <w:rFonts w:ascii="仿宋_GB2312" w:hAnsi="仿宋_GB2312" w:eastAsia="仿宋_GB2312" w:cs="仿宋_GB2312"/>
          <w:sz w:val="32"/>
          <w:szCs w:val="32"/>
          <w:rtl w:val="0"/>
          <w:lang w:val="zh-TW" w:eastAsia="zh-TW"/>
        </w:rPr>
        <w:t>预算数的主要原因是</w:t>
      </w:r>
      <w:r>
        <w:rPr>
          <w:rFonts w:hint="eastAsia" w:ascii="仿宋_GB2312" w:hAnsi="仿宋_GB2312" w:eastAsia="仿宋_GB2312" w:cs="仿宋_GB2312"/>
          <w:sz w:val="32"/>
          <w:szCs w:val="32"/>
          <w:rtl w:val="0"/>
          <w:lang w:val="en-US" w:eastAsia="zh-CN"/>
        </w:rPr>
        <w:t>厉行节约</w:t>
      </w:r>
      <w:r>
        <w:rPr>
          <w:rFonts w:ascii="仿宋_GB2312" w:hAnsi="仿宋_GB2312" w:eastAsia="仿宋_GB2312" w:cs="仿宋_GB2312"/>
          <w:sz w:val="32"/>
          <w:szCs w:val="32"/>
          <w:rtl w:val="0"/>
          <w:lang w:val="zh-TW" w:eastAsia="zh-TW"/>
        </w:rPr>
        <w:t>，与上年相比增加</w:t>
      </w:r>
      <w:r>
        <w:rPr>
          <w:rFonts w:ascii="仿宋_GB2312" w:hAnsi="仿宋_GB2312" w:eastAsia="仿宋_GB2312" w:cs="仿宋_GB2312"/>
          <w:sz w:val="32"/>
          <w:szCs w:val="32"/>
          <w:rtl w:val="0"/>
          <w:lang w:val="zh-CN" w:eastAsia="zh-CN"/>
        </w:rPr>
        <w:t>0.01</w:t>
      </w:r>
      <w:r>
        <w:rPr>
          <w:rFonts w:ascii="仿宋_GB2312" w:hAnsi="仿宋_GB2312" w:eastAsia="仿宋_GB2312" w:cs="仿宋_GB2312"/>
          <w:sz w:val="32"/>
          <w:szCs w:val="32"/>
          <w:rtl w:val="0"/>
          <w:lang w:val="zh-TW" w:eastAsia="zh-TW"/>
        </w:rPr>
        <w:t>万元，增长</w:t>
      </w:r>
      <w:r>
        <w:rPr>
          <w:rFonts w:ascii="仿宋_GB2312" w:hAnsi="仿宋_GB2312" w:eastAsia="仿宋_GB2312" w:cs="仿宋_GB2312"/>
          <w:sz w:val="32"/>
          <w:szCs w:val="32"/>
          <w:rtl w:val="0"/>
          <w:lang w:val="zh-CN" w:eastAsia="zh-CN"/>
        </w:rPr>
        <w:t>1.6</w:t>
      </w:r>
      <w:r>
        <w:rPr>
          <w:rFonts w:hint="eastAsia" w:ascii="仿宋_GB2312" w:hAnsi="仿宋_GB2312" w:eastAsia="仿宋_GB2312" w:cs="仿宋_GB2312"/>
          <w:sz w:val="32"/>
          <w:szCs w:val="32"/>
          <w:rtl w:val="0"/>
          <w:lang w:val="en-US" w:eastAsia="zh-CN"/>
        </w:rPr>
        <w:t>7</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增长的主要原因是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物价上涨</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。其中：</w:t>
      </w:r>
    </w:p>
    <w:p w14:paraId="339485D7">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因公出国（境）费支出预算为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Times New Roman" w:hAnsi="Times New Roman" w:eastAsia="仿宋_GB2312" w:cs="Times New Roman"/>
          <w:sz w:val="32"/>
          <w:szCs w:val="32"/>
          <w:lang w:val="en-US" w:eastAsia="zh-CN"/>
        </w:rPr>
        <w:t>由于预算数为0，无法计算百分比</w:t>
      </w:r>
      <w:r>
        <w:rPr>
          <w:rFonts w:ascii="Times New Roman" w:hAnsi="Times New Roman" w:eastAsia="仿宋_GB2312" w:cs="Times New Roman"/>
          <w:sz w:val="32"/>
          <w:szCs w:val="32"/>
        </w:rPr>
        <w:t>；</w:t>
      </w:r>
      <w:r>
        <w:rPr>
          <w:rFonts w:hint="eastAsia" w:ascii="仿宋" w:hAnsi="仿宋" w:eastAsia="仿宋"/>
          <w:sz w:val="32"/>
          <w:szCs w:val="32"/>
          <w:highlight w:val="none"/>
        </w:rPr>
        <w:t>决算数与预算数一致，主要原因为本年未安</w:t>
      </w:r>
      <w:r>
        <w:rPr>
          <w:rFonts w:hint="eastAsia" w:ascii="仿宋" w:hAnsi="仿宋" w:eastAsia="仿宋"/>
          <w:sz w:val="32"/>
          <w:szCs w:val="32"/>
        </w:rPr>
        <w:t>排因公出国（境）</w:t>
      </w:r>
      <w:r>
        <w:rPr>
          <w:rFonts w:hint="eastAsia" w:ascii="仿宋" w:hAnsi="仿宋" w:eastAsia="仿宋"/>
          <w:sz w:val="32"/>
          <w:szCs w:val="32"/>
          <w:lang w:eastAsia="zh-CN"/>
        </w:rPr>
        <w:t>；</w:t>
      </w:r>
      <w:r>
        <w:rPr>
          <w:rFonts w:hint="eastAsia" w:ascii="仿宋" w:hAnsi="仿宋" w:eastAsia="仿宋"/>
          <w:sz w:val="32"/>
          <w:szCs w:val="32"/>
        </w:rPr>
        <w:t>与上年相比无变化，主要原因是未安排外事出访活动</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w:t>
      </w:r>
    </w:p>
    <w:p w14:paraId="4167D747">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公务接待费支出预算为</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0.6</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0.6</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万元，完成预算的</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10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，决算数</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等</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于预算数的主要原因是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厉行节俭</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，与上年相比增加</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0.01</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增长1.6</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7</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增长的主要原因是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物价上涨</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2047C847">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sz w:val="32"/>
          <w:szCs w:val="32"/>
          <w:rtl w:val="0"/>
          <w:lang w:val="zh-TW" w:eastAsia="zh-TW"/>
        </w:rPr>
        <w:t>公务用车购置费支出预算为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w:t>
      </w:r>
      <w:r>
        <w:rPr>
          <w:rFonts w:hint="eastAsia" w:ascii="Times New Roman" w:hAnsi="Times New Roman" w:eastAsia="仿宋_GB2312" w:cs="Times New Roman"/>
          <w:sz w:val="32"/>
          <w:szCs w:val="32"/>
          <w:lang w:val="en-US" w:eastAsia="zh-CN"/>
        </w:rPr>
        <w:t>由于预算数为0，无法计算百分，</w:t>
      </w:r>
      <w:r>
        <w:rPr>
          <w:rFonts w:hint="eastAsia" w:ascii="仿宋" w:hAnsi="仿宋" w:eastAsia="仿宋"/>
          <w:sz w:val="32"/>
          <w:szCs w:val="32"/>
          <w:highlight w:val="none"/>
        </w:rPr>
        <w:t>决算数与预算数一致，主要原因为本年未购置公务用车</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与上年相比无变化，主要原因是未购置公务用车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100D96BF">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公务用车运行维护费支出预算为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w:t>
      </w:r>
      <w:r>
        <w:rPr>
          <w:rFonts w:hint="eastAsia" w:ascii="Times New Roman" w:hAnsi="Times New Roman" w:eastAsia="仿宋_GB2312" w:cs="Times New Roman"/>
          <w:sz w:val="32"/>
          <w:szCs w:val="32"/>
          <w:lang w:val="en-US" w:eastAsia="zh-CN"/>
        </w:rPr>
        <w:t>由于预算数为0，无法计算百分，</w:t>
      </w:r>
      <w:r>
        <w:rPr>
          <w:rFonts w:hint="eastAsia" w:ascii="仿宋" w:hAnsi="仿宋" w:eastAsia="仿宋"/>
          <w:sz w:val="32"/>
          <w:szCs w:val="32"/>
          <w:highlight w:val="none"/>
        </w:rPr>
        <w:t>决算数与预算数一致，主要原因为本年</w:t>
      </w:r>
      <w:r>
        <w:rPr>
          <w:rFonts w:hint="eastAsia" w:ascii="仿宋" w:hAnsi="仿宋" w:eastAsia="仿宋"/>
          <w:sz w:val="32"/>
          <w:szCs w:val="32"/>
          <w:highlight w:val="none"/>
          <w:lang w:val="en-US" w:eastAsia="zh-CN"/>
        </w:rPr>
        <w:t>无</w:t>
      </w:r>
      <w:r>
        <w:rPr>
          <w:rFonts w:ascii="Times New Roman" w:hAnsi="Times New Roman" w:eastAsia="仿宋_GB2312" w:cs="Times New Roman"/>
          <w:sz w:val="32"/>
          <w:szCs w:val="32"/>
        </w:rPr>
        <w:t>公务用车运行维护费支出</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与上年相比无变化，主要原因是</w:t>
      </w:r>
      <w:r>
        <w:rPr>
          <w:rFonts w:hint="eastAsia" w:ascii="仿宋" w:hAnsi="仿宋" w:eastAsia="仿宋"/>
          <w:sz w:val="32"/>
          <w:szCs w:val="32"/>
          <w:highlight w:val="none"/>
          <w:lang w:val="en-US" w:eastAsia="zh-CN"/>
        </w:rPr>
        <w:t>无</w:t>
      </w:r>
      <w:r>
        <w:rPr>
          <w:rFonts w:ascii="Times New Roman" w:hAnsi="Times New Roman" w:eastAsia="仿宋_GB2312" w:cs="Times New Roman"/>
          <w:sz w:val="32"/>
          <w:szCs w:val="32"/>
        </w:rPr>
        <w:t>公务用车运行维护费支出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5E9EBAB4">
      <w:pPr>
        <w:pStyle w:val="11"/>
        <w:framePr w:wrap="auto" w:vAnchor="margin" w:hAnchor="text" w:yAlign="inline"/>
        <w:spacing w:line="600" w:lineRule="exact"/>
        <w:ind w:firstLine="640"/>
        <w:jc w:val="left"/>
        <w:rPr>
          <w:rFonts w:ascii="楷体" w:hAnsi="楷体" w:eastAsia="楷体" w:cs="楷体"/>
          <w:b/>
          <w:bCs/>
          <w:sz w:val="32"/>
          <w:szCs w:val="32"/>
        </w:rPr>
      </w:pPr>
      <w:r>
        <w:rPr>
          <w:rFonts w:ascii="楷体" w:hAnsi="楷体" w:eastAsia="楷体" w:cs="楷体"/>
          <w:b/>
          <w:bCs/>
          <w:sz w:val="32"/>
          <w:szCs w:val="32"/>
          <w:rtl w:val="0"/>
          <w:lang w:val="zh-TW" w:eastAsia="zh-TW"/>
        </w:rPr>
        <w:t>（二）</w:t>
      </w:r>
      <w:r>
        <w:rPr>
          <w:rFonts w:ascii="楷体" w:hAnsi="楷体" w:eastAsia="楷体" w:cs="楷体"/>
          <w:b/>
          <w:bCs/>
          <w:sz w:val="32"/>
          <w:szCs w:val="32"/>
          <w:rtl w:val="0"/>
          <w:lang w:val="en-US"/>
        </w:rPr>
        <w:t>“</w:t>
      </w:r>
      <w:r>
        <w:rPr>
          <w:rFonts w:ascii="楷体" w:hAnsi="楷体" w:eastAsia="楷体" w:cs="楷体"/>
          <w:b/>
          <w:bCs/>
          <w:sz w:val="32"/>
          <w:szCs w:val="32"/>
          <w:rtl w:val="0"/>
          <w:lang w:val="zh-TW" w:eastAsia="zh-TW"/>
        </w:rPr>
        <w:t>三公</w:t>
      </w:r>
      <w:r>
        <w:rPr>
          <w:rFonts w:ascii="楷体" w:hAnsi="楷体" w:eastAsia="楷体" w:cs="楷体"/>
          <w:b/>
          <w:bCs/>
          <w:sz w:val="32"/>
          <w:szCs w:val="32"/>
          <w:rtl w:val="0"/>
          <w:lang w:val="en-US"/>
        </w:rPr>
        <w:t>”</w:t>
      </w:r>
      <w:r>
        <w:rPr>
          <w:rFonts w:ascii="楷体" w:hAnsi="楷体" w:eastAsia="楷体" w:cs="楷体"/>
          <w:b/>
          <w:bCs/>
          <w:sz w:val="32"/>
          <w:szCs w:val="32"/>
          <w:rtl w:val="0"/>
          <w:lang w:val="zh-TW" w:eastAsia="zh-TW"/>
        </w:rPr>
        <w:t>经费财政拨款支出决算具体情况说明</w:t>
      </w:r>
    </w:p>
    <w:p w14:paraId="38E99983">
      <w:pPr>
        <w:pStyle w:val="11"/>
        <w:framePr w:wrap="auto" w:vAnchor="margin" w:hAnchor="text" w:yAlign="inline"/>
        <w:spacing w:line="600" w:lineRule="exact"/>
        <w:ind w:firstLine="640"/>
        <w:jc w:val="left"/>
        <w:rPr>
          <w:rFonts w:ascii="仿宋_GB2312" w:hAnsi="仿宋_GB2312" w:eastAsia="仿宋_GB2312" w:cs="仿宋_GB2312"/>
          <w:sz w:val="32"/>
          <w:szCs w:val="32"/>
          <w:rtl w:val="0"/>
          <w:lang w:val="zh-TW" w:eastAsia="zh-TW"/>
        </w:rPr>
      </w:pPr>
      <w:r>
        <w:rPr>
          <w:rFonts w:ascii="Times New Roman" w:hAnsi="Times New Roman"/>
          <w:sz w:val="32"/>
          <w:szCs w:val="32"/>
          <w:rtl w:val="0"/>
          <w:lang w:val="en-US"/>
        </w:rPr>
        <w:t>2</w:t>
      </w:r>
      <w:r>
        <w:rPr>
          <w:rFonts w:ascii="仿宋_GB2312" w:hAnsi="仿宋_GB2312" w:eastAsia="仿宋_GB2312" w:cs="仿宋_GB2312"/>
          <w:sz w:val="32"/>
          <w:szCs w:val="32"/>
          <w:rtl w:val="0"/>
          <w:lang w:val="en-US"/>
        </w:rPr>
        <w:t>023</w:t>
      </w:r>
      <w:r>
        <w:rPr>
          <w:rFonts w:ascii="仿宋_GB2312" w:hAnsi="仿宋_GB2312" w:eastAsia="仿宋_GB2312" w:cs="仿宋_GB2312"/>
          <w:sz w:val="32"/>
          <w:szCs w:val="32"/>
          <w:rtl w:val="0"/>
          <w:lang w:val="zh-TW" w:eastAsia="zh-TW"/>
        </w:rPr>
        <w:t>年度</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三公</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经费财政拨款支出决算中，公务接待费支出决算</w:t>
      </w:r>
      <w:r>
        <w:rPr>
          <w:rFonts w:ascii="仿宋_GB2312" w:hAnsi="仿宋_GB2312" w:eastAsia="仿宋_GB2312" w:cs="仿宋_GB2312"/>
          <w:sz w:val="32"/>
          <w:szCs w:val="32"/>
          <w:rtl w:val="0"/>
          <w:lang w:val="zh-CN" w:eastAsia="zh-CN"/>
        </w:rPr>
        <w:t>0.6</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100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因公出国（境）费支出决算</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公务用车购置费及运行维护费支出决算</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万元，占</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。其中：</w:t>
      </w:r>
    </w:p>
    <w:p w14:paraId="0447BD0B">
      <w:pPr>
        <w:pStyle w:val="11"/>
        <w:framePr w:wrap="auto" w:vAnchor="margin" w:hAnchor="text" w:yAlign="inline"/>
        <w:spacing w:line="600" w:lineRule="exact"/>
        <w:ind w:firstLine="640"/>
        <w:jc w:val="left"/>
        <w:rPr>
          <w:rFonts w:ascii="仿宋_GB2312" w:hAnsi="仿宋_GB2312" w:eastAsia="仿宋_GB2312" w:cs="仿宋_GB2312"/>
          <w:sz w:val="32"/>
          <w:szCs w:val="32"/>
          <w:rtl w:val="0"/>
          <w:lang w:val="zh-TW" w:eastAsia="zh-TW"/>
        </w:rPr>
      </w:pP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因公出国（境）费支出预算为</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万元，决算数</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等于</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预算数的主要原因</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是：本单位无出国（境）公务。</w:t>
      </w:r>
    </w:p>
    <w:p w14:paraId="41AF48F9">
      <w:pPr>
        <w:pStyle w:val="11"/>
        <w:framePr w:wrap="auto" w:vAnchor="margin" w:hAnchor="text" w:yAlign="inline"/>
        <w:spacing w:line="600" w:lineRule="exact"/>
        <w:ind w:firstLine="800"/>
        <w:jc w:val="left"/>
        <w:rPr>
          <w:rFonts w:ascii="仿宋_GB2312" w:hAnsi="仿宋_GB2312" w:eastAsia="仿宋_GB2312" w:cs="仿宋_GB2312"/>
          <w:sz w:val="32"/>
          <w:szCs w:val="32"/>
          <w:rtl w:val="0"/>
          <w:lang w:val="zh-TW" w:eastAsia="zh-TW"/>
        </w:rPr>
      </w:pPr>
      <w:r>
        <w:rPr>
          <w:rFonts w:ascii="仿宋_GB2312" w:hAnsi="仿宋_GB2312" w:eastAsia="仿宋_GB2312" w:cs="仿宋_GB2312"/>
          <w:sz w:val="32"/>
          <w:szCs w:val="32"/>
          <w:rtl w:val="0"/>
          <w:lang w:val="zh-TW" w:eastAsia="zh-TW"/>
        </w:rPr>
        <w:t>公务接待费支出决算为</w:t>
      </w:r>
      <w:r>
        <w:rPr>
          <w:rFonts w:ascii="仿宋_GB2312" w:hAnsi="仿宋_GB2312" w:eastAsia="仿宋_GB2312" w:cs="仿宋_GB2312"/>
          <w:sz w:val="32"/>
          <w:szCs w:val="32"/>
          <w:rtl w:val="0"/>
          <w:lang w:val="zh-CN" w:eastAsia="zh-CN"/>
        </w:rPr>
        <w:t>0.6</w:t>
      </w:r>
      <w:r>
        <w:rPr>
          <w:rFonts w:ascii="仿宋_GB2312" w:hAnsi="仿宋_GB2312" w:eastAsia="仿宋_GB2312" w:cs="仿宋_GB2312"/>
          <w:sz w:val="32"/>
          <w:szCs w:val="32"/>
          <w:rtl w:val="0"/>
          <w:lang w:val="zh-TW" w:eastAsia="zh-TW"/>
        </w:rPr>
        <w:t>万元，全年共接待来访团组</w:t>
      </w:r>
      <w:r>
        <w:rPr>
          <w:rFonts w:ascii="仿宋_GB2312" w:hAnsi="仿宋_GB2312" w:eastAsia="仿宋_GB2312" w:cs="仿宋_GB2312"/>
          <w:sz w:val="32"/>
          <w:szCs w:val="32"/>
          <w:rtl w:val="0"/>
          <w:lang w:val="zh-CN" w:eastAsia="zh-CN"/>
        </w:rPr>
        <w:t>6</w:t>
      </w:r>
      <w:r>
        <w:rPr>
          <w:rFonts w:ascii="仿宋_GB2312" w:hAnsi="仿宋_GB2312" w:eastAsia="仿宋_GB2312" w:cs="仿宋_GB2312"/>
          <w:sz w:val="32"/>
          <w:szCs w:val="32"/>
          <w:rtl w:val="0"/>
          <w:lang w:val="zh-TW" w:eastAsia="zh-TW"/>
        </w:rPr>
        <w:t>个、来宾</w:t>
      </w:r>
      <w:r>
        <w:rPr>
          <w:rFonts w:ascii="仿宋_GB2312" w:hAnsi="仿宋_GB2312" w:eastAsia="仿宋_GB2312" w:cs="仿宋_GB2312"/>
          <w:sz w:val="32"/>
          <w:szCs w:val="32"/>
          <w:rtl w:val="0"/>
          <w:lang w:val="zh-CN" w:eastAsia="zh-CN"/>
        </w:rPr>
        <w:t>38</w:t>
      </w:r>
      <w:r>
        <w:rPr>
          <w:rFonts w:ascii="仿宋_GB2312" w:hAnsi="仿宋_GB2312" w:eastAsia="仿宋_GB2312" w:cs="仿宋_GB2312"/>
          <w:sz w:val="32"/>
          <w:szCs w:val="32"/>
          <w:rtl w:val="0"/>
          <w:lang w:val="zh-TW" w:eastAsia="zh-TW"/>
        </w:rPr>
        <w:t>人次，</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主要是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其他市、县博物馆来单位参观学习</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发生的接待支出</w:t>
      </w:r>
      <w:r>
        <w:rPr>
          <w:rFonts w:ascii="仿宋_GB2312" w:hAnsi="仿宋_GB2312" w:eastAsia="仿宋_GB2312" w:cs="仿宋_GB2312"/>
          <w:sz w:val="32"/>
          <w:szCs w:val="32"/>
          <w:rtl w:val="0"/>
          <w:lang w:val="zh-TW" w:eastAsia="zh-TW"/>
        </w:rPr>
        <w:t>。</w:t>
      </w:r>
    </w:p>
    <w:p w14:paraId="63376B37">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vanish w:val="0"/>
          <w:sz w:val="32"/>
          <w:szCs w:val="32"/>
          <w:rtl w:val="0"/>
          <w:lang w:val="zh-TW" w:eastAsia="zh-TW"/>
        </w:rPr>
      </w:pPr>
      <w:r>
        <w:rPr>
          <w:rFonts w:ascii="仿宋_GB2312" w:hAnsi="仿宋_GB2312" w:eastAsia="仿宋_GB2312" w:cs="仿宋_GB2312"/>
          <w:sz w:val="32"/>
          <w:szCs w:val="32"/>
          <w:rtl w:val="0"/>
          <w:lang w:val="zh-TW" w:eastAsia="zh-TW"/>
        </w:rPr>
        <w:t>公务用车购置费支出预算为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0</w:t>
      </w:r>
      <w:r>
        <w:rPr>
          <w:rFonts w:ascii="仿宋_GB2312" w:hAnsi="仿宋_GB2312" w:eastAsia="仿宋_GB2312" w:cs="仿宋_GB2312"/>
          <w:sz w:val="32"/>
          <w:szCs w:val="32"/>
          <w:rtl w:val="0"/>
          <w:lang w:val="zh-TW" w:eastAsia="zh-TW"/>
        </w:rPr>
        <w:t>万元，决算数</w:t>
      </w:r>
      <w:r>
        <w:rPr>
          <w:rFonts w:ascii="仿宋_GB2312" w:hAnsi="仿宋_GB2312" w:eastAsia="仿宋_GB2312" w:cs="仿宋_GB2312"/>
          <w:sz w:val="32"/>
          <w:szCs w:val="32"/>
          <w:rtl w:val="0"/>
          <w:lang w:val="zh-CN" w:eastAsia="zh-CN"/>
        </w:rPr>
        <w:t>等于</w:t>
      </w:r>
      <w:r>
        <w:rPr>
          <w:rFonts w:ascii="仿宋_GB2312" w:hAnsi="仿宋_GB2312" w:eastAsia="仿宋_GB2312" w:cs="仿宋_GB2312"/>
          <w:sz w:val="32"/>
          <w:szCs w:val="32"/>
          <w:rtl w:val="0"/>
          <w:lang w:val="zh-TW" w:eastAsia="zh-TW"/>
        </w:rPr>
        <w:t>预算数的主要</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原因是</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：本单位没有购置公务车</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w:t>
      </w:r>
    </w:p>
    <w:p w14:paraId="3BD64CD6">
      <w:pPr>
        <w:pStyle w:val="11"/>
        <w:framePr w:wrap="auto" w:vAnchor="margin" w:hAnchor="text" w:yAlign="inline"/>
        <w:shd w:val="clear" w:color="auto" w:fill="auto"/>
        <w:spacing w:line="600" w:lineRule="exact"/>
        <w:ind w:firstLine="800"/>
        <w:jc w:val="left"/>
        <w:rPr>
          <w:rFonts w:ascii="仿宋_GB2312" w:hAnsi="仿宋_GB2312" w:eastAsia="仿宋_GB2312" w:cs="仿宋_GB2312"/>
          <w:sz w:val="32"/>
          <w:szCs w:val="32"/>
          <w:rtl w:val="0"/>
          <w:lang w:val="zh-TW" w:eastAsia="zh-TW"/>
        </w:rPr>
      </w:pP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公务用车运行维护费支出预算为</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万元，支出决算为</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万元，决算数</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等于</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预算数的主要原因是</w:t>
      </w:r>
      <w:r>
        <w:rPr>
          <w:rFonts w:ascii="仿宋_GB2312" w:hAnsi="仿宋_GB2312" w:eastAsia="仿宋_GB2312" w:cs="仿宋_GB2312"/>
          <w:b w:val="0"/>
          <w:bCs w:val="0"/>
          <w:i w:val="0"/>
          <w:iCs w:val="0"/>
          <w:caps w:val="0"/>
          <w:smallCaps w:val="0"/>
          <w:strike w:val="0"/>
          <w:dstrike w:val="0"/>
          <w:vanish w:val="0"/>
          <w:sz w:val="32"/>
          <w:szCs w:val="32"/>
          <w:rtl w:val="0"/>
          <w:lang w:val="zh-CN" w:eastAsia="zh-CN"/>
        </w:rPr>
        <w:t>：本单位没有公务用车</w:t>
      </w:r>
      <w:r>
        <w:rPr>
          <w:rFonts w:ascii="仿宋_GB2312" w:hAnsi="仿宋_GB2312" w:eastAsia="仿宋_GB2312" w:cs="仿宋_GB2312"/>
          <w:b w:val="0"/>
          <w:bCs w:val="0"/>
          <w:i w:val="0"/>
          <w:iCs w:val="0"/>
          <w:caps w:val="0"/>
          <w:smallCaps w:val="0"/>
          <w:strike w:val="0"/>
          <w:dstrike w:val="0"/>
          <w:vanish w:val="0"/>
          <w:sz w:val="32"/>
          <w:szCs w:val="32"/>
          <w:rtl w:val="0"/>
          <w:lang w:val="zh-TW" w:eastAsia="zh-TW"/>
        </w:rPr>
        <w:t>。</w:t>
      </w:r>
    </w:p>
    <w:p w14:paraId="0C7C85EB">
      <w:pPr>
        <w:pStyle w:val="11"/>
        <w:framePr w:wrap="auto" w:vAnchor="margin" w:hAnchor="text" w:yAlign="inline"/>
        <w:spacing w:line="600" w:lineRule="exact"/>
        <w:ind w:firstLine="640"/>
        <w:jc w:val="left"/>
        <w:rPr>
          <w:rFonts w:ascii="Times New Roman" w:hAnsi="Times New Roman" w:eastAsia="Times New Roman" w:cs="Times New Roman"/>
          <w:b/>
          <w:bCs/>
          <w:color w:val="000000"/>
          <w:sz w:val="32"/>
          <w:szCs w:val="32"/>
          <w:u w:color="000000"/>
          <w:lang w:val="zh-TW" w:eastAsia="zh-TW"/>
        </w:rPr>
      </w:pPr>
      <w:r>
        <w:rPr>
          <w:rFonts w:ascii="仿宋_GB2312" w:hAnsi="仿宋_GB2312" w:eastAsia="仿宋_GB2312" w:cs="仿宋_GB2312"/>
          <w:b/>
          <w:bCs/>
          <w:color w:val="000000"/>
          <w:sz w:val="32"/>
          <w:szCs w:val="32"/>
          <w:u w:color="000000"/>
          <w:rtl w:val="0"/>
          <w:lang w:val="zh-TW" w:eastAsia="zh-TW"/>
        </w:rPr>
        <w:t>十、关于机关运行经费支出说明</w:t>
      </w:r>
    </w:p>
    <w:p w14:paraId="2C401203">
      <w:pPr>
        <w:pStyle w:val="11"/>
        <w:framePr w:wrap="auto" w:vAnchor="margin" w:hAnchor="text" w:yAlign="inline"/>
        <w:shd w:val="clear" w:color="auto" w:fill="auto"/>
        <w:spacing w:line="600" w:lineRule="exact"/>
        <w:ind w:firstLine="800"/>
        <w:jc w:val="left"/>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本部门</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2023</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年度机关运行经费支出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万元，比年初上年决算数</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无增减</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，主要原因是：</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CN" w:eastAsia="zh-CN"/>
        </w:rPr>
        <w:t>岳阳市博物馆</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为事业单位，机关运行经费为</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TW"/>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w:t>
      </w:r>
    </w:p>
    <w:p w14:paraId="3FA5BD32">
      <w:pPr>
        <w:pStyle w:val="11"/>
        <w:framePr w:wrap="auto" w:vAnchor="margin" w:hAnchor="text" w:yAlign="inline"/>
        <w:ind w:firstLine="640"/>
        <w:rPr>
          <w:sz w:val="32"/>
          <w:szCs w:val="32"/>
          <w:lang w:val="zh-TW" w:eastAsia="zh-TW"/>
        </w:rPr>
      </w:pPr>
      <w:r>
        <w:rPr>
          <w:sz w:val="32"/>
          <w:szCs w:val="32"/>
          <w:rtl w:val="0"/>
          <w:lang w:val="zh-TW" w:eastAsia="zh-TW"/>
        </w:rPr>
        <w:t>十一、一般性支出情况说明</w:t>
      </w:r>
    </w:p>
    <w:p w14:paraId="03891345">
      <w:pPr>
        <w:pStyle w:val="11"/>
        <w:framePr w:wrap="auto" w:vAnchor="margin" w:hAnchor="text" w:yAlign="inline"/>
        <w:ind w:firstLine="640"/>
        <w:rPr>
          <w:rFonts w:ascii="仿宋_GB2312" w:hAnsi="仿宋_GB2312" w:eastAsia="仿宋_GB2312" w:cs="仿宋_GB2312"/>
          <w:sz w:val="32"/>
          <w:szCs w:val="32"/>
        </w:rPr>
      </w:pP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年年度，会议费年初预算</w:t>
      </w:r>
      <w:r>
        <w:rPr>
          <w:rFonts w:ascii="仿宋_GB2312" w:hAnsi="仿宋_GB2312" w:eastAsia="仿宋_GB2312" w:cs="仿宋_GB2312"/>
          <w:sz w:val="32"/>
          <w:szCs w:val="32"/>
          <w:rtl w:val="0"/>
          <w:lang w:val="zh-CN" w:eastAsia="zh-CN"/>
        </w:rPr>
        <w:t>0.10</w:t>
      </w:r>
      <w:r>
        <w:rPr>
          <w:rFonts w:ascii="仿宋_GB2312" w:hAnsi="仿宋_GB2312" w:eastAsia="仿宋_GB2312" w:cs="仿宋_GB2312"/>
          <w:sz w:val="32"/>
          <w:szCs w:val="32"/>
          <w:rtl w:val="0"/>
          <w:lang w:val="zh-TW" w:eastAsia="zh-TW"/>
        </w:rPr>
        <w:t>万元，支出决算为</w:t>
      </w:r>
      <w:r>
        <w:rPr>
          <w:rFonts w:ascii="仿宋_GB2312" w:hAnsi="仿宋_GB2312" w:eastAsia="仿宋_GB2312" w:cs="仿宋_GB2312"/>
          <w:sz w:val="32"/>
          <w:szCs w:val="32"/>
          <w:rtl w:val="0"/>
          <w:lang w:val="zh-CN" w:eastAsia="zh-CN"/>
        </w:rPr>
        <w:t>0.1</w:t>
      </w:r>
      <w:r>
        <w:rPr>
          <w:rFonts w:ascii="仿宋_GB2312" w:hAnsi="仿宋_GB2312" w:eastAsia="仿宋_GB2312" w:cs="仿宋_GB2312"/>
          <w:sz w:val="32"/>
          <w:szCs w:val="32"/>
          <w:rtl w:val="0"/>
          <w:lang w:val="zh-TW" w:eastAsia="zh-TW"/>
        </w:rPr>
        <w:t>万元，完成年初预算的</w:t>
      </w:r>
      <w:r>
        <w:rPr>
          <w:rFonts w:ascii="仿宋_GB2312" w:hAnsi="仿宋_GB2312" w:eastAsia="仿宋_GB2312" w:cs="仿宋_GB2312"/>
          <w:sz w:val="32"/>
          <w:szCs w:val="32"/>
          <w:rtl w:val="0"/>
          <w:lang w:val="zh-CN" w:eastAsia="zh-CN"/>
        </w:rPr>
        <w:t>100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博物馆考古所实施的长江流域文物资源调查工作</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长江流域（湖南段）文物资源调查工作推进</w:t>
      </w:r>
      <w:r>
        <w:rPr>
          <w:rFonts w:ascii="仿宋_GB2312" w:hAnsi="仿宋_GB2312" w:eastAsia="仿宋_GB2312" w:cs="仿宋_GB2312"/>
          <w:sz w:val="32"/>
          <w:szCs w:val="32"/>
          <w:rtl w:val="0"/>
          <w:lang w:val="zh-TW" w:eastAsia="zh-TW"/>
        </w:rPr>
        <w:t>。</w:t>
      </w:r>
    </w:p>
    <w:p w14:paraId="4BCB9548">
      <w:pPr>
        <w:framePr w:wrap="auto" w:vAnchor="margin" w:hAnchor="text" w:yAlign="inline"/>
        <w:ind w:firstLine="640"/>
        <w:rPr>
          <w:rFonts w:ascii="仿宋_GB2312" w:hAnsi="仿宋_GB2312" w:eastAsia="仿宋_GB2312" w:cs="仿宋_GB2312"/>
          <w:color w:val="000000"/>
          <w:kern w:val="0"/>
          <w:sz w:val="32"/>
          <w:szCs w:val="32"/>
          <w:u w:color="000000"/>
        </w:rPr>
      </w:pPr>
      <w:r>
        <w:rPr>
          <w:rFonts w:ascii="仿宋_GB2312" w:hAnsi="仿宋_GB2312" w:eastAsia="仿宋_GB2312" w:cs="仿宋_GB2312"/>
          <w:color w:val="000000"/>
          <w:kern w:val="0"/>
          <w:sz w:val="32"/>
          <w:szCs w:val="32"/>
          <w:u w:color="000000"/>
          <w:rtl w:val="0"/>
          <w:lang w:val="zh-TW" w:eastAsia="zh-TW"/>
        </w:rPr>
        <w:t>培训费年初预算</w:t>
      </w:r>
      <w:r>
        <w:rPr>
          <w:rFonts w:ascii="仿宋_GB2312" w:hAnsi="仿宋_GB2312" w:eastAsia="仿宋_GB2312" w:cs="仿宋_GB2312"/>
          <w:kern w:val="0"/>
          <w:sz w:val="32"/>
          <w:szCs w:val="32"/>
          <w:rtl w:val="0"/>
          <w:lang w:val="zh-CN" w:eastAsia="zh-CN"/>
        </w:rPr>
        <w:t>0.10</w:t>
      </w:r>
      <w:r>
        <w:rPr>
          <w:rFonts w:ascii="仿宋_GB2312" w:hAnsi="仿宋_GB2312" w:eastAsia="仿宋_GB2312" w:cs="仿宋_GB2312"/>
          <w:color w:val="000000"/>
          <w:kern w:val="0"/>
          <w:sz w:val="32"/>
          <w:szCs w:val="32"/>
          <w:u w:color="000000"/>
          <w:rtl w:val="0"/>
          <w:lang w:val="zh-TW" w:eastAsia="zh-TW"/>
        </w:rPr>
        <w:t>万元，支出决算为</w:t>
      </w:r>
      <w:r>
        <w:rPr>
          <w:rFonts w:ascii="仿宋_GB2312" w:hAnsi="仿宋_GB2312" w:eastAsia="仿宋_GB2312" w:cs="仿宋_GB2312"/>
          <w:kern w:val="0"/>
          <w:sz w:val="32"/>
          <w:szCs w:val="32"/>
          <w:rtl w:val="0"/>
          <w:lang w:val="zh-CN" w:eastAsia="zh-CN"/>
        </w:rPr>
        <w:t>1.45</w:t>
      </w:r>
      <w:r>
        <w:rPr>
          <w:rFonts w:ascii="仿宋_GB2312" w:hAnsi="仿宋_GB2312" w:eastAsia="仿宋_GB2312" w:cs="仿宋_GB2312"/>
          <w:color w:val="000000"/>
          <w:kern w:val="0"/>
          <w:sz w:val="32"/>
          <w:szCs w:val="32"/>
          <w:u w:color="000000"/>
          <w:rtl w:val="0"/>
          <w:lang w:val="zh-TW" w:eastAsia="zh-TW"/>
        </w:rPr>
        <w:t>万元，完成年初预算的</w:t>
      </w:r>
      <w:r>
        <w:rPr>
          <w:rFonts w:ascii="仿宋_GB2312" w:hAnsi="仿宋_GB2312" w:eastAsia="仿宋_GB2312" w:cs="仿宋_GB2312"/>
          <w:color w:val="000000"/>
          <w:kern w:val="0"/>
          <w:sz w:val="32"/>
          <w:szCs w:val="32"/>
          <w:u w:color="000000"/>
          <w:rtl w:val="0"/>
          <w:lang w:val="zh-CN" w:eastAsia="zh-CN"/>
        </w:rPr>
        <w:t>1450</w:t>
      </w:r>
      <w:r>
        <w:rPr>
          <w:rFonts w:ascii="仿宋_GB2312" w:hAnsi="仿宋_GB2312" w:eastAsia="仿宋_GB2312" w:cs="仿宋_GB2312"/>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eastAsia="zh-CN"/>
        </w:rPr>
        <w:t>业务提升</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考古现场出土文物保护技术线上培训、全国博物馆讲解员高级讲习班培训、智慧博物馆展览策划高级线上研修班培训</w:t>
      </w:r>
      <w:r>
        <w:rPr>
          <w:rFonts w:ascii="仿宋_GB2312" w:hAnsi="仿宋_GB2312" w:eastAsia="仿宋_GB2312" w:cs="仿宋_GB2312"/>
          <w:color w:val="000000"/>
          <w:kern w:val="0"/>
          <w:sz w:val="32"/>
          <w:szCs w:val="32"/>
          <w:u w:color="000000"/>
          <w:rtl w:val="0"/>
          <w:lang w:val="zh-TW" w:eastAsia="zh-TW"/>
        </w:rPr>
        <w:t>。</w:t>
      </w:r>
    </w:p>
    <w:p w14:paraId="44322273">
      <w:pPr>
        <w:framePr w:wrap="auto" w:vAnchor="margin" w:hAnchor="text" w:yAlign="inline"/>
        <w:ind w:firstLine="640"/>
        <w:rPr>
          <w:rFonts w:ascii="楷体" w:hAnsi="楷体" w:eastAsia="楷体" w:cs="楷体"/>
          <w:b/>
          <w:bCs/>
          <w:color w:val="FF0000"/>
          <w:kern w:val="0"/>
          <w:sz w:val="40"/>
          <w:szCs w:val="40"/>
          <w:u w:color="FF0000"/>
        </w:rPr>
      </w:pP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TW" w:eastAsia="zh-TW"/>
        </w:rPr>
        <w:t>本单位无举办节庆、晚会、论坛、赛事等活动的预算和支出决算数</w:t>
      </w:r>
      <w:r>
        <w:rPr>
          <w:rFonts w:ascii="仿宋_GB2312" w:hAnsi="仿宋_GB2312" w:eastAsia="仿宋_GB2312" w:cs="仿宋_GB2312"/>
          <w:b w:val="0"/>
          <w:bCs w:val="0"/>
          <w:i w:val="0"/>
          <w:iCs w:val="0"/>
          <w:caps w:val="0"/>
          <w:smallCaps w:val="0"/>
          <w:strike w:val="0"/>
          <w:dstrike w:val="0"/>
          <w:outline w:val="0"/>
          <w:emboss w:val="0"/>
          <w:imprint w:val="0"/>
          <w:vanish w:val="0"/>
          <w:color w:val="000000"/>
          <w:spacing w:val="0"/>
          <w:w w:val="100"/>
          <w:kern w:val="0"/>
          <w:position w:val="0"/>
          <w:sz w:val="32"/>
          <w:szCs w:val="32"/>
          <w:u w:val="none" w:color="000000"/>
          <w:vertAlign w:val="baseline"/>
          <w:rtl w:val="0"/>
          <w:lang w:val="zh-CN" w:eastAsia="zh-CN"/>
        </w:rPr>
        <w:t>。</w:t>
      </w:r>
    </w:p>
    <w:p w14:paraId="75842953">
      <w:pPr>
        <w:pStyle w:val="11"/>
        <w:framePr w:wrap="auto" w:vAnchor="margin" w:hAnchor="text" w:yAlign="inline"/>
        <w:spacing w:line="600" w:lineRule="exact"/>
        <w:ind w:firstLine="640"/>
        <w:jc w:val="left"/>
        <w:rPr>
          <w:sz w:val="32"/>
          <w:szCs w:val="32"/>
          <w:lang w:val="zh-TW" w:eastAsia="zh-TW"/>
        </w:rPr>
      </w:pPr>
      <w:r>
        <w:rPr>
          <w:sz w:val="32"/>
          <w:szCs w:val="32"/>
          <w:rtl w:val="0"/>
          <w:lang w:val="zh-TW" w:eastAsia="zh-TW"/>
        </w:rPr>
        <w:t>十二、关于政府采购支出说明</w:t>
      </w:r>
    </w:p>
    <w:p w14:paraId="281621D9">
      <w:pPr>
        <w:pStyle w:val="11"/>
        <w:framePr w:wrap="auto" w:vAnchor="margin" w:hAnchor="text" w:yAlign="inline"/>
        <w:spacing w:line="600" w:lineRule="exact"/>
        <w:ind w:firstLine="640"/>
        <w:jc w:val="left"/>
        <w:rPr>
          <w:rFonts w:ascii="仿宋_GB2312" w:hAnsi="仿宋_GB2312" w:eastAsia="仿宋_GB2312" w:cs="仿宋_GB2312"/>
          <w:sz w:val="32"/>
          <w:szCs w:val="32"/>
          <w:rtl w:val="0"/>
          <w:lang w:val="zh-TW" w:eastAsia="zh-TW"/>
        </w:rPr>
      </w:pPr>
      <w:r>
        <w:rPr>
          <w:rFonts w:ascii="仿宋_GB2312" w:hAnsi="仿宋_GB2312" w:eastAsia="仿宋_GB2312" w:cs="仿宋_GB2312"/>
          <w:sz w:val="32"/>
          <w:szCs w:val="32"/>
          <w:rtl w:val="0"/>
          <w:lang w:val="zh-TW" w:eastAsia="zh-TW"/>
        </w:rPr>
        <w:t>本部门</w:t>
      </w:r>
      <w:r>
        <w:rPr>
          <w:rFonts w:ascii="仿宋_GB2312" w:hAnsi="仿宋_GB2312" w:eastAsia="仿宋_GB2312" w:cs="仿宋_GB2312"/>
          <w:sz w:val="32"/>
          <w:szCs w:val="32"/>
          <w:rtl w:val="0"/>
          <w:lang w:val="en-US"/>
        </w:rPr>
        <w:t>2023</w:t>
      </w:r>
      <w:r>
        <w:rPr>
          <w:rFonts w:ascii="仿宋_GB2312" w:hAnsi="仿宋_GB2312" w:eastAsia="仿宋_GB2312" w:cs="仿宋_GB2312"/>
          <w:sz w:val="32"/>
          <w:szCs w:val="32"/>
          <w:rtl w:val="0"/>
          <w:lang w:val="zh-TW" w:eastAsia="zh-TW"/>
        </w:rPr>
        <w:t>年度政府采购支出总额</w:t>
      </w:r>
      <w:r>
        <w:rPr>
          <w:rFonts w:hint="eastAsia" w:ascii="仿宋_GB2312" w:hAnsi="仿宋_GB2312" w:eastAsia="仿宋_GB2312" w:cs="仿宋_GB2312"/>
          <w:sz w:val="32"/>
          <w:szCs w:val="32"/>
          <w:rtl w:val="0"/>
          <w:lang w:val="en-US" w:eastAsia="zh-CN"/>
        </w:rPr>
        <w:t>115.08</w:t>
      </w:r>
      <w:r>
        <w:rPr>
          <w:rFonts w:ascii="仿宋_GB2312" w:hAnsi="仿宋_GB2312" w:eastAsia="仿宋_GB2312" w:cs="仿宋_GB2312"/>
          <w:sz w:val="32"/>
          <w:szCs w:val="32"/>
          <w:rtl w:val="0"/>
          <w:lang w:val="zh-TW" w:eastAsia="zh-TW"/>
        </w:rPr>
        <w:t>万元，其中：政府采购货物支出</w:t>
      </w:r>
      <w:r>
        <w:rPr>
          <w:rFonts w:hint="eastAsia" w:ascii="仿宋_GB2312" w:hAnsi="仿宋_GB2312" w:eastAsia="仿宋_GB2312" w:cs="仿宋_GB2312"/>
          <w:sz w:val="32"/>
          <w:szCs w:val="32"/>
          <w:rtl w:val="0"/>
          <w:lang w:val="en-US" w:eastAsia="zh-CN"/>
        </w:rPr>
        <w:t>0</w:t>
      </w:r>
      <w:r>
        <w:rPr>
          <w:rFonts w:ascii="仿宋_GB2312" w:hAnsi="仿宋_GB2312" w:eastAsia="仿宋_GB2312" w:cs="仿宋_GB2312"/>
          <w:sz w:val="32"/>
          <w:szCs w:val="32"/>
          <w:rtl w:val="0"/>
          <w:lang w:val="zh-TW" w:eastAsia="zh-TW"/>
        </w:rPr>
        <w:t>万元、政府采购工程支出</w:t>
      </w:r>
      <w:r>
        <w:rPr>
          <w:rFonts w:hint="eastAsia" w:ascii="仿宋_GB2312" w:hAnsi="仿宋_GB2312" w:eastAsia="仿宋_GB2312" w:cs="仿宋_GB2312"/>
          <w:sz w:val="32"/>
          <w:szCs w:val="32"/>
          <w:rtl w:val="0"/>
          <w:lang w:val="en-US" w:eastAsia="zh-CN"/>
        </w:rPr>
        <w:t>0</w:t>
      </w:r>
      <w:r>
        <w:rPr>
          <w:rFonts w:ascii="仿宋_GB2312" w:hAnsi="仿宋_GB2312" w:eastAsia="仿宋_GB2312" w:cs="仿宋_GB2312"/>
          <w:sz w:val="32"/>
          <w:szCs w:val="32"/>
          <w:rtl w:val="0"/>
          <w:lang w:val="zh-TW" w:eastAsia="zh-TW"/>
        </w:rPr>
        <w:t>万元、政府采购服务支出</w:t>
      </w:r>
      <w:r>
        <w:rPr>
          <w:rFonts w:hint="eastAsia" w:ascii="仿宋_GB2312" w:hAnsi="仿宋_GB2312" w:eastAsia="仿宋_GB2312" w:cs="仿宋_GB2312"/>
          <w:sz w:val="32"/>
          <w:szCs w:val="32"/>
          <w:rtl w:val="0"/>
          <w:lang w:val="en-US" w:eastAsia="zh-CN"/>
        </w:rPr>
        <w:t>115.08</w:t>
      </w:r>
      <w:r>
        <w:rPr>
          <w:rFonts w:ascii="仿宋_GB2312" w:hAnsi="仿宋_GB2312" w:eastAsia="仿宋_GB2312" w:cs="仿宋_GB2312"/>
          <w:sz w:val="32"/>
          <w:szCs w:val="32"/>
          <w:rtl w:val="0"/>
          <w:lang w:val="zh-TW" w:eastAsia="zh-TW"/>
        </w:rPr>
        <w:t>万元。授予中小企业合同金额</w:t>
      </w:r>
      <w:r>
        <w:rPr>
          <w:rFonts w:hint="eastAsia" w:ascii="仿宋_GB2312" w:hAnsi="仿宋_GB2312" w:eastAsia="仿宋_GB2312" w:cs="仿宋_GB2312"/>
          <w:sz w:val="32"/>
          <w:szCs w:val="32"/>
          <w:rtl w:val="0"/>
          <w:lang w:val="en-US" w:eastAsia="zh-CN"/>
        </w:rPr>
        <w:t>115.08</w:t>
      </w:r>
      <w:r>
        <w:rPr>
          <w:rFonts w:ascii="仿宋_GB2312" w:hAnsi="仿宋_GB2312" w:eastAsia="仿宋_GB2312" w:cs="仿宋_GB2312"/>
          <w:sz w:val="32"/>
          <w:szCs w:val="32"/>
          <w:rtl w:val="0"/>
          <w:lang w:val="zh-TW" w:eastAsia="zh-TW"/>
        </w:rPr>
        <w:t>万元，占政府采购支出总额的</w:t>
      </w:r>
      <w:r>
        <w:rPr>
          <w:rFonts w:hint="eastAsia" w:ascii="仿宋_GB2312" w:hAnsi="仿宋_GB2312" w:eastAsia="仿宋_GB2312" w:cs="仿宋_GB2312"/>
          <w:sz w:val="32"/>
          <w:szCs w:val="32"/>
          <w:rtl w:val="0"/>
          <w:lang w:val="en-US" w:eastAsia="zh-CN"/>
        </w:rPr>
        <w:t>100</w:t>
      </w:r>
      <w:r>
        <w:rPr>
          <w:rFonts w:ascii="仿宋_GB2312" w:hAnsi="仿宋_GB2312" w:eastAsia="仿宋_GB2312" w:cs="仿宋_GB2312"/>
          <w:sz w:val="32"/>
          <w:szCs w:val="32"/>
          <w:rtl w:val="0"/>
          <w:lang w:val="en-US"/>
        </w:rPr>
        <w:t>%</w:t>
      </w:r>
      <w:r>
        <w:rPr>
          <w:rFonts w:ascii="仿宋_GB2312" w:hAnsi="仿宋_GB2312" w:eastAsia="仿宋_GB2312" w:cs="仿宋_GB2312"/>
          <w:sz w:val="32"/>
          <w:szCs w:val="32"/>
          <w:rtl w:val="0"/>
          <w:lang w:val="zh-TW" w:eastAsia="zh-TW"/>
        </w:rPr>
        <w:t>，其中：授予小微企业合同金额</w:t>
      </w:r>
      <w:r>
        <w:rPr>
          <w:rFonts w:hint="eastAsia" w:ascii="仿宋_GB2312" w:hAnsi="仿宋_GB2312" w:eastAsia="仿宋_GB2312" w:cs="仿宋_GB2312"/>
          <w:sz w:val="32"/>
          <w:szCs w:val="32"/>
          <w:rtl w:val="0"/>
          <w:lang w:val="en-US" w:eastAsia="zh-CN"/>
        </w:rPr>
        <w:t>115.08</w:t>
      </w:r>
      <w:r>
        <w:rPr>
          <w:rFonts w:ascii="仿宋_GB2312" w:hAnsi="仿宋_GB2312" w:eastAsia="仿宋_GB2312" w:cs="仿宋_GB2312"/>
          <w:sz w:val="32"/>
          <w:szCs w:val="32"/>
          <w:rtl w:val="0"/>
          <w:lang w:val="zh-TW" w:eastAsia="zh-TW"/>
        </w:rPr>
        <w:t>万元，</w:t>
      </w:r>
      <w:r>
        <w:rPr>
          <w:rFonts w:ascii="仿宋_GB2312" w:hAnsi="仿宋_GB2312" w:eastAsia="仿宋_GB2312" w:cs="仿宋_GB2312"/>
          <w:color w:val="000000"/>
          <w:sz w:val="32"/>
          <w:szCs w:val="32"/>
          <w:u w:color="000000"/>
          <w:rtl w:val="0"/>
          <w:lang w:val="zh-TW" w:eastAsia="zh-TW"/>
        </w:rPr>
        <w:t>占授予中小企业合同金额的</w:t>
      </w:r>
      <w:r>
        <w:rPr>
          <w:rFonts w:hint="eastAsia" w:ascii="仿宋_GB2312" w:hAnsi="仿宋_GB2312" w:eastAsia="仿宋_GB2312" w:cs="仿宋_GB2312"/>
          <w:color w:val="000000"/>
          <w:sz w:val="32"/>
          <w:szCs w:val="32"/>
          <w:u w:color="000000"/>
          <w:rtl w:val="0"/>
          <w:lang w:val="en-US" w:eastAsia="zh-CN"/>
        </w:rPr>
        <w:t>100</w:t>
      </w:r>
      <w:r>
        <w:rPr>
          <w:rFonts w:ascii="仿宋_GB2312" w:hAnsi="仿宋_GB2312" w:eastAsia="仿宋_GB2312" w:cs="仿宋_GB2312"/>
          <w:color w:val="000000"/>
          <w:sz w:val="32"/>
          <w:szCs w:val="32"/>
          <w:u w:color="000000"/>
          <w:rtl w:val="0"/>
          <w:lang w:val="en-US"/>
        </w:rPr>
        <w:t>%</w:t>
      </w:r>
      <w:r>
        <w:rPr>
          <w:rFonts w:ascii="仿宋_GB2312" w:hAnsi="仿宋_GB2312" w:eastAsia="仿宋_GB2312" w:cs="仿宋_GB2312"/>
          <w:color w:val="000000"/>
          <w:sz w:val="32"/>
          <w:szCs w:val="32"/>
          <w:u w:color="000000"/>
          <w:rtl w:val="0"/>
          <w:lang w:val="zh-TW" w:eastAsia="zh-TW"/>
        </w:rPr>
        <w:t>。</w:t>
      </w:r>
      <w:r>
        <w:rPr>
          <w:rFonts w:hint="default" w:ascii="仿宋_GB2312" w:hAnsi="仿宋_GB2312" w:eastAsia="仿宋_GB2312" w:cs="仿宋_GB2312"/>
          <w:sz w:val="32"/>
          <w:szCs w:val="32"/>
          <w:rtl w:val="0"/>
          <w:lang w:val="en-US" w:eastAsia="zh-CN"/>
        </w:rPr>
        <w:t>货物采购授予中小企业合同金额占货物支出金额的比重，工程采购授予中小企业合同金额占工程支出金额的比重，由于</w:t>
      </w:r>
      <w:r>
        <w:rPr>
          <w:rFonts w:hint="eastAsia" w:ascii="仿宋_GB2312" w:hAnsi="仿宋_GB2312" w:eastAsia="仿宋_GB2312" w:cs="仿宋_GB2312"/>
          <w:sz w:val="32"/>
          <w:szCs w:val="32"/>
          <w:rtl w:val="0"/>
          <w:lang w:val="en-US" w:eastAsia="zh-CN"/>
        </w:rPr>
        <w:t>对应</w:t>
      </w:r>
      <w:r>
        <w:rPr>
          <w:rFonts w:hint="default" w:ascii="仿宋_GB2312" w:hAnsi="仿宋_GB2312" w:eastAsia="仿宋_GB2312" w:cs="仿宋_GB2312"/>
          <w:sz w:val="32"/>
          <w:szCs w:val="32"/>
          <w:rtl w:val="0"/>
          <w:lang w:val="en-US" w:eastAsia="zh-CN"/>
        </w:rPr>
        <w:t>项</w:t>
      </w:r>
      <w:r>
        <w:rPr>
          <w:rFonts w:hint="eastAsia" w:ascii="仿宋_GB2312" w:hAnsi="仿宋_GB2312" w:eastAsia="仿宋_GB2312" w:cs="仿宋_GB2312"/>
          <w:sz w:val="32"/>
          <w:szCs w:val="32"/>
          <w:rtl w:val="0"/>
          <w:lang w:val="en-US" w:eastAsia="zh-CN"/>
        </w:rPr>
        <w:t>的</w:t>
      </w:r>
      <w:r>
        <w:rPr>
          <w:rFonts w:hint="default" w:ascii="仿宋_GB2312" w:hAnsi="仿宋_GB2312" w:eastAsia="仿宋_GB2312" w:cs="仿宋_GB2312"/>
          <w:sz w:val="32"/>
          <w:szCs w:val="32"/>
          <w:rtl w:val="0"/>
          <w:lang w:val="en-US" w:eastAsia="zh-CN"/>
        </w:rPr>
        <w:t>预算数为0，故无法计算占比。</w:t>
      </w:r>
    </w:p>
    <w:p w14:paraId="4DC86A9F">
      <w:pPr>
        <w:pStyle w:val="11"/>
        <w:framePr w:wrap="auto" w:vAnchor="margin" w:hAnchor="text" w:yAlign="inline"/>
        <w:spacing w:line="580" w:lineRule="exact"/>
        <w:ind w:firstLine="640"/>
        <w:jc w:val="left"/>
        <w:rPr>
          <w:color w:val="000000"/>
          <w:sz w:val="32"/>
          <w:szCs w:val="32"/>
          <w:u w:color="000000"/>
          <w:lang w:val="zh-TW" w:eastAsia="zh-TW"/>
        </w:rPr>
      </w:pPr>
      <w:r>
        <w:rPr>
          <w:color w:val="000000"/>
          <w:sz w:val="32"/>
          <w:szCs w:val="32"/>
          <w:u w:color="000000"/>
          <w:rtl w:val="0"/>
          <w:lang w:val="zh-TW" w:eastAsia="zh-TW"/>
        </w:rPr>
        <w:t>十三、关于国有资产占用情况说明</w:t>
      </w:r>
    </w:p>
    <w:p w14:paraId="245C0AD1">
      <w:pPr>
        <w:pStyle w:val="11"/>
        <w:framePr w:wrap="auto" w:vAnchor="margin" w:hAnchor="text" w:yAlign="inline"/>
        <w:shd w:val="clear" w:color="auto" w:fill="auto"/>
        <w:ind w:firstLine="640"/>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pP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截至</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2023</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年</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12</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月</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31</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日，本单位共有车辆</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辆，其中，副部（省）级及以上领导用车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辆、主要负责人用车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辆、机要通信用车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辆、应急保障用车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辆、执法执勤用车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辆、特种专业技术用车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辆、离退休干部服务用车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辆、其他用车</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辆；单位价值</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100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万元以上设备（不含车辆）</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en-US" w:eastAsia="zh-CN"/>
        </w:rPr>
        <w:t>0</w:t>
      </w:r>
      <w:r>
        <w:rPr>
          <w:rFonts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TW"/>
        </w:rPr>
        <w:t>台（套）</w:t>
      </w:r>
      <w:r>
        <w:rPr>
          <w:rFonts w:hint="eastAsia" w:ascii="仿宋_GB2312" w:hAnsi="仿宋_GB2312" w:eastAsia="仿宋_GB2312" w:cs="仿宋_GB2312"/>
          <w:b w:val="0"/>
          <w:bCs w:val="0"/>
          <w:i w:val="0"/>
          <w:iCs w:val="0"/>
          <w:caps w:val="0"/>
          <w:smallCaps w:val="0"/>
          <w:strike w:val="0"/>
          <w:dstrike w:val="0"/>
          <w:outline w:val="0"/>
          <w:emboss w:val="0"/>
          <w:imprint w:val="0"/>
          <w:vanish w:val="0"/>
          <w:sz w:val="32"/>
          <w:szCs w:val="32"/>
          <w:rtl w:val="0"/>
          <w:lang w:val="zh-TW" w:eastAsia="zh-CN"/>
        </w:rPr>
        <w:t>。</w:t>
      </w:r>
    </w:p>
    <w:p w14:paraId="59FEC97A">
      <w:pPr>
        <w:pStyle w:val="11"/>
        <w:framePr w:wrap="auto" w:vAnchor="margin" w:hAnchor="text" w:yAlign="inline"/>
        <w:spacing w:line="580" w:lineRule="exact"/>
        <w:ind w:firstLine="640"/>
        <w:jc w:val="left"/>
        <w:rPr>
          <w:color w:val="000000"/>
          <w:sz w:val="32"/>
          <w:szCs w:val="32"/>
          <w:u w:color="000000"/>
        </w:rPr>
      </w:pPr>
      <w:r>
        <w:rPr>
          <w:color w:val="000000"/>
          <w:sz w:val="32"/>
          <w:szCs w:val="32"/>
          <w:u w:color="000000"/>
          <w:rtl w:val="0"/>
          <w:lang w:val="zh-TW" w:eastAsia="zh-TW"/>
        </w:rPr>
        <w:t>十四、关于</w:t>
      </w:r>
      <w:r>
        <w:rPr>
          <w:rFonts w:ascii="Times New Roman" w:hAnsi="Times New Roman"/>
          <w:color w:val="000000"/>
          <w:sz w:val="32"/>
          <w:szCs w:val="32"/>
          <w:u w:color="000000"/>
          <w:rtl w:val="0"/>
          <w:lang w:val="en-US"/>
        </w:rPr>
        <w:t>2023</w:t>
      </w:r>
      <w:r>
        <w:rPr>
          <w:color w:val="000000"/>
          <w:sz w:val="32"/>
          <w:szCs w:val="32"/>
          <w:u w:color="000000"/>
          <w:rtl w:val="0"/>
          <w:lang w:val="zh-TW" w:eastAsia="zh-TW"/>
        </w:rPr>
        <w:t>年度预算绩效情况的说明</w:t>
      </w:r>
    </w:p>
    <w:p w14:paraId="3678F7C8">
      <w:pPr>
        <w:pStyle w:val="11"/>
        <w:framePr w:wrap="auto" w:vAnchor="margin" w:hAnchor="text" w:yAlign="inline"/>
        <w:spacing w:line="580" w:lineRule="exact"/>
        <w:ind w:firstLine="640"/>
        <w:jc w:val="left"/>
        <w:rPr>
          <w:rFonts w:ascii="楷体" w:hAnsi="楷体" w:eastAsia="楷体" w:cs="楷体"/>
          <w:b/>
          <w:bCs/>
          <w:sz w:val="32"/>
          <w:szCs w:val="32"/>
          <w:lang w:val="zh-TW" w:eastAsia="zh-TW"/>
        </w:rPr>
      </w:pPr>
      <w:r>
        <w:rPr>
          <w:rFonts w:ascii="楷体" w:hAnsi="楷体" w:eastAsia="楷体" w:cs="楷体"/>
          <w:b/>
          <w:bCs/>
          <w:sz w:val="32"/>
          <w:szCs w:val="32"/>
          <w:rtl w:val="0"/>
          <w:lang w:val="zh-TW" w:eastAsia="zh-TW"/>
        </w:rPr>
        <w:t>（一）绩效管理工作开展情况</w:t>
      </w:r>
    </w:p>
    <w:p w14:paraId="188446BD">
      <w:pPr>
        <w:pStyle w:val="11"/>
        <w:framePr w:wrap="auto" w:vAnchor="margin" w:hAnchor="text" w:yAlign="inline"/>
        <w:spacing w:line="580" w:lineRule="exact"/>
        <w:ind w:firstLine="64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 xml:space="preserve">年度本部门（单位）整体支出开展绩效自评，涉及项目 </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560.16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560.16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65.41</w:t>
      </w:r>
      <w:r>
        <w:rPr>
          <w:rFonts w:ascii="Times New Roman" w:hAnsi="Times New Roman" w:eastAsia="仿宋_GB2312" w:cs="Times New Roman"/>
          <w:kern w:val="0"/>
          <w:sz w:val="32"/>
          <w:szCs w:val="32"/>
        </w:rPr>
        <w:t xml:space="preserve">%；政府性基金预算项目 </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%；国有资本经营预算项目 </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 xml:space="preserve">%；社会保险基金预算项目 </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个 </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0.00</w:t>
      </w:r>
      <w:r>
        <w:rPr>
          <w:rFonts w:ascii="Times New Roman" w:hAnsi="Times New Roman" w:eastAsia="仿宋_GB2312" w:cs="Times New Roman"/>
          <w:kern w:val="0"/>
          <w:sz w:val="32"/>
          <w:szCs w:val="32"/>
        </w:rPr>
        <w:t>%。</w:t>
      </w:r>
    </w:p>
    <w:p w14:paraId="0F1B9DF1">
      <w:pPr>
        <w:pStyle w:val="11"/>
        <w:framePr w:wrap="auto" w:vAnchor="margin" w:hAnchor="text" w:yAlign="inline"/>
        <w:spacing w:line="580" w:lineRule="exact"/>
        <w:ind w:firstLine="640"/>
        <w:jc w:val="left"/>
        <w:rPr>
          <w:rFonts w:ascii="楷体" w:hAnsi="楷体" w:eastAsia="楷体" w:cs="楷体"/>
          <w:b/>
          <w:bCs/>
          <w:sz w:val="32"/>
          <w:szCs w:val="32"/>
          <w:lang w:val="zh-TW" w:eastAsia="zh-TW"/>
        </w:rPr>
      </w:pPr>
      <w:bookmarkStart w:id="0" w:name="_GoBack"/>
      <w:bookmarkEnd w:id="0"/>
      <w:r>
        <w:rPr>
          <w:rFonts w:ascii="楷体" w:hAnsi="楷体" w:eastAsia="楷体" w:cs="楷体"/>
          <w:b/>
          <w:bCs/>
          <w:sz w:val="32"/>
          <w:szCs w:val="32"/>
          <w:rtl w:val="0"/>
          <w:lang w:val="zh-TW" w:eastAsia="zh-TW"/>
        </w:rPr>
        <w:t>（二）部门（单位）整体支出绩效情况</w:t>
      </w:r>
    </w:p>
    <w:p w14:paraId="3B0DC8DE">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ascii="仿宋_GB2312" w:hAnsi="仿宋_GB2312" w:eastAsia="仿宋_GB2312" w:cs="仿宋_GB2312"/>
          <w:color w:val="000000"/>
          <w:kern w:val="0"/>
          <w:sz w:val="32"/>
          <w:szCs w:val="32"/>
          <w:u w:color="000000"/>
          <w:rtl w:val="0"/>
          <w:lang w:val="zh-TW" w:eastAsia="zh-TW"/>
        </w:rPr>
        <w:t>根据年初设定的绩效目标，绩效自评得分为</w:t>
      </w:r>
      <w:r>
        <w:rPr>
          <w:rFonts w:ascii="仿宋_GB2312" w:hAnsi="仿宋_GB2312" w:eastAsia="仿宋_GB2312" w:cs="仿宋_GB2312"/>
          <w:kern w:val="0"/>
          <w:sz w:val="32"/>
          <w:szCs w:val="32"/>
          <w:rtl w:val="0"/>
          <w:lang w:val="zh-CN" w:eastAsia="zh-CN"/>
        </w:rPr>
        <w:t>99</w:t>
      </w:r>
      <w:r>
        <w:rPr>
          <w:rFonts w:ascii="仿宋_GB2312" w:hAnsi="仿宋_GB2312" w:eastAsia="仿宋_GB2312" w:cs="仿宋_GB2312"/>
          <w:color w:val="000000"/>
          <w:kern w:val="0"/>
          <w:sz w:val="32"/>
          <w:szCs w:val="32"/>
          <w:u w:color="000000"/>
          <w:rtl w:val="0"/>
          <w:lang w:val="zh-TW" w:eastAsia="zh-TW"/>
        </w:rPr>
        <w:t>分。全年预算数为</w:t>
      </w:r>
      <w:r>
        <w:rPr>
          <w:rFonts w:ascii="仿宋_GB2312" w:hAnsi="仿宋_GB2312" w:eastAsia="仿宋_GB2312" w:cs="仿宋_GB2312"/>
          <w:kern w:val="0"/>
          <w:sz w:val="32"/>
          <w:szCs w:val="32"/>
          <w:rtl w:val="0"/>
          <w:lang w:val="zh-CN" w:eastAsia="zh-CN"/>
        </w:rPr>
        <w:t>253.78</w:t>
      </w:r>
      <w:r>
        <w:rPr>
          <w:rFonts w:ascii="仿宋_GB2312" w:hAnsi="仿宋_GB2312" w:eastAsia="仿宋_GB2312" w:cs="仿宋_GB2312"/>
          <w:color w:val="000000"/>
          <w:kern w:val="0"/>
          <w:sz w:val="32"/>
          <w:szCs w:val="32"/>
          <w:u w:color="000000"/>
          <w:rtl w:val="0"/>
          <w:lang w:val="zh-TW" w:eastAsia="zh-TW"/>
        </w:rPr>
        <w:t>万元，执行数为</w:t>
      </w:r>
      <w:r>
        <w:rPr>
          <w:rFonts w:ascii="仿宋_GB2312" w:hAnsi="仿宋_GB2312" w:eastAsia="仿宋_GB2312" w:cs="仿宋_GB2312"/>
          <w:kern w:val="0"/>
          <w:sz w:val="32"/>
          <w:szCs w:val="32"/>
          <w:rtl w:val="0"/>
          <w:lang w:val="zh-CN" w:eastAsia="zh-CN"/>
        </w:rPr>
        <w:t>856.38</w:t>
      </w:r>
      <w:r>
        <w:rPr>
          <w:rFonts w:ascii="仿宋_GB2312" w:hAnsi="仿宋_GB2312" w:eastAsia="仿宋_GB2312" w:cs="仿宋_GB2312"/>
          <w:color w:val="000000"/>
          <w:kern w:val="0"/>
          <w:sz w:val="32"/>
          <w:szCs w:val="32"/>
          <w:u w:color="000000"/>
          <w:rtl w:val="0"/>
          <w:lang w:val="zh-TW" w:eastAsia="zh-TW"/>
        </w:rPr>
        <w:t>万元，完成预算的</w:t>
      </w:r>
      <w:r>
        <w:rPr>
          <w:rFonts w:ascii="仿宋_GB2312" w:hAnsi="仿宋_GB2312" w:eastAsia="仿宋_GB2312" w:cs="仿宋_GB2312"/>
          <w:color w:val="000000"/>
          <w:kern w:val="0"/>
          <w:sz w:val="32"/>
          <w:szCs w:val="32"/>
          <w:u w:color="000000"/>
          <w:rtl w:val="0"/>
          <w:lang w:val="zh-CN" w:eastAsia="zh-CN"/>
        </w:rPr>
        <w:t>337.45</w:t>
      </w:r>
      <w:r>
        <w:rPr>
          <w:rFonts w:ascii="仿宋_GB2312" w:hAnsi="仿宋_GB2312" w:eastAsia="仿宋_GB2312" w:cs="仿宋_GB2312"/>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。绩效目标完成情况：</w:t>
      </w:r>
      <w:r>
        <w:rPr>
          <w:rFonts w:hint="eastAsia" w:ascii="Times New Roman" w:hAnsi="Times New Roman" w:eastAsia="仿宋_GB2312" w:cs="黑体"/>
          <w:color w:val="000000"/>
          <w:kern w:val="0"/>
          <w:sz w:val="32"/>
          <w:szCs w:val="32"/>
          <w:highlight w:val="none"/>
          <w:lang w:val="en-US" w:eastAsia="zh-CN" w:bidi="ar-SA"/>
        </w:rPr>
        <w:t>一是履职尽责，党风廉政建设工作稳步推进。党支部于1月召开了2023年度博物馆党风廉政建设工作部署会，对全年的党风廉政建设工作进行分析讨论，明确工作思路，部署工作任务。制定了市博物馆2023年度党风廉政建设“一岗双责”工作制度和实施办法。明确一把手为“第一责任人”，各班子成员对职责范围内的党风廉政建设和反腐败工作负直接领导责任，根据职责分工，逐级分解责任认真履行“一岗双责”，主动督促、主动检查。支部书记与班子成员、班子成员与科部室主任签订《履行党风廉政建设主体责任承诺书》，支部全年共开展班子成员及党员主体责任廉政谈心谈话8次、工作提醒谈话3次，真正做到了将党风廉政建设“一岗双责”工作落实到班子、落实到部门、落实到个人。始终坚持民主集中，严格落实“三重一大”决策制度。单位重要事项决策，始终坚持班子集体讨论研究的政策，并严格执行“一把手”末位表态制度。同时严格履行“三重一大”程序申报，重大项目实施、重大资金使用等均按文旅广电局“三重一大”相关规定依法、依规、依程序逐级报批。</w:t>
      </w:r>
    </w:p>
    <w:p w14:paraId="7CC1822C">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二是狠抓项目落实，争资争项成效显著。严格依照市纪委监委和局党组相关要求，有序开展各项目申报及实施工作。</w:t>
      </w:r>
    </w:p>
    <w:p w14:paraId="62760600">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三是免费开放工作井然有序，研学社教活动有声有色。截至目前，博物馆全年共计免费开放313天，接待游客40万人次，完成讲解任务432场/次。组织开展“雷锋家乡学雷锋·向雷锋同志学习”、博物馆暑期公益研学课、“小小考古家”考古探秘活动、时光碎片之狩猎达人等研学、社教活动33场/次。举办“5.18国际博物馆日”系列宣传活动、蒲月飘香·五彩端午—传统节日活动、“洞庭赊明月·岳博奇妙夜”中秋传统节日活动等大型文化宣传活动6场/次。联合湖南民族职业学院、湖南理工学院中文学院在文化志愿服务上深度合作，开展文化志愿者服务活动56场/次，吸收志愿者137人，志愿者服务时间281天，服务时间达1242小时。</w:t>
      </w:r>
    </w:p>
    <w:p w14:paraId="337CD847">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四是文物征集保管工作成果丰硕，保护利用再上台阶。配备环境检测、文物保护相关仪器、设备71台，中心文物库房形成了集文物藏品保护管理、协调、监测、分析、处理、预案等一系列风险预控机制，大大提升了我馆文物预防性保护水平。</w:t>
      </w:r>
    </w:p>
    <w:p w14:paraId="3E4C9D10">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五是文物考古工作进展顺利，学术研究水平显著提升。</w:t>
      </w:r>
    </w:p>
    <w:p w14:paraId="39CC3790">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六是狠抓队伍建设，淬火提质业务能力水平。为全面加强博物馆队伍建设水平，着力提升博物馆的管理运营水平、专业技术力量和服务品质，我馆大力推荐、鼓励、组织干部职工，尤其是年青同志积极参加各类业务培训。全年本单位共计开展“以学促知·以知促行”提升履职能力工作礼仪专业培训、消防安全知识技能培训等业务培训4场次，组织干部职工参加全国第十届博博会、湖南省文物保护工程业务培训、2023全国博物馆讲解员高级讲习班等学术论坛、线上线下业务培训班20余场/次。</w:t>
      </w:r>
    </w:p>
    <w:p w14:paraId="51A755CC">
      <w:pPr>
        <w:framePr w:wrap="auto" w:vAnchor="margin" w:hAnchor="text" w:yAlign="inline"/>
        <w:spacing w:line="560" w:lineRule="exact"/>
        <w:ind w:firstLine="640" w:firstLineChars="200"/>
        <w:rPr>
          <w:rFonts w:hint="eastAsia" w:ascii="Times New Roman" w:hAnsi="Times New Roman" w:eastAsia="仿宋_GB2312" w:cs="黑体"/>
          <w:color w:val="000000"/>
          <w:kern w:val="0"/>
          <w:sz w:val="32"/>
          <w:szCs w:val="32"/>
          <w:highlight w:val="none"/>
          <w:lang w:val="en-US" w:eastAsia="zh-CN" w:bidi="ar-SA"/>
        </w:rPr>
      </w:pPr>
      <w:r>
        <w:rPr>
          <w:rFonts w:hint="eastAsia" w:ascii="Times New Roman" w:hAnsi="Times New Roman" w:eastAsia="仿宋_GB2312" w:cs="黑体"/>
          <w:color w:val="000000"/>
          <w:kern w:val="0"/>
          <w:sz w:val="32"/>
          <w:szCs w:val="32"/>
          <w:highlight w:val="none"/>
          <w:lang w:val="en-US" w:eastAsia="zh-CN" w:bidi="ar-SA"/>
        </w:rPr>
        <w:t>七是防微杜渐，严格约束言行我馆班子成员皆做到谨言慎行，时刻保持清醒的头脑，做到自尊、自主、自爱、自律、自重，加强领导干部的廉洁自律，防微杜渐，严守“诱惑关”，做到“勿以善小而不为，勿以恶小而为之”，不侥幸、不任性，始终按照一名合格党员标准严格要求自已，始终牢记党的宗旨，牢固树立全心全意为人民服务的思想，踏踏实实做事，清清白白做人，不辜负组织的信任和群众的厚爱。</w:t>
      </w:r>
    </w:p>
    <w:p w14:paraId="7217EE18">
      <w:pPr>
        <w:pStyle w:val="11"/>
        <w:framePr w:wrap="auto" w:vAnchor="margin" w:hAnchor="text" w:yAlign="inline"/>
        <w:spacing w:line="580" w:lineRule="exact"/>
        <w:ind w:firstLine="640"/>
        <w:jc w:val="left"/>
        <w:rPr>
          <w:rFonts w:ascii="楷体" w:hAnsi="楷体" w:eastAsia="楷体" w:cs="楷体"/>
          <w:b/>
          <w:bCs/>
          <w:sz w:val="32"/>
          <w:szCs w:val="32"/>
          <w:lang w:val="zh-TW" w:eastAsia="zh-TW"/>
        </w:rPr>
      </w:pPr>
      <w:r>
        <w:rPr>
          <w:rFonts w:ascii="楷体" w:hAnsi="楷体" w:eastAsia="楷体" w:cs="楷体"/>
          <w:b/>
          <w:bCs/>
          <w:sz w:val="32"/>
          <w:szCs w:val="32"/>
          <w:rtl w:val="0"/>
          <w:lang w:val="zh-TW" w:eastAsia="zh-TW"/>
        </w:rPr>
        <w:t>（三）存在的问题及原因分析</w:t>
      </w:r>
    </w:p>
    <w:p w14:paraId="0B2363A0">
      <w:pPr>
        <w:framePr w:wrap="auto" w:vAnchor="margin" w:hAnchor="text" w:yAlign="inline"/>
        <w:ind w:firstLine="640"/>
        <w:jc w:val="left"/>
        <w:rPr>
          <w:rFonts w:ascii="仿宋_GB2312" w:hAnsi="仿宋_GB2312" w:eastAsia="仿宋_GB2312" w:cs="仿宋_GB2312"/>
          <w:sz w:val="32"/>
          <w:szCs w:val="32"/>
          <w:lang w:val="zh-TW" w:eastAsia="zh-TW"/>
        </w:rPr>
      </w:pPr>
      <w:r>
        <w:rPr>
          <w:rFonts w:ascii="仿宋_GB2312" w:hAnsi="仿宋_GB2312" w:eastAsia="仿宋_GB2312" w:cs="仿宋_GB2312"/>
          <w:sz w:val="32"/>
          <w:szCs w:val="32"/>
          <w:rtl w:val="0"/>
          <w:lang w:val="zh-TW" w:eastAsia="zh-TW"/>
        </w:rPr>
        <w:t>预算绩效管理开展情况、绩效目标和绩效评价报告等，已在市政府部门财政预决算公开平台上向社会公开，详见附件。</w:t>
      </w:r>
    </w:p>
    <w:p w14:paraId="4EAFB5B7">
      <w:pPr>
        <w:framePr w:wrap="auto" w:vAnchor="margin" w:hAnchor="text" w:yAlign="inline"/>
        <w:jc w:val="left"/>
        <w:rPr>
          <w:rFonts w:ascii="楷体" w:hAnsi="楷体" w:eastAsia="楷体" w:cs="楷体"/>
          <w:b/>
          <w:bCs/>
          <w:color w:val="FF0000"/>
          <w:kern w:val="0"/>
          <w:sz w:val="36"/>
          <w:szCs w:val="36"/>
          <w:u w:color="FF0000"/>
          <w:lang w:val="zh-TW" w:eastAsia="zh-TW"/>
        </w:rPr>
      </w:pPr>
    </w:p>
    <w:p w14:paraId="4A8EFCB8">
      <w:pPr>
        <w:pStyle w:val="11"/>
        <w:framePr w:wrap="auto" w:vAnchor="margin" w:hAnchor="text" w:yAlign="inline"/>
        <w:rPr>
          <w:sz w:val="72"/>
          <w:szCs w:val="72"/>
        </w:rPr>
      </w:pPr>
    </w:p>
    <w:p w14:paraId="5860F930">
      <w:pPr>
        <w:pStyle w:val="11"/>
        <w:framePr w:wrap="auto" w:vAnchor="margin" w:hAnchor="text" w:yAlign="inline"/>
        <w:jc w:val="center"/>
        <w:rPr>
          <w:sz w:val="72"/>
          <w:szCs w:val="72"/>
        </w:rPr>
      </w:pPr>
    </w:p>
    <w:p w14:paraId="1D4E521F">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2B3BE678">
      <w:pPr>
        <w:pStyle w:val="11"/>
        <w:framePr w:wrap="auto" w:vAnchor="margin" w:hAnchor="text" w:yAlign="inline"/>
        <w:jc w:val="center"/>
        <w:rPr>
          <w:rFonts w:ascii="方正小标宋_GBK" w:hAnsi="方正小标宋_GBK" w:eastAsia="方正小标宋_GBK" w:cs="方正小标宋_GBK"/>
          <w:sz w:val="70"/>
          <w:szCs w:val="70"/>
          <w:lang w:val="zh-TW" w:eastAsia="zh-TW"/>
        </w:rPr>
      </w:pPr>
    </w:p>
    <w:p w14:paraId="2810BDB6">
      <w:pPr>
        <w:pStyle w:val="11"/>
        <w:framePr w:wrap="auto" w:vAnchor="margin" w:hAnchor="text" w:yAlign="inline"/>
        <w:jc w:val="center"/>
        <w:rPr>
          <w:rFonts w:ascii="方正小标宋_GBK" w:hAnsi="方正小标宋_GBK" w:eastAsia="方正小标宋_GBK" w:cs="方正小标宋_GBK"/>
          <w:sz w:val="72"/>
          <w:szCs w:val="72"/>
          <w:lang w:val="zh-TW" w:eastAsia="zh-TW"/>
        </w:rPr>
      </w:pPr>
    </w:p>
    <w:p w14:paraId="6102E8C8">
      <w:pPr>
        <w:pStyle w:val="11"/>
        <w:framePr w:wrap="auto" w:vAnchor="margin" w:hAnchor="text" w:yAlign="inline"/>
        <w:jc w:val="center"/>
        <w:rPr>
          <w:rFonts w:ascii="方正小标宋_GBK" w:hAnsi="方正小标宋_GBK" w:eastAsia="方正小标宋_GBK" w:cs="方正小标宋_GBK"/>
          <w:sz w:val="72"/>
          <w:szCs w:val="72"/>
          <w:lang w:val="zh-TW" w:eastAsia="zh-TW"/>
        </w:rPr>
      </w:pPr>
    </w:p>
    <w:p w14:paraId="6EDCFADC">
      <w:pPr>
        <w:pStyle w:val="11"/>
        <w:framePr w:wrap="auto" w:vAnchor="margin" w:hAnchor="text" w:yAlign="inline"/>
        <w:jc w:val="center"/>
        <w:rPr>
          <w:rFonts w:ascii="方正小标宋_GBK" w:hAnsi="方正小标宋_GBK" w:eastAsia="方正小标宋_GBK" w:cs="方正小标宋_GBK"/>
          <w:sz w:val="72"/>
          <w:szCs w:val="72"/>
          <w:lang w:val="zh-TW" w:eastAsia="zh-TW"/>
        </w:rPr>
      </w:pPr>
      <w:r>
        <w:rPr>
          <w:rFonts w:ascii="方正小标宋_GBK" w:hAnsi="方正小标宋_GBK" w:eastAsia="方正小标宋_GBK" w:cs="方正小标宋_GBK"/>
          <w:sz w:val="72"/>
          <w:szCs w:val="72"/>
          <w:rtl w:val="0"/>
          <w:lang w:val="zh-TW" w:eastAsia="zh-TW"/>
        </w:rPr>
        <w:t>第四部分</w:t>
      </w:r>
    </w:p>
    <w:p w14:paraId="29C45C89">
      <w:pPr>
        <w:framePr w:wrap="auto" w:vAnchor="margin" w:hAnchor="text" w:yAlign="inline"/>
        <w:jc w:val="center"/>
        <w:rPr>
          <w:rFonts w:ascii="方正小标宋_GBK" w:hAnsi="方正小标宋_GBK" w:eastAsia="方正小标宋_GBK" w:cs="方正小标宋_GBK"/>
          <w:color w:val="000000"/>
          <w:kern w:val="0"/>
          <w:sz w:val="70"/>
          <w:szCs w:val="70"/>
          <w:u w:color="000000"/>
          <w:lang w:val="zh-TW" w:eastAsia="zh-TW"/>
        </w:rPr>
      </w:pPr>
    </w:p>
    <w:p w14:paraId="0B9D41EA">
      <w:pPr>
        <w:pStyle w:val="11"/>
        <w:framePr w:wrap="auto" w:vAnchor="margin" w:hAnchor="text" w:yAlign="inline"/>
        <w:jc w:val="center"/>
        <w:rPr>
          <w:rFonts w:ascii="方正小标宋_GBK" w:hAnsi="方正小标宋_GBK" w:eastAsia="方正小标宋_GBK" w:cs="方正小标宋_GBK"/>
          <w:sz w:val="70"/>
          <w:szCs w:val="70"/>
          <w:lang w:val="zh-TW" w:eastAsia="zh-TW"/>
        </w:rPr>
      </w:pPr>
      <w:r>
        <w:rPr>
          <w:rFonts w:ascii="方正小标宋_GBK" w:hAnsi="方正小标宋_GBK" w:eastAsia="方正小标宋_GBK" w:cs="方正小标宋_GBK"/>
          <w:color w:val="000000"/>
          <w:kern w:val="0"/>
          <w:sz w:val="70"/>
          <w:szCs w:val="70"/>
          <w:u w:color="000000"/>
          <w:rtl w:val="0"/>
          <w:lang w:val="zh-TW" w:eastAsia="zh-TW"/>
        </w:rPr>
        <w:t>名词解释</w:t>
      </w:r>
    </w:p>
    <w:p w14:paraId="3D60ABFF">
      <w:pPr>
        <w:pStyle w:val="4"/>
        <w:framePr w:wrap="auto" w:vAnchor="margin" w:hAnchor="text" w:yAlign="inline"/>
      </w:pPr>
    </w:p>
    <w:p w14:paraId="2E85F29D">
      <w:pPr>
        <w:pStyle w:val="5"/>
        <w:framePr w:wrap="auto" w:vAnchor="margin" w:hAnchor="text" w:yAlign="inline"/>
      </w:pPr>
    </w:p>
    <w:p w14:paraId="30DE8FA9">
      <w:pPr>
        <w:framePr w:wrap="auto" w:vAnchor="margin" w:hAnchor="text" w:yAlign="inline"/>
      </w:pPr>
    </w:p>
    <w:p w14:paraId="78B2DBBB">
      <w:pPr>
        <w:pStyle w:val="4"/>
        <w:framePr w:wrap="auto" w:vAnchor="margin" w:hAnchor="text" w:yAlign="inline"/>
      </w:pPr>
    </w:p>
    <w:p w14:paraId="43729665">
      <w:pPr>
        <w:pStyle w:val="5"/>
        <w:framePr w:wrap="auto" w:vAnchor="margin" w:hAnchor="text" w:yAlign="inline"/>
      </w:pPr>
    </w:p>
    <w:p w14:paraId="7D574FBB">
      <w:pPr>
        <w:framePr w:wrap="auto" w:vAnchor="margin" w:hAnchor="text" w:yAlign="inline"/>
      </w:pPr>
    </w:p>
    <w:p w14:paraId="3B16532B">
      <w:pPr>
        <w:pStyle w:val="4"/>
        <w:framePr w:wrap="auto" w:vAnchor="margin" w:hAnchor="text" w:yAlign="inline"/>
      </w:pPr>
    </w:p>
    <w:p w14:paraId="0EC8B113">
      <w:pPr>
        <w:pStyle w:val="5"/>
        <w:framePr w:wrap="auto" w:vAnchor="margin" w:hAnchor="text" w:yAlign="inline"/>
      </w:pPr>
    </w:p>
    <w:p w14:paraId="249ED65A">
      <w:pPr>
        <w:framePr w:wrap="auto" w:vAnchor="margin" w:hAnchor="text" w:yAlign="inline"/>
      </w:pPr>
    </w:p>
    <w:p w14:paraId="2347D9E0">
      <w:pPr>
        <w:pStyle w:val="4"/>
        <w:framePr w:wrap="auto" w:vAnchor="margin" w:hAnchor="text" w:yAlign="inline"/>
      </w:pPr>
    </w:p>
    <w:p w14:paraId="2DB47D23">
      <w:pPr>
        <w:pStyle w:val="5"/>
        <w:framePr w:wrap="auto" w:vAnchor="margin" w:hAnchor="text" w:yAlign="inline"/>
      </w:pPr>
    </w:p>
    <w:p w14:paraId="1C424559">
      <w:pPr>
        <w:framePr w:wrap="auto" w:vAnchor="margin" w:hAnchor="text" w:yAlign="inline"/>
      </w:pPr>
    </w:p>
    <w:p w14:paraId="3488F4F3">
      <w:pPr>
        <w:pStyle w:val="4"/>
        <w:framePr w:wrap="auto" w:vAnchor="margin" w:hAnchor="text" w:yAlign="inline"/>
      </w:pPr>
    </w:p>
    <w:p w14:paraId="378D0665">
      <w:pPr>
        <w:pStyle w:val="5"/>
        <w:framePr w:wrap="auto" w:vAnchor="margin" w:hAnchor="text" w:yAlign="inline"/>
      </w:pPr>
    </w:p>
    <w:p w14:paraId="3709B4A3">
      <w:pPr>
        <w:framePr w:wrap="auto" w:vAnchor="margin" w:hAnchor="text" w:yAlign="inline"/>
      </w:pPr>
    </w:p>
    <w:p w14:paraId="42217E80">
      <w:pPr>
        <w:pStyle w:val="4"/>
        <w:framePr w:wrap="auto" w:vAnchor="margin" w:hAnchor="text" w:yAlign="inline"/>
      </w:pPr>
    </w:p>
    <w:p w14:paraId="249AF113">
      <w:pPr>
        <w:pStyle w:val="5"/>
        <w:framePr w:wrap="auto" w:vAnchor="margin" w:hAnchor="text" w:yAlign="inline"/>
      </w:pPr>
    </w:p>
    <w:p w14:paraId="2CD1A488">
      <w:pPr>
        <w:framePr w:wrap="auto" w:vAnchor="margin" w:hAnchor="text" w:yAlign="inline"/>
      </w:pPr>
    </w:p>
    <w:p w14:paraId="03448514">
      <w:pPr>
        <w:pStyle w:val="4"/>
        <w:framePr w:wrap="auto" w:vAnchor="margin" w:hAnchor="text" w:yAlign="inline"/>
      </w:pPr>
    </w:p>
    <w:p w14:paraId="19276FA5">
      <w:pPr>
        <w:pStyle w:val="5"/>
        <w:framePr w:wrap="auto" w:vAnchor="margin" w:hAnchor="text" w:yAlign="inline"/>
      </w:pPr>
    </w:p>
    <w:p w14:paraId="06D0662F">
      <w:pPr>
        <w:framePr w:wrap="auto" w:vAnchor="margin" w:hAnchor="text" w:yAlign="inline"/>
      </w:pPr>
    </w:p>
    <w:p w14:paraId="5C33403A">
      <w:pPr>
        <w:pStyle w:val="4"/>
        <w:framePr w:wrap="auto" w:vAnchor="margin" w:hAnchor="text" w:yAlign="inline"/>
      </w:pPr>
    </w:p>
    <w:p w14:paraId="2FDB06B3">
      <w:pPr>
        <w:pStyle w:val="5"/>
        <w:framePr w:wrap="auto" w:vAnchor="margin" w:hAnchor="text" w:yAlign="inline"/>
      </w:pPr>
    </w:p>
    <w:p w14:paraId="37C0CECE">
      <w:pPr>
        <w:framePr w:wrap="auto" w:vAnchor="margin" w:hAnchor="text" w:yAlign="inline"/>
      </w:pPr>
    </w:p>
    <w:p w14:paraId="58B33AE0">
      <w:pPr>
        <w:pStyle w:val="4"/>
        <w:framePr w:wrap="auto" w:vAnchor="margin" w:hAnchor="text" w:yAlign="inline"/>
      </w:pPr>
    </w:p>
    <w:p w14:paraId="39C6A8DE">
      <w:pPr>
        <w:pStyle w:val="5"/>
        <w:framePr w:wrap="auto" w:vAnchor="margin" w:hAnchor="text" w:yAlign="inline"/>
      </w:pPr>
    </w:p>
    <w:p w14:paraId="0D6BB353">
      <w:pPr>
        <w:framePr w:wrap="auto" w:vAnchor="margin" w:hAnchor="text" w:yAlign="inline"/>
      </w:pPr>
    </w:p>
    <w:p w14:paraId="303F2BC6">
      <w:pPr>
        <w:pStyle w:val="4"/>
        <w:framePr w:wrap="auto" w:vAnchor="margin" w:hAnchor="text" w:yAlign="inline"/>
      </w:pPr>
    </w:p>
    <w:p w14:paraId="4100FA35">
      <w:pPr>
        <w:pStyle w:val="5"/>
        <w:framePr w:wrap="auto" w:vAnchor="margin" w:hAnchor="text" w:yAlign="inline"/>
      </w:pPr>
    </w:p>
    <w:p w14:paraId="71CAA916">
      <w:pPr>
        <w:framePr w:wrap="auto" w:vAnchor="margin" w:hAnchor="text" w:yAlign="inline"/>
      </w:pPr>
    </w:p>
    <w:p w14:paraId="688EBF6B">
      <w:pPr>
        <w:pStyle w:val="4"/>
        <w:framePr w:wrap="auto" w:vAnchor="margin" w:hAnchor="text" w:yAlign="inline"/>
      </w:pPr>
    </w:p>
    <w:p w14:paraId="420471BD">
      <w:pPr>
        <w:pStyle w:val="5"/>
        <w:framePr w:wrap="auto" w:vAnchor="margin" w:hAnchor="text" w:yAlign="inline"/>
      </w:pPr>
    </w:p>
    <w:p w14:paraId="291DA4ED">
      <w:pPr>
        <w:pStyle w:val="5"/>
        <w:framePr w:wrap="auto" w:vAnchor="margin" w:hAnchor="text" w:yAlign="inline"/>
      </w:pPr>
    </w:p>
    <w:p w14:paraId="0F03D4C8">
      <w:pPr>
        <w:framePr w:wrap="auto" w:vAnchor="margin" w:hAnchor="text" w:yAlign="inline"/>
      </w:pPr>
    </w:p>
    <w:p w14:paraId="36125A0E">
      <w:pPr>
        <w:pStyle w:val="4"/>
        <w:framePr w:wrap="auto" w:vAnchor="margin" w:hAnchor="text" w:yAlign="inline"/>
      </w:pPr>
    </w:p>
    <w:p w14:paraId="4E8A9E91">
      <w:pPr>
        <w:framePr w:wrap="auto" w:vAnchor="margin" w:hAnchor="text" w:yAlign="inline"/>
        <w:ind w:firstLine="640"/>
        <w:jc w:val="left"/>
        <w:rPr>
          <w:rFonts w:ascii="仿宋_GB2312" w:hAnsi="仿宋_GB2312" w:eastAsia="仿宋_GB2312" w:cs="仿宋_GB2312"/>
          <w:color w:val="000000"/>
          <w:kern w:val="0"/>
          <w:sz w:val="32"/>
          <w:szCs w:val="32"/>
          <w:u w:color="000000"/>
        </w:rPr>
      </w:pPr>
      <w:r>
        <w:rPr>
          <w:rFonts w:ascii="仿宋_GB2312" w:hAnsi="仿宋_GB2312" w:eastAsia="仿宋_GB2312" w:cs="仿宋_GB2312"/>
          <w:color w:val="000000"/>
          <w:kern w:val="0"/>
          <w:sz w:val="32"/>
          <w:szCs w:val="32"/>
          <w:u w:color="000000"/>
          <w:rtl w:val="0"/>
          <w:lang w:val="zh-TW" w:eastAsia="zh-TW"/>
        </w:rPr>
        <w:t>一、</w:t>
      </w:r>
      <w:r>
        <w:rPr>
          <w:rFonts w:ascii="仿宋_GB2312" w:hAnsi="仿宋_GB2312" w:eastAsia="仿宋_GB2312" w:cs="仿宋_GB2312"/>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三公</w:t>
      </w:r>
      <w:r>
        <w:rPr>
          <w:rFonts w:ascii="仿宋_GB2312" w:hAnsi="仿宋_GB2312" w:eastAsia="仿宋_GB2312" w:cs="仿宋_GB2312"/>
          <w:color w:val="000000"/>
          <w:kern w:val="0"/>
          <w:sz w:val="32"/>
          <w:szCs w:val="32"/>
          <w:u w:color="000000"/>
          <w:rtl w:val="0"/>
          <w:lang w:val="en-US"/>
        </w:rPr>
        <w:t>”</w:t>
      </w:r>
      <w:r>
        <w:rPr>
          <w:rFonts w:ascii="仿宋_GB2312" w:hAnsi="仿宋_GB2312" w:eastAsia="仿宋_GB2312" w:cs="仿宋_GB2312"/>
          <w:color w:val="000000"/>
          <w:kern w:val="0"/>
          <w:sz w:val="32"/>
          <w:szCs w:val="32"/>
          <w:u w:color="000000"/>
          <w:rtl w:val="0"/>
          <w:lang w:val="zh-TW" w:eastAsia="zh-TW"/>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3782364">
      <w:pPr>
        <w:framePr w:wrap="auto" w:vAnchor="margin" w:hAnchor="text" w:yAlign="inline"/>
        <w:ind w:firstLine="640"/>
        <w:jc w:val="left"/>
        <w:rPr>
          <w:rFonts w:ascii="仿宋_GB2312" w:hAnsi="仿宋_GB2312" w:eastAsia="仿宋_GB2312" w:cs="仿宋_GB2312"/>
          <w:color w:val="000000"/>
          <w:kern w:val="0"/>
          <w:sz w:val="32"/>
          <w:szCs w:val="32"/>
          <w:u w:color="000000"/>
          <w:lang w:val="zh-TW" w:eastAsia="zh-TW"/>
        </w:rPr>
      </w:pPr>
      <w:r>
        <w:rPr>
          <w:rFonts w:ascii="仿宋_GB2312" w:hAnsi="仿宋_GB2312" w:eastAsia="仿宋_GB2312" w:cs="仿宋_GB2312"/>
          <w:color w:val="000000"/>
          <w:kern w:val="0"/>
          <w:sz w:val="32"/>
          <w:szCs w:val="32"/>
          <w:u w:color="000000"/>
          <w:rtl w:val="0"/>
          <w:lang w:val="zh-TW" w:eastAsia="zh-TW"/>
        </w:rPr>
        <w:t>二、机关运行经费，指为保障行政单位（包括参照公务员法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897844A">
      <w:pPr>
        <w:framePr w:wrap="auto" w:vAnchor="margin" w:hAnchor="text" w:yAlign="inline"/>
      </w:pPr>
    </w:p>
    <w:p w14:paraId="0E5ACADA">
      <w:pPr>
        <w:pStyle w:val="4"/>
        <w:framePr w:wrap="auto" w:vAnchor="margin" w:hAnchor="text" w:yAlign="inline"/>
      </w:pPr>
    </w:p>
    <w:p w14:paraId="3CFD3790">
      <w:pPr>
        <w:pStyle w:val="5"/>
        <w:framePr w:wrap="auto" w:vAnchor="margin" w:hAnchor="text" w:yAlign="inline"/>
      </w:pPr>
    </w:p>
    <w:p w14:paraId="59BC1274">
      <w:pPr>
        <w:framePr w:wrap="auto" w:vAnchor="margin" w:hAnchor="text" w:yAlign="inline"/>
      </w:pPr>
    </w:p>
    <w:p w14:paraId="0A930F32">
      <w:pPr>
        <w:pStyle w:val="4"/>
        <w:framePr w:wrap="auto" w:vAnchor="margin" w:hAnchor="text" w:yAlign="inline"/>
      </w:pPr>
    </w:p>
    <w:p w14:paraId="61A6970F">
      <w:pPr>
        <w:pStyle w:val="5"/>
        <w:framePr w:wrap="auto" w:vAnchor="margin" w:hAnchor="text" w:yAlign="inline"/>
      </w:pPr>
    </w:p>
    <w:p w14:paraId="6380FFFC">
      <w:pPr>
        <w:framePr w:wrap="auto" w:vAnchor="margin" w:hAnchor="text" w:yAlign="inline"/>
      </w:pPr>
    </w:p>
    <w:p w14:paraId="5736DC10">
      <w:pPr>
        <w:pStyle w:val="4"/>
        <w:framePr w:wrap="auto" w:vAnchor="margin" w:hAnchor="text" w:yAlign="inline"/>
      </w:pPr>
    </w:p>
    <w:p w14:paraId="34E8F493">
      <w:pPr>
        <w:pStyle w:val="5"/>
        <w:framePr w:wrap="auto" w:vAnchor="margin" w:hAnchor="text" w:yAlign="inline"/>
      </w:pPr>
    </w:p>
    <w:p w14:paraId="030A9A02">
      <w:pPr>
        <w:framePr w:wrap="auto" w:vAnchor="margin" w:hAnchor="text" w:yAlign="inline"/>
      </w:pPr>
    </w:p>
    <w:p w14:paraId="2DF7611E">
      <w:pPr>
        <w:pStyle w:val="4"/>
        <w:framePr w:wrap="auto" w:vAnchor="margin" w:hAnchor="text" w:yAlign="inline"/>
      </w:pPr>
    </w:p>
    <w:p w14:paraId="4EA4771A">
      <w:pPr>
        <w:pStyle w:val="5"/>
        <w:framePr w:wrap="auto" w:vAnchor="margin" w:hAnchor="text" w:yAlign="inline"/>
      </w:pPr>
    </w:p>
    <w:p w14:paraId="6FFD773A">
      <w:pPr>
        <w:framePr w:wrap="auto" w:vAnchor="margin" w:hAnchor="text" w:yAlign="inline"/>
      </w:pPr>
    </w:p>
    <w:p w14:paraId="30BA744A">
      <w:pPr>
        <w:pStyle w:val="4"/>
        <w:framePr w:wrap="auto" w:vAnchor="margin" w:hAnchor="text" w:yAlign="inline"/>
      </w:pPr>
    </w:p>
    <w:p w14:paraId="7EE6BDB5">
      <w:pPr>
        <w:pStyle w:val="5"/>
        <w:framePr w:wrap="auto" w:vAnchor="margin" w:hAnchor="text" w:yAlign="inline"/>
      </w:pPr>
    </w:p>
    <w:p w14:paraId="25CBACD6">
      <w:pPr>
        <w:pStyle w:val="11"/>
        <w:framePr w:wrap="auto" w:vAnchor="margin" w:hAnchor="text" w:yAlign="inline"/>
        <w:jc w:val="center"/>
        <w:rPr>
          <w:rFonts w:ascii="方正小标宋_GBK" w:hAnsi="方正小标宋_GBK" w:eastAsia="方正小标宋_GBK" w:cs="方正小标宋_GBK"/>
          <w:sz w:val="70"/>
          <w:szCs w:val="70"/>
          <w:lang w:val="zh-TW" w:eastAsia="zh-TW"/>
        </w:rPr>
      </w:pPr>
      <w:r>
        <w:rPr>
          <w:rFonts w:ascii="方正小标宋_GBK" w:hAnsi="方正小标宋_GBK" w:eastAsia="方正小标宋_GBK" w:cs="方正小标宋_GBK"/>
          <w:sz w:val="72"/>
          <w:szCs w:val="72"/>
          <w:rtl w:val="0"/>
          <w:lang w:val="zh-TW" w:eastAsia="zh-TW"/>
        </w:rPr>
        <w:t>第五部分</w:t>
      </w:r>
    </w:p>
    <w:p w14:paraId="3EAB57AB">
      <w:pPr>
        <w:pStyle w:val="11"/>
        <w:framePr w:wrap="auto" w:vAnchor="margin" w:hAnchor="text" w:yAlign="inline"/>
        <w:rPr>
          <w:rFonts w:ascii="方正小标宋_GBK" w:hAnsi="方正小标宋_GBK" w:eastAsia="方正小标宋_GBK" w:cs="方正小标宋_GBK"/>
          <w:sz w:val="70"/>
          <w:szCs w:val="70"/>
          <w:lang w:val="zh-TW" w:eastAsia="zh-TW"/>
        </w:rPr>
      </w:pPr>
    </w:p>
    <w:p w14:paraId="22D5296C">
      <w:pPr>
        <w:pStyle w:val="11"/>
        <w:framePr w:wrap="auto" w:vAnchor="margin" w:hAnchor="text" w:yAlign="inline"/>
        <w:jc w:val="center"/>
        <w:rPr>
          <w:rFonts w:ascii="方正小标宋_GBK" w:hAnsi="方正小标宋_GBK" w:eastAsia="方正小标宋_GBK" w:cs="方正小标宋_GBK"/>
          <w:sz w:val="70"/>
          <w:szCs w:val="70"/>
        </w:rPr>
      </w:pPr>
      <w:r>
        <w:rPr>
          <w:rFonts w:ascii="方正小标宋_GBK" w:hAnsi="方正小标宋_GBK" w:eastAsia="方正小标宋_GBK" w:cs="方正小标宋_GBK"/>
          <w:sz w:val="70"/>
          <w:szCs w:val="70"/>
          <w:rtl w:val="0"/>
          <w:lang w:val="zh-TW" w:eastAsia="zh-TW"/>
        </w:rPr>
        <w:t>附</w:t>
      </w:r>
      <w:r>
        <w:rPr>
          <w:rFonts w:ascii="方正小标宋_GBK" w:hAnsi="方正小标宋_GBK" w:eastAsia="方正小标宋_GBK" w:cs="方正小标宋_GBK"/>
          <w:sz w:val="70"/>
          <w:szCs w:val="70"/>
          <w:rtl w:val="0"/>
          <w:lang w:val="en-US"/>
        </w:rPr>
        <w:t xml:space="preserve"> </w:t>
      </w:r>
      <w:r>
        <w:rPr>
          <w:rFonts w:ascii="方正小标宋_GBK" w:hAnsi="方正小标宋_GBK" w:eastAsia="方正小标宋_GBK" w:cs="方正小标宋_GBK"/>
          <w:sz w:val="70"/>
          <w:szCs w:val="70"/>
          <w:rtl w:val="0"/>
          <w:lang w:val="zh-TW" w:eastAsia="zh-TW"/>
        </w:rPr>
        <w:t>件</w:t>
      </w:r>
    </w:p>
    <w:p w14:paraId="762C899C">
      <w:pPr>
        <w:framePr w:wrap="auto" w:vAnchor="margin" w:hAnchor="text" w:yAlign="inline"/>
        <w:ind w:firstLine="640"/>
        <w:jc w:val="left"/>
        <w:rPr>
          <w:rFonts w:ascii="宋体" w:hAnsi="宋体" w:eastAsia="宋体" w:cs="宋体"/>
          <w:b/>
          <w:bCs/>
          <w:color w:val="000000"/>
          <w:kern w:val="0"/>
          <w:sz w:val="32"/>
          <w:szCs w:val="32"/>
          <w:u w:color="000000"/>
          <w:lang w:val="zh-TW" w:eastAsia="zh-TW"/>
        </w:rPr>
      </w:pPr>
    </w:p>
    <w:p w14:paraId="06085194">
      <w:pPr>
        <w:framePr w:wrap="auto" w:vAnchor="margin" w:hAnchor="text" w:yAlign="inline"/>
        <w:ind w:firstLine="640"/>
        <w:jc w:val="left"/>
        <w:rPr>
          <w:rFonts w:ascii="宋体" w:hAnsi="宋体" w:eastAsia="宋体" w:cs="宋体"/>
          <w:b/>
          <w:bCs/>
          <w:color w:val="000000"/>
          <w:kern w:val="0"/>
          <w:sz w:val="32"/>
          <w:szCs w:val="32"/>
          <w:u w:color="000000"/>
        </w:rPr>
      </w:pPr>
      <w:r>
        <w:rPr>
          <w:rFonts w:ascii="宋体" w:hAnsi="宋体" w:eastAsia="宋体" w:cs="宋体"/>
          <w:b/>
          <w:bCs/>
          <w:color w:val="000000"/>
          <w:kern w:val="0"/>
          <w:sz w:val="32"/>
          <w:szCs w:val="32"/>
          <w:u w:color="000000"/>
          <w:rtl w:val="0"/>
          <w:lang w:val="en-US"/>
        </w:rPr>
        <w:t>1</w:t>
      </w:r>
      <w:r>
        <w:rPr>
          <w:rFonts w:ascii="宋体" w:hAnsi="宋体" w:eastAsia="宋体" w:cs="宋体"/>
          <w:b/>
          <w:bCs/>
          <w:color w:val="000000"/>
          <w:kern w:val="0"/>
          <w:sz w:val="32"/>
          <w:szCs w:val="32"/>
          <w:u w:color="000000"/>
          <w:rtl w:val="0"/>
          <w:lang w:val="zh-TW" w:eastAsia="zh-TW"/>
        </w:rPr>
        <w:t>、</w:t>
      </w:r>
      <w:r>
        <w:rPr>
          <w:rFonts w:ascii="宋体" w:hAnsi="宋体" w:eastAsia="宋体" w:cs="宋体"/>
          <w:b/>
          <w:bCs/>
          <w:color w:val="000000"/>
          <w:kern w:val="0"/>
          <w:sz w:val="32"/>
          <w:szCs w:val="32"/>
          <w:u w:color="000000"/>
          <w:rtl w:val="0"/>
          <w:lang w:val="en-US"/>
        </w:rPr>
        <w:t>2023</w:t>
      </w:r>
      <w:r>
        <w:rPr>
          <w:rFonts w:ascii="宋体" w:hAnsi="宋体" w:eastAsia="宋体" w:cs="宋体"/>
          <w:b/>
          <w:bCs/>
          <w:color w:val="000000"/>
          <w:kern w:val="0"/>
          <w:sz w:val="32"/>
          <w:szCs w:val="32"/>
          <w:u w:color="000000"/>
          <w:rtl w:val="0"/>
          <w:lang w:val="zh-TW" w:eastAsia="zh-TW"/>
        </w:rPr>
        <w:t>年部门决算公开表格</w:t>
      </w:r>
    </w:p>
    <w:p w14:paraId="5C19C34F">
      <w:pPr>
        <w:framePr w:wrap="auto" w:vAnchor="margin" w:hAnchor="text" w:yAlign="inline"/>
        <w:ind w:firstLine="640"/>
        <w:jc w:val="left"/>
      </w:pPr>
      <w:r>
        <w:rPr>
          <w:rFonts w:ascii="宋体" w:hAnsi="宋体" w:eastAsia="宋体" w:cs="宋体"/>
          <w:b/>
          <w:bCs/>
          <w:color w:val="000000"/>
          <w:kern w:val="0"/>
          <w:sz w:val="32"/>
          <w:szCs w:val="32"/>
          <w:u w:color="000000"/>
          <w:rtl w:val="0"/>
          <w:lang w:val="en-US"/>
        </w:rPr>
        <w:t>2</w:t>
      </w:r>
      <w:r>
        <w:rPr>
          <w:rFonts w:ascii="宋体" w:hAnsi="宋体" w:eastAsia="宋体" w:cs="宋体"/>
          <w:b/>
          <w:bCs/>
          <w:color w:val="000000"/>
          <w:kern w:val="0"/>
          <w:sz w:val="32"/>
          <w:szCs w:val="32"/>
          <w:u w:color="000000"/>
          <w:rtl w:val="0"/>
          <w:lang w:val="zh-TW" w:eastAsia="zh-TW"/>
        </w:rPr>
        <w:t>、</w:t>
      </w:r>
      <w:r>
        <w:rPr>
          <w:rFonts w:ascii="宋体" w:hAnsi="宋体" w:eastAsia="宋体" w:cs="宋体"/>
          <w:b/>
          <w:bCs/>
          <w:color w:val="000000"/>
          <w:kern w:val="0"/>
          <w:sz w:val="32"/>
          <w:szCs w:val="32"/>
          <w:u w:color="000000"/>
          <w:rtl w:val="0"/>
          <w:lang w:val="en-US"/>
        </w:rPr>
        <w:t>2023</w:t>
      </w:r>
      <w:r>
        <w:rPr>
          <w:rFonts w:ascii="宋体" w:hAnsi="宋体" w:eastAsia="宋体" w:cs="宋体"/>
          <w:b/>
          <w:bCs/>
          <w:color w:val="000000"/>
          <w:kern w:val="0"/>
          <w:sz w:val="32"/>
          <w:szCs w:val="32"/>
          <w:u w:color="000000"/>
          <w:rtl w:val="0"/>
          <w:lang w:val="zh-TW" w:eastAsia="zh-TW"/>
        </w:rPr>
        <w:t>年度部门整体支出绩效评价报告</w:t>
      </w:r>
    </w:p>
    <w:sectPr>
      <w:headerReference r:id="rId5" w:type="default"/>
      <w:footerReference r:id="rId6" w:type="default"/>
      <w:pgSz w:w="11900" w:h="16840"/>
      <w:pgMar w:top="720" w:right="720" w:bottom="720" w:left="72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_GBK">
    <w:altName w:val="微软雅黑"/>
    <w:panose1 w:val="02000000000000000000"/>
    <w:charset w:val="86"/>
    <w:family w:val="roman"/>
    <w:pitch w:val="default"/>
    <w:sig w:usb0="00000000" w:usb1="00000000" w:usb2="00082016" w:usb3="00000000" w:csb0="00040001"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59433">
    <w:pPr>
      <w:pStyle w:val="10"/>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A3CB">
    <w:pPr>
      <w:pStyle w:val="10"/>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bullet"/>
      <w:lvlText w:val="一、"/>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bullet"/>
      <w:lvlText w:val="一、"/>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bullet"/>
      <w:lvlText w:val="一、"/>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bullet"/>
      <w:lvlText w:val="一、"/>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bullet"/>
      <w:lvlText w:val="一、"/>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bullet"/>
      <w:lvlText w:val="一、"/>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bullet"/>
      <w:lvlText w:val="一、"/>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bullet"/>
      <w:lvlText w:val="一、"/>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bullet"/>
      <w:lvlText w:val="一、"/>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
  <w:docVars>
    <w:docVar w:name="commondata" w:val="eyJoZGlkIjoiYjUzMmE1NWMzMDhjNzY2M2ZiYTBkMGEyMDZmZjExMGYifQ=="/>
  </w:docVars>
  <w:rsids>
    <w:rsidRoot w:val="00000000"/>
    <w:rsid w:val="01A00C4B"/>
    <w:rsid w:val="071206ED"/>
    <w:rsid w:val="07E31891"/>
    <w:rsid w:val="099A5DD9"/>
    <w:rsid w:val="09E36E2D"/>
    <w:rsid w:val="10F92E7E"/>
    <w:rsid w:val="11D64649"/>
    <w:rsid w:val="12C52BC1"/>
    <w:rsid w:val="1C914686"/>
    <w:rsid w:val="235F7017"/>
    <w:rsid w:val="29D12335"/>
    <w:rsid w:val="2E8753AB"/>
    <w:rsid w:val="32AB65BD"/>
    <w:rsid w:val="35E34606"/>
    <w:rsid w:val="46413407"/>
    <w:rsid w:val="59A427AB"/>
    <w:rsid w:val="66A332F3"/>
    <w:rsid w:val="6F0075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8"/>
      <w:szCs w:val="24"/>
      <w:lang w:val="en-US" w:eastAsia="zh-CN" w:bidi="ar-SA"/>
    </w:rPr>
  </w:style>
  <w:style w:type="paragraph" w:styleId="3">
    <w:name w:val="toc 5"/>
    <w:basedOn w:val="1"/>
    <w:next w:val="1"/>
    <w:qFormat/>
    <w:uiPriority w:val="0"/>
    <w:pPr>
      <w:ind w:left="1680" w:leftChars="800"/>
    </w:pPr>
  </w:style>
  <w:style w:type="paragraph" w:styleId="4">
    <w:name w:val="footnote text"/>
    <w:next w:val="5"/>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styleId="5">
    <w:name w:val="Body Text First Indent 2"/>
    <w:next w:val="1"/>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left"/>
      <w:outlineLvl w:val="9"/>
    </w:pPr>
    <w:rPr>
      <w:rFonts w:ascii="宋体" w:hAnsi="宋体" w:eastAsia="宋体" w:cs="宋体"/>
      <w:color w:val="000000"/>
      <w:spacing w:val="0"/>
      <w:w w:val="100"/>
      <w:kern w:val="0"/>
      <w:position w:val="0"/>
      <w:sz w:val="24"/>
      <w:szCs w:val="24"/>
      <w:u w:val="none" w:color="000000"/>
      <w:vertAlign w:val="baseline"/>
      <w:lang w:val="en-US"/>
    </w:rPr>
  </w:style>
  <w:style w:type="character" w:styleId="8">
    <w:name w:val="Hyperlink"/>
    <w:uiPriority w:val="0"/>
    <w:rPr>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 w:type="paragraph" w:customStyle="1" w:styleId="11">
    <w:name w:val="Defaul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黑体" w:hAnsi="黑体" w:eastAsia="黑体" w:cs="黑体"/>
      <w:color w:val="000000"/>
      <w:spacing w:val="0"/>
      <w:w w:val="100"/>
      <w:kern w:val="0"/>
      <w:position w:val="0"/>
      <w:sz w:val="24"/>
      <w:szCs w:val="24"/>
      <w:u w:val="none" w:color="000000"/>
      <w:vertAlign w:val="baseline"/>
      <w:lang w:val="en-US"/>
    </w:rPr>
  </w:style>
  <w:style w:type="paragraph" w:styleId="12">
    <w:name w:val="List Paragraph"/>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13">
    <w:name w:val="正文 A"/>
    <w:next w:val="14"/>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14">
    <w:name w:val="正文文本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8"/>
      <w:szCs w:val="28"/>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17</Pages>
  <Words>6104</Words>
  <Characters>6635</Characters>
  <TotalTime>1</TotalTime>
  <ScaleCrop>false</ScaleCrop>
  <LinksUpToDate>false</LinksUpToDate>
  <CharactersWithSpaces>6667</CharactersWithSpaces>
  <Application>WPS Office_12.1.0.22089_F1E327BC-269C-435d-A152-05C5408002CA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2024-09-26T22:58:00Z</dcterms:created>
  <dc:creator>Guest</dc:creator>
  <cp:lastModifiedBy>用友岳阳新启航沈毅</cp:lastModifiedBy>
  <dcterms:modified xsi:type="dcterms:W3CDTF">2025-08-26T13:40:23Z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B0482E8DDF4C40F4A95DCE89404C0444_13</vt:lpwstr>
  </property>
  <property fmtid="{D5CDD505-2E9C-101B-9397-08002B2CF9AE}" pid="4" name="KSOTemplateDocerSaveRecord">
    <vt:lpwstr>eyJoZGlkIjoiYmMwMmJlYzJhMzIwMmQ1NjY3N2FiZmZhNTZiNzgxM2YiLCJ1c2VySWQiOiI1OTk0MTI0OTEifQ==</vt:lpwstr>
  </property>
</Properties>
</file>