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DEF876">
      <w:pPr>
        <w:spacing w:beforeLines="0" w:afterLines="0"/>
        <w:rPr>
          <w:rFonts w:hint="default" w:eastAsia="宋体"/>
          <w:sz w:val="2"/>
          <w:szCs w:val="24"/>
          <w:lang w:val="en-US" w:eastAsia="zh-CN"/>
        </w:rPr>
      </w:pPr>
      <w:r>
        <w:rPr>
          <w:rFonts w:hint="eastAsia"/>
          <w:sz w:val="2"/>
          <w:szCs w:val="24"/>
          <w:lang w:val="en-US" w:eastAsia="zh-CN"/>
        </w:rPr>
        <w:t xml:space="preserve">  </w:t>
      </w:r>
      <w:bookmarkStart w:id="0" w:name="_GoBack"/>
      <w:bookmarkEnd w:id="0"/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 w14:paraId="7F182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0D15EB">
            <w:pPr>
              <w:spacing w:beforeLines="0" w:afterLines="0" w:line="1110" w:lineRule="exact"/>
              <w:ind w:left="20"/>
              <w:jc w:val="center"/>
              <w:rPr>
                <w:rFonts w:hint="default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岳阳市康复医院2024年度</w:t>
            </w:r>
          </w:p>
          <w:p w14:paraId="6112DE56">
            <w:pPr>
              <w:spacing w:beforeLines="0" w:afterLines="0" w:line="1110" w:lineRule="exact"/>
              <w:ind w:left="20"/>
              <w:jc w:val="center"/>
              <w:rPr>
                <w:rFonts w:hint="default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 w14:paraId="5FFBB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3752189">
            <w:pPr>
              <w:spacing w:beforeLines="0" w:afterLines="0" w:line="525" w:lineRule="exact"/>
              <w:ind w:left="20"/>
              <w:jc w:val="center"/>
              <w:rPr>
                <w:rFonts w:hint="default" w:ascii="Dialog"/>
                <w:sz w:val="44"/>
                <w:szCs w:val="24"/>
              </w:rPr>
            </w:pPr>
            <w:r>
              <w:rPr>
                <w:rFonts w:hint="eastAsia" w:ascii="Dialog" w:hAnsi="Dialog" w:cs="Dialog"/>
                <w:sz w:val="44"/>
                <w:szCs w:val="24"/>
              </w:rPr>
              <w:t>目录</w:t>
            </w:r>
          </w:p>
        </w:tc>
      </w:tr>
      <w:tr w14:paraId="0AEB1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E78E565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65091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41D9C9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第一部分  2024年单位预算说明</w:t>
            </w:r>
          </w:p>
        </w:tc>
      </w:tr>
      <w:tr w14:paraId="6A9A2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2D9F3B1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第二部分  2024年单位预算公开表格</w:t>
            </w:r>
          </w:p>
        </w:tc>
      </w:tr>
      <w:tr w14:paraId="3B97C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62F313C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1、收支总表</w:t>
            </w:r>
          </w:p>
        </w:tc>
      </w:tr>
      <w:tr w14:paraId="09115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7A7102D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2、收入总表</w:t>
            </w:r>
          </w:p>
        </w:tc>
      </w:tr>
      <w:tr w14:paraId="32944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B9BE50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3、支出总表</w:t>
            </w:r>
          </w:p>
        </w:tc>
      </w:tr>
      <w:tr w14:paraId="581EC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4C71890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4、支出预算分类汇总表（按政府预算经济分类）</w:t>
            </w:r>
          </w:p>
        </w:tc>
      </w:tr>
      <w:tr w14:paraId="3A273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82C807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5、支出预算分类汇总表（按部门预算经济分类）</w:t>
            </w:r>
          </w:p>
        </w:tc>
      </w:tr>
      <w:tr w14:paraId="2EE06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FAD366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6、财政拨款收支总表</w:t>
            </w:r>
          </w:p>
        </w:tc>
      </w:tr>
      <w:tr w14:paraId="7491F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036000D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7、一般公共预算支出表</w:t>
            </w:r>
          </w:p>
        </w:tc>
      </w:tr>
      <w:tr w14:paraId="264A8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32C242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8、一般公共预算基本支出表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人员经费（工资福利支出）（按政府预算经济分类）</w:t>
            </w:r>
          </w:p>
        </w:tc>
      </w:tr>
      <w:tr w14:paraId="6FC74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BB3214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9、一般公共预算基本支出表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人员经费（工资福利支出）（按部门预算经济分类）</w:t>
            </w:r>
          </w:p>
        </w:tc>
      </w:tr>
      <w:tr w14:paraId="15F86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4816DD9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10、一般公共预算基本支出表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人员经费（对个人和家庭的补助）（按政府预算经济分类）</w:t>
            </w:r>
          </w:p>
        </w:tc>
      </w:tr>
      <w:tr w14:paraId="2B0FE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84AE4C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11、一般公共预算基本支出表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人员经费（对个人和家庭的补助）（按部门预算经济分类）</w:t>
            </w:r>
          </w:p>
        </w:tc>
      </w:tr>
      <w:tr w14:paraId="11CBD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F9C2A29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12、一般公共预算基本支出表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公用经费（商品和服务支出）（按政府预算经济分类）</w:t>
            </w:r>
          </w:p>
        </w:tc>
      </w:tr>
      <w:tr w14:paraId="2A471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6EB41C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13、一般公共预算基本支出表</w:t>
            </w:r>
            <w:r>
              <w:rPr>
                <w:rFonts w:hint="default" w:ascii="Dialog"/>
                <w:sz w:val="32"/>
                <w:szCs w:val="24"/>
              </w:rPr>
              <w:t>-</w:t>
            </w:r>
            <w:r>
              <w:rPr>
                <w:rFonts w:hint="eastAsia" w:ascii="Dialog" w:hAnsi="Dialog" w:cs="Dialog"/>
                <w:sz w:val="32"/>
                <w:szCs w:val="24"/>
              </w:rPr>
              <w:t>公用经费（商品和服务支出）（按部门预算经济分类）</w:t>
            </w:r>
          </w:p>
        </w:tc>
      </w:tr>
      <w:tr w14:paraId="75CE6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1C5F05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14、一般公共预算“三公”经费支出表</w:t>
            </w:r>
          </w:p>
        </w:tc>
      </w:tr>
      <w:tr w14:paraId="01E0D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0C78E6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15、政府性基金预算支出表</w:t>
            </w:r>
          </w:p>
        </w:tc>
      </w:tr>
      <w:tr w14:paraId="13659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7E7C3DE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 w14:paraId="19DDF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243641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 w14:paraId="2D1D8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29C31F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18、国有资本经营预算支出表</w:t>
            </w:r>
          </w:p>
        </w:tc>
      </w:tr>
      <w:tr w14:paraId="1FD4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2DDC170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19、财政专户管理资金预算支出表</w:t>
            </w:r>
          </w:p>
        </w:tc>
      </w:tr>
      <w:tr w14:paraId="1725F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8B96DF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20、专项资金预算汇总表</w:t>
            </w:r>
          </w:p>
        </w:tc>
      </w:tr>
      <w:tr w14:paraId="5557A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A534EC8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21、项目支出绩效目标表</w:t>
            </w:r>
          </w:p>
        </w:tc>
      </w:tr>
      <w:tr w14:paraId="11031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F26EA3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22、单位整体支出绩效目标表</w:t>
            </w:r>
          </w:p>
        </w:tc>
      </w:tr>
      <w:tr w14:paraId="74988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4520725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23、一般公共预算基本支出表</w:t>
            </w:r>
          </w:p>
        </w:tc>
      </w:tr>
      <w:tr w14:paraId="44DF1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AB672A">
            <w:pPr>
              <w:spacing w:beforeLines="0" w:afterLines="0" w:line="375" w:lineRule="exact"/>
              <w:ind w:left="20"/>
              <w:rPr>
                <w:rFonts w:hint="default" w:asci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 w:cs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 w14:paraId="5B0A4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EC1AD6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01D5A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5FF246D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4A2B1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77924F">
            <w:pPr>
              <w:spacing w:beforeLines="0" w:afterLines="0" w:line="375" w:lineRule="exact"/>
              <w:ind w:left="20"/>
              <w:jc w:val="center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第一部分  2024年单位预算说明</w:t>
            </w:r>
          </w:p>
        </w:tc>
      </w:tr>
      <w:tr w14:paraId="5ADB6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F9F26A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53AB8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3CFB8A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一、单位基本概况</w:t>
            </w:r>
          </w:p>
        </w:tc>
      </w:tr>
      <w:tr w14:paraId="00C22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D0AC51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（一）职能职责</w:t>
            </w:r>
          </w:p>
        </w:tc>
      </w:tr>
      <w:tr w14:paraId="57237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96591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医院成立于 1984 年，原名“岳阳地区精神病医院”，1988 年更名为“岳阳市康复医院”， 2004 年后相继加挂“岳阳市社会福利医院”、“岳阳市复退军人精神病医院”、“岳阳市复退军人慢性病疗养院”﹑“岳阳市优抚医院”、“岳阳市精神卫生中心”等牌子。医院承担着全市的精神疾病预防与诊疗，心理咨询与治疗、心理测量，优抚对象医疗巡诊、短期疗养、健康体检、伤残鉴定，精神病人司法、劳动、残疾、工伤鉴定，老年人医疗呵护，吸毒病人美沙酮维持治疗，流浪精神病人救治，肇事肇祸精神病人强制医疗等社会职能。 医院系副处级全额拨款事业单位，行政上隶属市民政局管理，业务上接受市卫健委和市退役军人事务局的指导与监督，是岳阳市重要民生服务窗口单位。</w:t>
            </w:r>
          </w:p>
        </w:tc>
      </w:tr>
      <w:tr w14:paraId="18559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767C2E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（二）机构设置</w:t>
            </w:r>
          </w:p>
        </w:tc>
      </w:tr>
      <w:tr w14:paraId="072E5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1411E5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设党政管理内设机构14个：办公室、人事科、财务科、医务科、护理部、后勤科、医保科、药剂科、信息科、院感科、科教科、质控科、设备科、安保科。本单位领导职数为：党委书记（副处职）1名、院长（副处职）1名，副院长（正科职）4名，副科职领导职数16名（含党委办主任、退休人员管理服务科科长各1名）。</w:t>
            </w:r>
          </w:p>
        </w:tc>
      </w:tr>
      <w:tr w14:paraId="237B0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F2E871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二、单位预算单位构成</w:t>
            </w:r>
          </w:p>
        </w:tc>
      </w:tr>
      <w:tr w14:paraId="63BEF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582430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本单位预算仅含本级预算。</w:t>
            </w:r>
          </w:p>
        </w:tc>
      </w:tr>
      <w:tr w14:paraId="43CD6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4AD0A1D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三、单位收支总体情况</w:t>
            </w:r>
          </w:p>
        </w:tc>
      </w:tr>
      <w:tr w14:paraId="166B6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7E660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 w14:paraId="29880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F10FFA7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（一）收入预算</w:t>
            </w:r>
          </w:p>
        </w:tc>
      </w:tr>
      <w:tr w14:paraId="22FF8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46924D7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包括一般公共预算、政府性基金、国有资本经营预算等财政拨款收入，以及经营收入、事业收入等单位资金。2024年度年本单位收入预算1813.23万元，其中，一般公共预算拨款1813.23万元，政府性基金预算资金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万元(所以公开的附件17为空)，国有资本经营预算资金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万元(所以公开的附件18为空)，财政专户管理资金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万元(所以公开的附件19为空)，上级补助收入资金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万元，事业单位经营收入资金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万元，上年结转结余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万元。(数据来源见表2)本单位2024年收入较去年增加145.47万元，主要是因为2024年本单位增加了特定目标类项目资金，该资金是</w:t>
            </w:r>
            <w:r>
              <w:rPr>
                <w:rFonts w:hint="eastAsia" w:ascii="宋体"/>
                <w:sz w:val="32"/>
                <w:szCs w:val="24"/>
              </w:rPr>
              <w:t>“</w:t>
            </w:r>
            <w:r>
              <w:rPr>
                <w:rFonts w:hint="eastAsia" w:ascii="宋体" w:hAnsi="宋体" w:cs="宋体"/>
                <w:sz w:val="32"/>
                <w:szCs w:val="24"/>
              </w:rPr>
              <w:t>三级医院</w:t>
            </w:r>
            <w:r>
              <w:rPr>
                <w:rFonts w:hint="eastAsia" w:ascii="宋体"/>
                <w:sz w:val="32"/>
                <w:szCs w:val="24"/>
              </w:rPr>
              <w:t>”</w:t>
            </w:r>
            <w:r>
              <w:rPr>
                <w:rFonts w:hint="eastAsia" w:ascii="宋体" w:hAnsi="宋体" w:cs="宋体"/>
                <w:sz w:val="32"/>
                <w:szCs w:val="24"/>
              </w:rPr>
              <w:t>创建专项项目经费。</w:t>
            </w:r>
          </w:p>
        </w:tc>
      </w:tr>
      <w:tr w14:paraId="58EC4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F17E94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（二）支出预算</w:t>
            </w:r>
          </w:p>
        </w:tc>
      </w:tr>
      <w:tr w14:paraId="01AB9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90C81A6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2024年本单位支出预算1813.23万元，其中，208社会保障和就业支出1617.43万元，210卫生健康支出62.87万元，221住房保障支出132.93万元，支出较去年增加145.47万元，主要是因为2024年本单位增加了特定目标类项目资金支出，该资金是</w:t>
            </w:r>
            <w:r>
              <w:rPr>
                <w:rFonts w:hint="eastAsia" w:ascii="宋体"/>
                <w:sz w:val="32"/>
                <w:szCs w:val="24"/>
              </w:rPr>
              <w:t>“</w:t>
            </w:r>
            <w:r>
              <w:rPr>
                <w:rFonts w:hint="eastAsia" w:ascii="宋体" w:hAnsi="宋体" w:cs="宋体"/>
                <w:sz w:val="32"/>
                <w:szCs w:val="24"/>
              </w:rPr>
              <w:t>三级医院</w:t>
            </w:r>
            <w:r>
              <w:rPr>
                <w:rFonts w:hint="eastAsia" w:ascii="宋体"/>
                <w:sz w:val="32"/>
                <w:szCs w:val="24"/>
              </w:rPr>
              <w:t>”</w:t>
            </w:r>
            <w:r>
              <w:rPr>
                <w:rFonts w:hint="eastAsia" w:ascii="宋体" w:hAnsi="宋体" w:cs="宋体"/>
                <w:sz w:val="32"/>
                <w:szCs w:val="24"/>
              </w:rPr>
              <w:t>创建专项项目经费。</w:t>
            </w:r>
          </w:p>
        </w:tc>
      </w:tr>
      <w:tr w14:paraId="4B009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F30FD96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四、一般公共预算拨款支出预算</w:t>
            </w:r>
          </w:p>
        </w:tc>
      </w:tr>
      <w:tr w14:paraId="5865F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20A670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2024年一般公共预算拨款支出预算1813.23万元，其中，208社会保障和就业支出1617.43万元，占89.2%；210卫生健康支出62.87万元，占3.47%；221住房保障支出132.93万元，占7.33%；具体安排情况如下：</w:t>
            </w:r>
          </w:p>
        </w:tc>
      </w:tr>
      <w:tr w14:paraId="1DEF7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7BB4A8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（一）基本支出：2024年基本支出年初预算数为1175.58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14:paraId="2B2A1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48747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（二）项目支出：2024年项目支出年初预算数为637.65万元（数据来源见表20），是指单位为完成特定行政工作任务或事业发展目标而发生的支出，包括有关业务工作经费、运行维护经费、其他事业发展资金等。其中：公用经费（定额）专项支出77.65万元，主要用于专用材料费、电费方面</w:t>
            </w:r>
            <w:r>
              <w:rPr>
                <w:rFonts w:hint="default" w:ascii="宋体"/>
                <w:sz w:val="32"/>
                <w:szCs w:val="24"/>
              </w:rPr>
              <w:t>,</w:t>
            </w:r>
            <w:r>
              <w:rPr>
                <w:rFonts w:hint="eastAsia" w:ascii="宋体" w:hAnsi="宋体" w:cs="宋体"/>
                <w:sz w:val="32"/>
                <w:szCs w:val="24"/>
              </w:rPr>
              <w:t>临时贫困救助专项支出350.00万元，主要用于“三无”病人、贫困病人的医疗、生活等救助方面</w:t>
            </w:r>
            <w:r>
              <w:rPr>
                <w:rFonts w:hint="default" w:ascii="宋体"/>
                <w:sz w:val="32"/>
                <w:szCs w:val="24"/>
              </w:rPr>
              <w:t>,</w:t>
            </w:r>
            <w:r>
              <w:rPr>
                <w:rFonts w:hint="eastAsia" w:ascii="宋体" w:hAnsi="宋体" w:cs="宋体"/>
                <w:sz w:val="32"/>
                <w:szCs w:val="24"/>
              </w:rPr>
              <w:t>流浪精神病人住院补助专项支出10.00万元，主要用于流浪精神病人的医疗、生活方面</w:t>
            </w:r>
            <w:r>
              <w:rPr>
                <w:rFonts w:hint="default" w:ascii="宋体"/>
                <w:sz w:val="32"/>
                <w:szCs w:val="24"/>
              </w:rPr>
              <w:t>,</w:t>
            </w:r>
            <w:r>
              <w:rPr>
                <w:rFonts w:hint="eastAsia" w:ascii="宋体" w:hAnsi="宋体" w:cs="宋体"/>
                <w:sz w:val="32"/>
                <w:szCs w:val="24"/>
              </w:rPr>
              <w:t>三级医院创建专项经费专项支出200.00万元，主要用于创建</w:t>
            </w:r>
            <w:r>
              <w:rPr>
                <w:rFonts w:hint="eastAsia" w:ascii="宋体"/>
                <w:sz w:val="32"/>
                <w:szCs w:val="24"/>
              </w:rPr>
              <w:t>“</w:t>
            </w:r>
            <w:r>
              <w:rPr>
                <w:rFonts w:hint="eastAsia" w:ascii="宋体" w:hAnsi="宋体" w:cs="宋体"/>
                <w:sz w:val="32"/>
                <w:szCs w:val="24"/>
              </w:rPr>
              <w:t>三级医院</w:t>
            </w:r>
            <w:r>
              <w:rPr>
                <w:rFonts w:hint="eastAsia" w:ascii="宋体"/>
                <w:sz w:val="32"/>
                <w:szCs w:val="24"/>
              </w:rPr>
              <w:t>”</w:t>
            </w:r>
            <w:r>
              <w:rPr>
                <w:rFonts w:hint="eastAsia" w:ascii="宋体" w:hAnsi="宋体" w:cs="宋体"/>
                <w:sz w:val="32"/>
                <w:szCs w:val="24"/>
              </w:rPr>
              <w:t>方面。</w:t>
            </w:r>
          </w:p>
        </w:tc>
      </w:tr>
      <w:tr w14:paraId="281A7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B94381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五、政府性基金预算支出</w:t>
            </w:r>
          </w:p>
        </w:tc>
      </w:tr>
      <w:tr w14:paraId="0DB18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9F8875C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 w14:paraId="62FBF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89F64A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六、其他重要事项的情况说明</w:t>
            </w:r>
          </w:p>
        </w:tc>
      </w:tr>
      <w:tr w14:paraId="7BE2E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5E55CD4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（一）机关运行经费</w:t>
            </w:r>
          </w:p>
        </w:tc>
      </w:tr>
      <w:tr w14:paraId="7AA2F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CAF85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本单位2024年机关运行经费当年一般公共预算拨款53.93万元（数据来源见表12），比上一年减少2.64万元，降低4.67%。主要原因是公务用车运行维护费减少。</w:t>
            </w:r>
          </w:p>
        </w:tc>
      </w:tr>
      <w:tr w14:paraId="62E98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5DA7AB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（二）“三公”经费预算</w:t>
            </w:r>
          </w:p>
        </w:tc>
      </w:tr>
      <w:tr w14:paraId="6B321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24FB5C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本单位2024年“三公”经费预算数6.00万元（数据来源见表14），其中，公务接待费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万元，因公出国（境）费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万元，公务用车购置及运行费6.00万元（其中，公务用车购置费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万元，公务用车运行费6.00万元）。2024年三公经费预算较上年减少3万元，主要原因是本年度公车仅两辆，公务用车运行维护费减少。</w:t>
            </w:r>
          </w:p>
        </w:tc>
      </w:tr>
      <w:tr w14:paraId="58ECB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A354AFE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（三）一般性支出情况</w:t>
            </w:r>
          </w:p>
        </w:tc>
      </w:tr>
      <w:tr w14:paraId="4C1DB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492F990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本单位2024年会议费预算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万元（数据来源见表13会议费、培训费），拟召开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次会议，人数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人，内容为无；培训费预算</w:t>
            </w:r>
            <w:r>
              <w:rPr>
                <w:rFonts w:hint="default" w:ascii="宋体"/>
                <w:sz w:val="32"/>
                <w:szCs w:val="24"/>
              </w:rPr>
              <w:t>0.00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万元，拟开展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次培训，人数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人，内容为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；计划举办节庆、晚会、论坛、赛事活动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万元，内容为无。2024年度本单位未计划安排会议、培训，未计划举办节庆、晚会、论坛、赛事活动。</w:t>
            </w:r>
          </w:p>
        </w:tc>
      </w:tr>
      <w:tr w14:paraId="75AA7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02E4DF4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（四）政府采购情况</w:t>
            </w:r>
          </w:p>
        </w:tc>
      </w:tr>
      <w:tr w14:paraId="6CF47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96A79F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本单位2024年政府采购预算总额200万元，其中工程类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万元，货物类120万元，服务类80万元。</w:t>
            </w:r>
          </w:p>
        </w:tc>
      </w:tr>
      <w:tr w14:paraId="45284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1FBE9B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 w14:paraId="424CC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304CC8">
            <w:pPr>
              <w:spacing w:beforeLines="0" w:afterLines="0" w:line="375" w:lineRule="exact"/>
              <w:ind w:left="20"/>
              <w:rPr>
                <w:rFonts w:hint="eastAsia" w:ascii="宋体" w:hAnsi="宋体" w:cs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截至上年底，本单位共有车辆2辆，其中领导干部用车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辆，一般公务用车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 xml:space="preserve">辆，其他用车2辆。单位价值50万元以上通用设备5台，单位价值100万元以上专用设备1台。 </w:t>
            </w:r>
          </w:p>
          <w:p w14:paraId="5C158D9D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2024年拟报废处置车辆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辆，其中：报废处置领导干部用车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辆，报废处置一般公务用车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辆，报废处置其他用车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辆，报废处置单位价值50万元以上通用设备</w:t>
            </w:r>
            <w:r>
              <w:rPr>
                <w:rFonts w:hint="eastAsia" w:cs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台，报废处置单位价值100万元以上通用设备</w:t>
            </w:r>
            <w:r>
              <w:rPr>
                <w:rFonts w:hint="eastAsia" w:cs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台。拟新增配置车辆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辆，其中领导干部用车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辆，一般公务用车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辆，其他用车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辆，2024年度本单位未计划新增车辆。</w:t>
            </w:r>
          </w:p>
          <w:p w14:paraId="3C42601F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2024年拟新增配备领导干部用车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辆，一般公务用车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辆，其他用车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辆，新增配备单位价值50万元以上通用设备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台，单位价值100万元以上专用设备</w:t>
            </w:r>
            <w:r>
              <w:rPr>
                <w:rFonts w:hint="default" w:ascii="宋体"/>
                <w:sz w:val="32"/>
                <w:szCs w:val="24"/>
              </w:rPr>
              <w:t>0</w:t>
            </w:r>
            <w:r>
              <w:rPr>
                <w:rFonts w:hint="eastAsia" w:ascii="宋体" w:hAnsi="宋体" w:cs="宋体"/>
                <w:sz w:val="32"/>
                <w:szCs w:val="24"/>
              </w:rPr>
              <w:t>台。2024年度本单位未计划处置或新增车辆、设备等。</w:t>
            </w:r>
          </w:p>
        </w:tc>
      </w:tr>
      <w:tr w14:paraId="4F2EE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D695E19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（六）预算绩效目标说明</w:t>
            </w:r>
          </w:p>
        </w:tc>
      </w:tr>
      <w:tr w14:paraId="0CBBC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97AD970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  本单位所有支出实行绩效目标管理。纳入2024年单位整体支出绩效目标的金额为1813.23万元，其中，基本支出1175.58万元，项目支出637.65万元，详见文尾附表中单位预算公开表格的表21-22。</w:t>
            </w:r>
          </w:p>
        </w:tc>
      </w:tr>
      <w:tr w14:paraId="60075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8F0BB7">
            <w:pPr>
              <w:spacing w:beforeLines="0" w:afterLines="0" w:line="375" w:lineRule="exact"/>
              <w:ind w:left="20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 xml:space="preserve">  七、名词解释</w:t>
            </w:r>
          </w:p>
        </w:tc>
      </w:tr>
      <w:tr w14:paraId="5E98F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FFCCB9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 w14:paraId="4FD3D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6320DF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14:paraId="16FC4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D0E68A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79DE4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77A2FAC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3D52F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DE9E48"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71A3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424677">
            <w:pPr>
              <w:spacing w:beforeLines="0" w:afterLines="0" w:line="375" w:lineRule="exact"/>
              <w:ind w:left="20"/>
              <w:jc w:val="center"/>
              <w:rPr>
                <w:rFonts w:hint="default" w:ascii="Dialog"/>
                <w:sz w:val="32"/>
                <w:szCs w:val="24"/>
              </w:rPr>
            </w:pPr>
            <w:r>
              <w:rPr>
                <w:rFonts w:hint="eastAsia" w:ascii="Dialog" w:hAnsi="Dialog" w:cs="Dialog"/>
                <w:sz w:val="32"/>
                <w:szCs w:val="24"/>
              </w:rPr>
              <w:t>第二部分  2024年单位预算公开表格</w:t>
            </w:r>
          </w:p>
        </w:tc>
      </w:tr>
      <w:tr w14:paraId="2B703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8B96D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1、收支总表</w:t>
            </w:r>
          </w:p>
        </w:tc>
      </w:tr>
      <w:tr w14:paraId="5CB4A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40078D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2、收入总表</w:t>
            </w:r>
          </w:p>
        </w:tc>
      </w:tr>
      <w:tr w14:paraId="0BD71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60123F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3、支出总表</w:t>
            </w:r>
          </w:p>
        </w:tc>
      </w:tr>
      <w:tr w14:paraId="59F85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757514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4、支出预算分类汇总表（按政府预算经济分类）</w:t>
            </w:r>
          </w:p>
        </w:tc>
      </w:tr>
      <w:tr w14:paraId="6E0D2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94A16A7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5、支出预算分类汇总表（按部门预算经济分类）</w:t>
            </w:r>
          </w:p>
        </w:tc>
      </w:tr>
      <w:tr w14:paraId="1295A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AC7CE38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6、财政拨款收支总表</w:t>
            </w:r>
          </w:p>
        </w:tc>
      </w:tr>
      <w:tr w14:paraId="28C30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FDF7115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7、一般公共预算支出表</w:t>
            </w:r>
          </w:p>
        </w:tc>
      </w:tr>
      <w:tr w14:paraId="62787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3A9CA7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8、一般公共预算基本支出表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人员经费（工资福利支出）（按政府预算经济分类）</w:t>
            </w:r>
          </w:p>
        </w:tc>
      </w:tr>
      <w:tr w14:paraId="4018B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C61BBB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9、一般公共预算基本支出表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人员经费（工资福利支出）（按部门预算经济分类）</w:t>
            </w:r>
          </w:p>
        </w:tc>
      </w:tr>
      <w:tr w14:paraId="0DA58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0194F6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10、一般公共预算基本支出表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人员经费（对个人和家庭的补助）（按政府预算经济分类）</w:t>
            </w:r>
          </w:p>
        </w:tc>
      </w:tr>
      <w:tr w14:paraId="5F210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D94D4B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11、一般公共预算基本支出表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人员经费（对个人和家庭的补助）（按部门预算经济分类）</w:t>
            </w:r>
          </w:p>
        </w:tc>
      </w:tr>
      <w:tr w14:paraId="29D17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F2CFE0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12、一般公共预算基本支出表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公用经费（商品和服务支出）（按政府预算经济分类）</w:t>
            </w:r>
          </w:p>
        </w:tc>
      </w:tr>
      <w:tr w14:paraId="6B69A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B77B062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13、一般公共预算基本支出表</w:t>
            </w:r>
            <w:r>
              <w:rPr>
                <w:rFonts w:hint="default" w:ascii="宋体"/>
                <w:sz w:val="32"/>
                <w:szCs w:val="24"/>
              </w:rPr>
              <w:t>-</w:t>
            </w:r>
            <w:r>
              <w:rPr>
                <w:rFonts w:hint="eastAsia" w:ascii="宋体" w:hAnsi="宋体" w:cs="宋体"/>
                <w:sz w:val="32"/>
                <w:szCs w:val="24"/>
              </w:rPr>
              <w:t>公用经费（商品和服务支出）（按部门预算经济分类）</w:t>
            </w:r>
          </w:p>
        </w:tc>
      </w:tr>
      <w:tr w14:paraId="1EB05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ED116F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14、一般公共预算“三公”经费支出表</w:t>
            </w:r>
          </w:p>
        </w:tc>
      </w:tr>
      <w:tr w14:paraId="1C854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88455B9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15、政府性基金预算支出表</w:t>
            </w:r>
          </w:p>
        </w:tc>
      </w:tr>
      <w:tr w14:paraId="6D121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77EEEA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 w14:paraId="7D88A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7926D1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 w14:paraId="7E988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CB46B8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18、国有资本经营预算支出表</w:t>
            </w:r>
          </w:p>
        </w:tc>
      </w:tr>
      <w:tr w14:paraId="3CD33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B523D4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19、财政专户管理资金预算支出表</w:t>
            </w:r>
          </w:p>
        </w:tc>
      </w:tr>
      <w:tr w14:paraId="015AA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0013F6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20、专项资金预算汇总表</w:t>
            </w:r>
          </w:p>
        </w:tc>
      </w:tr>
      <w:tr w14:paraId="4B2E6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CAA30AD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21、项目支出绩效目标表</w:t>
            </w:r>
          </w:p>
        </w:tc>
      </w:tr>
      <w:tr w14:paraId="41623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E526D9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22、单位整体支出绩效目标表</w:t>
            </w:r>
          </w:p>
        </w:tc>
      </w:tr>
      <w:tr w14:paraId="26F41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47A8F">
            <w:pPr>
              <w:spacing w:beforeLines="0" w:afterLines="0" w:line="375" w:lineRule="exact"/>
              <w:ind w:left="20"/>
              <w:rPr>
                <w:rFonts w:hint="default" w:ascii="宋体"/>
                <w:sz w:val="32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24"/>
              </w:rPr>
              <w:t>23、一般公共预算基本支出表</w:t>
            </w:r>
          </w:p>
        </w:tc>
      </w:tr>
      <w:tr w14:paraId="03B5D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D39870">
            <w:pPr>
              <w:spacing w:beforeLines="0" w:afterLines="0" w:line="375" w:lineRule="exact"/>
              <w:ind w:left="20"/>
              <w:rPr>
                <w:rFonts w:hint="default" w:ascii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 w:cs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 w14:paraId="505F9666">
      <w:pPr>
        <w:spacing w:beforeLines="0" w:afterLines="0"/>
        <w:rPr>
          <w:rFonts w:hint="default"/>
          <w:sz w:val="24"/>
          <w:szCs w:val="24"/>
        </w:rPr>
      </w:pPr>
    </w:p>
    <w:sectPr>
      <w:pgSz w:w="18708" w:h="15840"/>
      <w:pgMar w:top="388" w:right="1080" w:bottom="388" w:left="10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D1C51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name="heading 4"/>
    <w:lsdException w:qFormat="1" w:uiPriority="99" w:name="heading 5"/>
    <w:lsdException w:qFormat="1" w:uiPriority="99" w:name="heading 6"/>
    <w:lsdException w:qFormat="1" w:uiPriority="99" w:name="heading 7"/>
    <w:lsdException w:qFormat="1" w:uiPriority="99" w:name="heading 8"/>
    <w:lsdException w:qFormat="1" w:uiPriority="9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99" w:name="toc 1"/>
    <w:lsdException w:qFormat="1" w:uiPriority="99" w:name="toc 2"/>
    <w:lsdException w:qFormat="1" w:uiPriority="99" w:name="toc 3"/>
    <w:lsdException w:qFormat="1" w:uiPriority="99" w:name="toc 4"/>
    <w:lsdException w:qFormat="1" w:uiPriority="99" w:name="toc 5"/>
    <w:lsdException w:qFormat="1" w:uiPriority="99" w:name="toc 6"/>
    <w:lsdException w:qFormat="1" w:uiPriority="99" w:name="toc 7"/>
    <w:lsdException w:qFormat="1" w:uiPriority="99" w:name="toc 8"/>
    <w:lsdException w:qFormat="1" w:uiPriority="9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qFormat="1" w:uiPriority="99" w:name="index heading"/>
    <w:lsdException w:qFormat="1" w:uiPriority="99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iPriority="99" w:name="Title"/>
    <w:lsdException w:qFormat="1" w:uiPriority="99" w:name="Closing"/>
    <w:lsdException w:qFormat="1" w:uiPriority="99" w:name="Signature"/>
    <w:lsdException w:uiPriority="99" w:semiHidden="0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iPriority="99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iPriority="99" w:name="Strong"/>
    <w:lsdException w:qFormat="1" w:uiPriority="99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unhideWhenUsed="0" w:uiPriority="99" w:semiHidden="0" w:name="Normal Table"/>
    <w:lsdException w:qFormat="1"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99" w:semiHidden="0" w:name="Table Grid"/>
    <w:lsdException w:unhideWhenUsed="0" w:uiPriority="99" w:semiHidden="0" w:name="Table Theme"/>
    <w:lsdException w:unhideWhenUsed="0" w:uiPriority="99" w:semiHidden="0" w:name="Light Shading"/>
    <w:lsdException w:unhideWhenUsed="0" w:uiPriority="99" w:semiHidden="0" w:name="Light List"/>
    <w:lsdException w:unhideWhenUsed="0" w:uiPriority="99" w:semiHidden="0" w:name="Light Grid"/>
    <w:lsdException w:unhideWhenUsed="0" w:uiPriority="99" w:semiHidden="0" w:name="Medium Shading 1"/>
    <w:lsdException w:unhideWhenUsed="0" w:uiPriority="99" w:semiHidden="0" w:name="Medium Shading 2"/>
    <w:lsdException w:unhideWhenUsed="0" w:uiPriority="99" w:semiHidden="0" w:name="Medium List 1"/>
    <w:lsdException w:unhideWhenUsed="0" w:uiPriority="99" w:semiHidden="0" w:name="Medium List 2"/>
    <w:lsdException w:unhideWhenUsed="0" w:uiPriority="99" w:semiHidden="0" w:name="Medium Grid 1"/>
    <w:lsdException w:unhideWhenUsed="0" w:uiPriority="99" w:semiHidden="0" w:name="Medium Grid 2"/>
    <w:lsdException w:unhideWhenUsed="0" w:uiPriority="99" w:semiHidden="0" w:name="Medium Grid 3"/>
    <w:lsdException w:unhideWhenUsed="0" w:uiPriority="99" w:semiHidden="0" w:name="Dark List"/>
    <w:lsdException w:unhideWhenUsed="0" w:uiPriority="99" w:semiHidden="0" w:name="Colorful Shading"/>
    <w:lsdException w:unhideWhenUsed="0" w:uiPriority="99" w:semiHidden="0" w:name="Colorful List"/>
    <w:lsdException w:unhideWhenUsed="0" w:uiPriority="99" w:semiHidden="0" w:name="Colorful Grid"/>
    <w:lsdException w:unhideWhenUsed="0" w:uiPriority="99" w:semiHidden="0" w:name="Light Shading Accent 1"/>
    <w:lsdException w:unhideWhenUsed="0" w:uiPriority="99" w:semiHidden="0" w:name="Light List Accent 1"/>
    <w:lsdException w:unhideWhenUsed="0" w:uiPriority="99" w:semiHidden="0" w:name="Light Grid Accent 1"/>
    <w:lsdException w:unhideWhenUsed="0" w:uiPriority="99" w:semiHidden="0" w:name="Medium Shading 1 Accent 1"/>
    <w:lsdException w:unhideWhenUsed="0" w:uiPriority="99" w:semiHidden="0" w:name="Medium Shading 2 Accent 1"/>
    <w:lsdException w:unhideWhenUsed="0" w:uiPriority="99" w:semiHidden="0" w:name="Medium List 1 Accent 1"/>
    <w:lsdException w:unhideWhenUsed="0" w:uiPriority="99" w:semiHidden="0" w:name="Medium List 2 Accent 1"/>
    <w:lsdException w:unhideWhenUsed="0" w:uiPriority="99" w:semiHidden="0" w:name="Medium Grid 1 Accent 1"/>
    <w:lsdException w:unhideWhenUsed="0" w:uiPriority="99" w:semiHidden="0" w:name="Medium Grid 2 Accent 1"/>
    <w:lsdException w:unhideWhenUsed="0" w:uiPriority="99" w:semiHidden="0" w:name="Medium Grid 3 Accent 1"/>
    <w:lsdException w:unhideWhenUsed="0" w:uiPriority="99" w:semiHidden="0" w:name="Dark List Accent 1"/>
    <w:lsdException w:unhideWhenUsed="0" w:uiPriority="99" w:semiHidden="0" w:name="Colorful Shading Accent 1"/>
    <w:lsdException w:unhideWhenUsed="0" w:uiPriority="99" w:semiHidden="0" w:name="Colorful List Accent 1"/>
    <w:lsdException w:unhideWhenUsed="0" w:uiPriority="99" w:semiHidden="0" w:name="Colorful Grid Accent 1"/>
    <w:lsdException w:unhideWhenUsed="0" w:uiPriority="99" w:semiHidden="0" w:name="Light Shading Accent 2"/>
    <w:lsdException w:unhideWhenUsed="0" w:uiPriority="99" w:semiHidden="0" w:name="Light List Accent 2"/>
    <w:lsdException w:unhideWhenUsed="0" w:uiPriority="99" w:semiHidden="0" w:name="Light Grid Accent 2"/>
    <w:lsdException w:unhideWhenUsed="0" w:uiPriority="99" w:semiHidden="0" w:name="Medium Shading 1 Accent 2"/>
    <w:lsdException w:unhideWhenUsed="0" w:uiPriority="99" w:semiHidden="0" w:name="Medium Shading 2 Accent 2"/>
    <w:lsdException w:unhideWhenUsed="0" w:uiPriority="99" w:semiHidden="0" w:name="Medium List 1 Accent 2"/>
    <w:lsdException w:unhideWhenUsed="0" w:uiPriority="99" w:semiHidden="0" w:name="Medium List 2 Accent 2"/>
    <w:lsdException w:unhideWhenUsed="0" w:uiPriority="99" w:semiHidden="0" w:name="Medium Grid 1 Accent 2"/>
    <w:lsdException w:unhideWhenUsed="0" w:uiPriority="99" w:semiHidden="0" w:name="Medium Grid 2 Accent 2"/>
    <w:lsdException w:unhideWhenUsed="0" w:uiPriority="99" w:semiHidden="0" w:name="Medium Grid 3 Accent 2"/>
    <w:lsdException w:unhideWhenUsed="0" w:uiPriority="99" w:semiHidden="0" w:name="Dark List Accent 2"/>
    <w:lsdException w:unhideWhenUsed="0" w:uiPriority="99" w:semiHidden="0" w:name="Colorful Shading Accent 2"/>
    <w:lsdException w:unhideWhenUsed="0" w:uiPriority="99" w:semiHidden="0" w:name="Colorful List Accent 2"/>
    <w:lsdException w:unhideWhenUsed="0" w:uiPriority="99" w:semiHidden="0" w:name="Colorful Grid Accent 2"/>
    <w:lsdException w:unhideWhenUsed="0" w:uiPriority="99" w:semiHidden="0" w:name="Light Shading Accent 3"/>
    <w:lsdException w:unhideWhenUsed="0" w:uiPriority="99" w:semiHidden="0" w:name="Light List Accent 3"/>
    <w:lsdException w:unhideWhenUsed="0" w:uiPriority="99" w:semiHidden="0" w:name="Light Grid Accent 3"/>
    <w:lsdException w:unhideWhenUsed="0" w:uiPriority="99" w:semiHidden="0" w:name="Medium Shading 1 Accent 3"/>
    <w:lsdException w:unhideWhenUsed="0" w:uiPriority="99" w:semiHidden="0" w:name="Medium Shading 2 Accent 3"/>
    <w:lsdException w:unhideWhenUsed="0" w:uiPriority="99" w:semiHidden="0" w:name="Medium List 1 Accent 3"/>
    <w:lsdException w:unhideWhenUsed="0" w:uiPriority="99" w:semiHidden="0" w:name="Medium List 2 Accent 3"/>
    <w:lsdException w:unhideWhenUsed="0" w:uiPriority="99" w:semiHidden="0" w:name="Medium Grid 1 Accent 3"/>
    <w:lsdException w:unhideWhenUsed="0" w:uiPriority="99" w:semiHidden="0" w:name="Medium Grid 2 Accent 3"/>
    <w:lsdException w:unhideWhenUsed="0" w:uiPriority="99" w:semiHidden="0" w:name="Medium Grid 3 Accent 3"/>
    <w:lsdException w:unhideWhenUsed="0" w:uiPriority="99" w:semiHidden="0" w:name="Dark List Accent 3"/>
    <w:lsdException w:unhideWhenUsed="0" w:uiPriority="99" w:semiHidden="0" w:name="Colorful Shading Accent 3"/>
    <w:lsdException w:unhideWhenUsed="0" w:uiPriority="99" w:semiHidden="0" w:name="Colorful List Accent 3"/>
    <w:lsdException w:unhideWhenUsed="0" w:uiPriority="99" w:semiHidden="0" w:name="Colorful Grid Accent 3"/>
    <w:lsdException w:unhideWhenUsed="0" w:uiPriority="99" w:semiHidden="0" w:name="Light Shading Accent 4"/>
    <w:lsdException w:unhideWhenUsed="0" w:uiPriority="99" w:semiHidden="0" w:name="Light List Accent 4"/>
    <w:lsdException w:unhideWhenUsed="0" w:uiPriority="99" w:semiHidden="0" w:name="Light Grid Accent 4"/>
    <w:lsdException w:unhideWhenUsed="0" w:uiPriority="99" w:semiHidden="0" w:name="Medium Shading 1 Accent 4"/>
    <w:lsdException w:unhideWhenUsed="0" w:uiPriority="99" w:semiHidden="0" w:name="Medium Shading 2 Accent 4"/>
    <w:lsdException w:unhideWhenUsed="0" w:uiPriority="99" w:semiHidden="0" w:name="Medium List 1 Accent 4"/>
    <w:lsdException w:unhideWhenUsed="0" w:uiPriority="99" w:semiHidden="0" w:name="Medium List 2 Accent 4"/>
    <w:lsdException w:unhideWhenUsed="0" w:uiPriority="99" w:semiHidden="0" w:name="Medium Grid 1 Accent 4"/>
    <w:lsdException w:unhideWhenUsed="0" w:uiPriority="99" w:semiHidden="0" w:name="Medium Grid 2 Accent 4"/>
    <w:lsdException w:unhideWhenUsed="0" w:uiPriority="99" w:semiHidden="0" w:name="Medium Grid 3 Accent 4"/>
    <w:lsdException w:unhideWhenUsed="0" w:uiPriority="99" w:semiHidden="0" w:name="Dark List Accent 4"/>
    <w:lsdException w:unhideWhenUsed="0" w:uiPriority="99" w:semiHidden="0" w:name="Colorful Shading Accent 4"/>
    <w:lsdException w:unhideWhenUsed="0" w:uiPriority="99" w:semiHidden="0" w:name="Colorful List Accent 4"/>
    <w:lsdException w:unhideWhenUsed="0" w:uiPriority="99" w:semiHidden="0" w:name="Colorful Grid Accent 4"/>
    <w:lsdException w:unhideWhenUsed="0" w:uiPriority="99" w:semiHidden="0" w:name="Light Shading Accent 5"/>
    <w:lsdException w:unhideWhenUsed="0" w:uiPriority="99" w:semiHidden="0" w:name="Light List Accent 5"/>
    <w:lsdException w:unhideWhenUsed="0" w:uiPriority="99" w:semiHidden="0" w:name="Light Grid Accent 5"/>
    <w:lsdException w:unhideWhenUsed="0" w:uiPriority="99" w:semiHidden="0" w:name="Medium Shading 1 Accent 5"/>
    <w:lsdException w:unhideWhenUsed="0" w:uiPriority="99" w:semiHidden="0" w:name="Medium Shading 2 Accent 5"/>
    <w:lsdException w:unhideWhenUsed="0" w:uiPriority="99" w:semiHidden="0" w:name="Medium List 1 Accent 5"/>
    <w:lsdException w:unhideWhenUsed="0" w:uiPriority="99" w:semiHidden="0" w:name="Medium List 2 Accent 5"/>
    <w:lsdException w:unhideWhenUsed="0" w:uiPriority="99" w:semiHidden="0" w:name="Medium Grid 1 Accent 5"/>
    <w:lsdException w:unhideWhenUsed="0" w:uiPriority="99" w:semiHidden="0" w:name="Medium Grid 2 Accent 5"/>
    <w:lsdException w:unhideWhenUsed="0" w:uiPriority="99" w:semiHidden="0" w:name="Medium Grid 3 Accent 5"/>
    <w:lsdException w:unhideWhenUsed="0" w:uiPriority="99" w:semiHidden="0" w:name="Dark List Accent 5"/>
    <w:lsdException w:unhideWhenUsed="0" w:uiPriority="99" w:semiHidden="0" w:name="Colorful Shading Accent 5"/>
    <w:lsdException w:unhideWhenUsed="0" w:uiPriority="99" w:semiHidden="0" w:name="Colorful List Accent 5"/>
    <w:lsdException w:unhideWhenUsed="0" w:uiPriority="99" w:semiHidden="0" w:name="Colorful Grid Accent 5"/>
    <w:lsdException w:unhideWhenUsed="0" w:uiPriority="99" w:semiHidden="0" w:name="Light Shading Accent 6"/>
    <w:lsdException w:unhideWhenUsed="0" w:uiPriority="99" w:semiHidden="0" w:name="Light List Accent 6"/>
    <w:lsdException w:unhideWhenUsed="0" w:uiPriority="99" w:semiHidden="0" w:name="Light Grid Accent 6"/>
    <w:lsdException w:unhideWhenUsed="0" w:uiPriority="99" w:semiHidden="0" w:name="Medium Shading 1 Accent 6"/>
    <w:lsdException w:unhideWhenUsed="0" w:uiPriority="99" w:semiHidden="0" w:name="Medium Shading 2 Accent 6"/>
    <w:lsdException w:unhideWhenUsed="0" w:uiPriority="99" w:semiHidden="0" w:name="Medium List 1 Accent 6"/>
    <w:lsdException w:unhideWhenUsed="0" w:uiPriority="99" w:semiHidden="0" w:name="Medium List 2 Accent 6"/>
    <w:lsdException w:unhideWhenUsed="0" w:uiPriority="99" w:semiHidden="0" w:name="Medium Grid 1 Accent 6"/>
    <w:lsdException w:unhideWhenUsed="0" w:uiPriority="99" w:semiHidden="0" w:name="Medium Grid 2 Accent 6"/>
    <w:lsdException w:unhideWhenUsed="0" w:uiPriority="99" w:semiHidden="0" w:name="Medium Grid 3 Accent 6"/>
    <w:lsdException w:unhideWhenUsed="0" w:uiPriority="99" w:semiHidden="0" w:name="Dark List Accent 6"/>
    <w:lsdException w:unhideWhenUsed="0" w:uiPriority="99" w:semiHidden="0" w:name="Colorful Shading Accent 6"/>
    <w:lsdException w:unhideWhenUsed="0" w:uiPriority="99" w:semiHidden="0" w:name="Colorful List Accent 6"/>
    <w:lsdException w:unhideWhenUsed="0" w:uiPriority="99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Arial" w:hAnsi="Arial" w:eastAsia="宋体" w:cs="Times New Roman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link w:val="7"/>
    <w:unhideWhenUsed/>
    <w:qFormat/>
    <w:uiPriority w:val="99"/>
    <w:pPr>
      <w:spacing w:beforeLines="0" w:afterLines="0"/>
      <w:outlineLvl w:val="0"/>
    </w:pPr>
    <w:rPr>
      <w:rFonts w:hint="eastAsia"/>
      <w:b/>
      <w:sz w:val="32"/>
      <w:szCs w:val="24"/>
    </w:rPr>
  </w:style>
  <w:style w:type="paragraph" w:styleId="3">
    <w:name w:val="heading 2"/>
    <w:basedOn w:val="1"/>
    <w:link w:val="8"/>
    <w:unhideWhenUsed/>
    <w:qFormat/>
    <w:uiPriority w:val="99"/>
    <w:pPr>
      <w:spacing w:beforeLines="0" w:afterLines="0"/>
      <w:outlineLvl w:val="1"/>
    </w:pPr>
    <w:rPr>
      <w:rFonts w:hint="eastAsia"/>
      <w:b/>
      <w:i/>
      <w:sz w:val="28"/>
      <w:szCs w:val="24"/>
    </w:rPr>
  </w:style>
  <w:style w:type="paragraph" w:styleId="4">
    <w:name w:val="heading 3"/>
    <w:basedOn w:val="1"/>
    <w:link w:val="9"/>
    <w:unhideWhenUsed/>
    <w:qFormat/>
    <w:uiPriority w:val="99"/>
    <w:pPr>
      <w:spacing w:beforeLines="0" w:afterLines="0"/>
      <w:outlineLvl w:val="2"/>
    </w:pPr>
    <w:rPr>
      <w:rFonts w:hint="eastAsia"/>
      <w:b/>
      <w:sz w:val="26"/>
      <w:szCs w:val="24"/>
    </w:rPr>
  </w:style>
  <w:style w:type="character" w:default="1" w:styleId="6">
    <w:name w:val="Default Paragraph Font"/>
    <w:unhideWhenUsed/>
    <w:uiPriority w:val="99"/>
    <w:rPr>
      <w:rFonts w:hint="default"/>
      <w:sz w:val="24"/>
      <w:szCs w:val="24"/>
    </w:rPr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basedOn w:val="6"/>
    <w:link w:val="2"/>
    <w:unhideWhenUsed/>
    <w:locked/>
    <w:uiPriority w:val="9"/>
    <w:rPr>
      <w:rFonts w:hint="default" w:ascii="Arial" w:cs="Arial"/>
      <w:b/>
      <w:color w:val="000000"/>
      <w:kern w:val="44"/>
      <w:sz w:val="44"/>
      <w:szCs w:val="44"/>
    </w:rPr>
  </w:style>
  <w:style w:type="character" w:customStyle="1" w:styleId="8">
    <w:name w:val="标题 2 Char"/>
    <w:basedOn w:val="6"/>
    <w:link w:val="3"/>
    <w:unhideWhenUsed/>
    <w:locked/>
    <w:uiPriority w:val="9"/>
    <w:rPr>
      <w:rFonts w:hint="eastAsia" w:ascii="Calibri Light" w:hAnsi="Calibri Light" w:eastAsia="宋体" w:cs="Times New Roman"/>
      <w:b/>
      <w:color w:val="000000"/>
      <w:sz w:val="32"/>
      <w:szCs w:val="32"/>
    </w:rPr>
  </w:style>
  <w:style w:type="character" w:customStyle="1" w:styleId="9">
    <w:name w:val="标题 3 Char"/>
    <w:basedOn w:val="6"/>
    <w:link w:val="4"/>
    <w:unhideWhenUsed/>
    <w:locked/>
    <w:uiPriority w:val="9"/>
    <w:rPr>
      <w:rFonts w:hint="default" w:ascii="Arial" w:cs="Arial"/>
      <w:b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3674</Words>
  <Characters>4014</Characters>
  <TotalTime>2</TotalTime>
  <ScaleCrop>false</ScaleCrop>
  <LinksUpToDate>false</LinksUpToDate>
  <CharactersWithSpaces>4105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2025-07-31T01:41:34Z</dcterms:created>
  <dc:creator>Administrator</dc:creator>
  <cp:lastModifiedBy>Administrator</cp:lastModifiedBy>
  <dcterms:modified xsi:type="dcterms:W3CDTF">2025-07-31T01:44:44Z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eyJoZGlkIjoiYWRlMDZhYmEzNGIxNzEzOGY3ZDcyOTFmMGNlMzMyNjgifQ==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D9BCBC0BC6C64C64A4A4BDE1AF3DE77C_13</vt:lpwstr>
  </property>
</Properties>
</file>