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EE56C">
      <w:pPr>
        <w:pStyle w:val="16"/>
        <w:jc w:val="center"/>
        <w:rPr>
          <w:sz w:val="56"/>
          <w:szCs w:val="56"/>
        </w:rPr>
      </w:pPr>
    </w:p>
    <w:p w14:paraId="7C8B6DE4">
      <w:pPr>
        <w:pStyle w:val="16"/>
        <w:jc w:val="center"/>
        <w:rPr>
          <w:sz w:val="56"/>
          <w:szCs w:val="56"/>
        </w:rPr>
      </w:pPr>
    </w:p>
    <w:p w14:paraId="69601D7F">
      <w:pPr>
        <w:pStyle w:val="16"/>
        <w:jc w:val="center"/>
        <w:rPr>
          <w:sz w:val="84"/>
          <w:szCs w:val="84"/>
        </w:rPr>
      </w:pPr>
    </w:p>
    <w:p w14:paraId="4DE7512A">
      <w:pPr>
        <w:pStyle w:val="16"/>
        <w:jc w:val="center"/>
        <w:rPr>
          <w:sz w:val="84"/>
          <w:szCs w:val="84"/>
        </w:rPr>
      </w:pPr>
    </w:p>
    <w:p w14:paraId="67D22C1D">
      <w:pPr>
        <w:pStyle w:val="16"/>
        <w:jc w:val="center"/>
        <w:rPr>
          <w:rFonts w:ascii="方正小标宋_GBK" w:hAnsi="方正小标宋_GBK" w:eastAsia="方正小标宋_GBK" w:cs="方正小标宋_GBK"/>
          <w:sz w:val="84"/>
          <w:szCs w:val="84"/>
        </w:rPr>
      </w:pPr>
      <w:r>
        <w:rPr>
          <w:rFonts w:ascii="方正小标宋_GBK" w:hAnsi="方正小标宋_GBK" w:eastAsia="方正小标宋_GBK" w:cs="方正小标宋_GBK"/>
          <w:sz w:val="84"/>
          <w:szCs w:val="84"/>
        </w:rPr>
        <w:t>2023</w:t>
      </w:r>
      <w:r>
        <w:rPr>
          <w:rFonts w:hint="eastAsia" w:ascii="方正小标宋_GBK" w:hAnsi="方正小标宋_GBK" w:eastAsia="方正小标宋_GBK" w:cs="方正小标宋_GBK"/>
          <w:sz w:val="84"/>
          <w:szCs w:val="84"/>
        </w:rPr>
        <w:t>年度</w:t>
      </w:r>
    </w:p>
    <w:p w14:paraId="1095A2DA">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岳阳市第十五中学部门决算</w:t>
      </w:r>
    </w:p>
    <w:p w14:paraId="3579515E">
      <w:pPr>
        <w:pStyle w:val="16"/>
        <w:jc w:val="center"/>
        <w:rPr>
          <w:rFonts w:ascii="方正小标宋_GBK" w:hAnsi="方正小标宋_GBK" w:eastAsia="方正小标宋_GBK" w:cs="方正小标宋_GBK"/>
          <w:sz w:val="56"/>
          <w:szCs w:val="56"/>
        </w:rPr>
      </w:pPr>
    </w:p>
    <w:p w14:paraId="5C292C27">
      <w:pPr>
        <w:pStyle w:val="16"/>
        <w:jc w:val="center"/>
        <w:rPr>
          <w:sz w:val="56"/>
          <w:szCs w:val="56"/>
        </w:rPr>
      </w:pPr>
    </w:p>
    <w:p w14:paraId="505D165F">
      <w:pPr>
        <w:pStyle w:val="16"/>
        <w:jc w:val="center"/>
        <w:rPr>
          <w:sz w:val="56"/>
          <w:szCs w:val="56"/>
        </w:rPr>
      </w:pPr>
    </w:p>
    <w:p w14:paraId="680DA718">
      <w:pPr>
        <w:pStyle w:val="16"/>
        <w:jc w:val="center"/>
        <w:rPr>
          <w:sz w:val="56"/>
          <w:szCs w:val="56"/>
        </w:rPr>
      </w:pPr>
    </w:p>
    <w:p w14:paraId="1CC58CD5">
      <w:pPr>
        <w:pStyle w:val="16"/>
        <w:jc w:val="center"/>
        <w:rPr>
          <w:sz w:val="32"/>
          <w:szCs w:val="32"/>
        </w:rPr>
      </w:pPr>
    </w:p>
    <w:p w14:paraId="5C4C5E24">
      <w:pPr>
        <w:pStyle w:val="16"/>
        <w:jc w:val="center"/>
        <w:rPr>
          <w:sz w:val="32"/>
          <w:szCs w:val="32"/>
        </w:rPr>
      </w:pPr>
    </w:p>
    <w:p w14:paraId="4AE04433">
      <w:pPr>
        <w:pStyle w:val="16"/>
        <w:jc w:val="center"/>
        <w:rPr>
          <w:sz w:val="32"/>
          <w:szCs w:val="32"/>
        </w:rPr>
      </w:pPr>
    </w:p>
    <w:p w14:paraId="434CBEB2">
      <w:pPr>
        <w:pStyle w:val="16"/>
        <w:jc w:val="center"/>
        <w:rPr>
          <w:sz w:val="32"/>
          <w:szCs w:val="32"/>
        </w:rPr>
      </w:pPr>
    </w:p>
    <w:p w14:paraId="5267A289">
      <w:pPr>
        <w:pStyle w:val="16"/>
        <w:jc w:val="center"/>
        <w:rPr>
          <w:sz w:val="32"/>
          <w:szCs w:val="32"/>
        </w:rPr>
      </w:pPr>
    </w:p>
    <w:p w14:paraId="42965822">
      <w:pPr>
        <w:pStyle w:val="16"/>
        <w:spacing w:line="540" w:lineRule="exact"/>
        <w:jc w:val="center"/>
        <w:rPr>
          <w:sz w:val="56"/>
          <w:szCs w:val="56"/>
        </w:rPr>
      </w:pPr>
    </w:p>
    <w:p w14:paraId="34BC7888">
      <w:pPr>
        <w:pStyle w:val="16"/>
        <w:spacing w:line="500" w:lineRule="exact"/>
        <w:jc w:val="both"/>
        <w:rPr>
          <w:b/>
          <w:sz w:val="36"/>
          <w:szCs w:val="28"/>
        </w:rPr>
      </w:pPr>
    </w:p>
    <w:p w14:paraId="238AB43F">
      <w:pPr>
        <w:pStyle w:val="16"/>
        <w:spacing w:line="500" w:lineRule="exact"/>
        <w:jc w:val="center"/>
        <w:rPr>
          <w:b/>
          <w:sz w:val="36"/>
          <w:szCs w:val="28"/>
        </w:rPr>
      </w:pPr>
      <w:r>
        <w:rPr>
          <w:rFonts w:hint="eastAsia"/>
          <w:b/>
          <w:sz w:val="36"/>
          <w:szCs w:val="28"/>
        </w:rPr>
        <w:t>目录</w:t>
      </w:r>
    </w:p>
    <w:p w14:paraId="16D1B074">
      <w:pPr>
        <w:pStyle w:val="16"/>
        <w:spacing w:line="500" w:lineRule="exact"/>
        <w:rPr>
          <w:rFonts w:hAnsi="黑体"/>
          <w:bCs/>
          <w:sz w:val="28"/>
          <w:szCs w:val="28"/>
        </w:rPr>
      </w:pPr>
      <w:r>
        <w:rPr>
          <w:rFonts w:hint="eastAsia" w:hAnsi="黑体"/>
          <w:bCs/>
          <w:sz w:val="28"/>
          <w:szCs w:val="28"/>
        </w:rPr>
        <w:t>第一部分</w:t>
      </w:r>
      <w:r>
        <w:rPr>
          <w:rFonts w:hAnsi="黑体"/>
          <w:bCs/>
          <w:sz w:val="28"/>
          <w:szCs w:val="28"/>
        </w:rPr>
        <w:t xml:space="preserve"> </w:t>
      </w:r>
      <w:r>
        <w:rPr>
          <w:rFonts w:hint="eastAsia" w:hAnsi="黑体"/>
          <w:bCs/>
          <w:sz w:val="28"/>
          <w:szCs w:val="28"/>
        </w:rPr>
        <w:t>岳阳市第十五中学概况</w:t>
      </w:r>
    </w:p>
    <w:p w14:paraId="1FAA3290">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80D6238">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261465D9">
      <w:pPr>
        <w:pStyle w:val="16"/>
        <w:spacing w:line="500" w:lineRule="exact"/>
        <w:rPr>
          <w:rFonts w:hAnsi="黑体"/>
          <w:bCs/>
          <w:sz w:val="28"/>
          <w:szCs w:val="28"/>
        </w:rPr>
      </w:pPr>
      <w:r>
        <w:rPr>
          <w:rFonts w:hint="eastAsia" w:hAnsi="黑体"/>
          <w:bCs/>
          <w:sz w:val="28"/>
          <w:szCs w:val="28"/>
        </w:rPr>
        <w:t>第二部分</w:t>
      </w:r>
      <w:r>
        <w:rPr>
          <w:rFonts w:hAnsi="黑体"/>
          <w:bCs/>
          <w:sz w:val="28"/>
          <w:szCs w:val="28"/>
        </w:rPr>
        <w:t xml:space="preserve"> </w:t>
      </w:r>
      <w:r>
        <w:rPr>
          <w:rFonts w:hint="eastAsia" w:hAnsi="黑体"/>
          <w:bCs/>
          <w:sz w:val="28"/>
          <w:szCs w:val="28"/>
        </w:rPr>
        <w:t>部门决算表</w:t>
      </w:r>
    </w:p>
    <w:p w14:paraId="236A1419">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FDB242D">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F7A106C">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9C49CCD">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04906B2">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F8A1382">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04C0BF">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D60105A">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37CD0F7">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5A2DCBF">
      <w:pPr>
        <w:pStyle w:val="16"/>
        <w:spacing w:line="500" w:lineRule="exact"/>
        <w:rPr>
          <w:rFonts w:hAnsi="黑体"/>
          <w:bCs/>
          <w:sz w:val="28"/>
          <w:szCs w:val="28"/>
        </w:rPr>
      </w:pPr>
      <w:r>
        <w:rPr>
          <w:rFonts w:hint="eastAsia" w:hAnsi="黑体"/>
          <w:bCs/>
          <w:sz w:val="28"/>
          <w:szCs w:val="28"/>
        </w:rPr>
        <w:t>第三部分</w:t>
      </w:r>
      <w:r>
        <w:rPr>
          <w:rFonts w:hAnsi="黑体"/>
          <w:bCs/>
          <w:sz w:val="28"/>
          <w:szCs w:val="28"/>
        </w:rPr>
        <w:t xml:space="preserve"> </w:t>
      </w:r>
      <w:r>
        <w:rPr>
          <w:rFonts w:hint="eastAsia" w:hAnsi="黑体"/>
          <w:bCs/>
          <w:sz w:val="28"/>
          <w:szCs w:val="28"/>
        </w:rPr>
        <w:t>部门决算情况说明</w:t>
      </w:r>
    </w:p>
    <w:p w14:paraId="1C5B0803">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5A4186A">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C7071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E6069C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30EDAD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B5FC49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C5BE37B">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1A3AF118">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国有资本经营预算财政拨款支出决算情况</w:t>
      </w:r>
    </w:p>
    <w:p w14:paraId="3831E2D1">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九、财政拨款三公经费支出决算情况说明</w:t>
      </w:r>
    </w:p>
    <w:p w14:paraId="30F2CBC9">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5E37B530">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67FEDBF">
      <w:pPr>
        <w:autoSpaceDE w:val="0"/>
        <w:autoSpaceDN w:val="0"/>
        <w:adjustRightInd w:val="0"/>
        <w:spacing w:line="48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47FF7BD6">
      <w:pPr>
        <w:autoSpaceDE w:val="0"/>
        <w:autoSpaceDN w:val="0"/>
        <w:adjustRightInd w:val="0"/>
        <w:spacing w:line="480" w:lineRule="exact"/>
        <w:ind w:firstLine="700" w:firstLineChars="25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十三、关于国有资产占用情况说明</w:t>
      </w:r>
    </w:p>
    <w:p w14:paraId="4BCFBCBF">
      <w:pPr>
        <w:pStyle w:val="16"/>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十四、关于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2F8F97D2">
      <w:pPr>
        <w:pStyle w:val="16"/>
        <w:spacing w:line="500" w:lineRule="exact"/>
        <w:rPr>
          <w:rFonts w:hAnsi="黑体"/>
          <w:bCs/>
          <w:sz w:val="28"/>
          <w:szCs w:val="28"/>
        </w:rPr>
      </w:pPr>
      <w:r>
        <w:rPr>
          <w:rFonts w:hint="eastAsia" w:hAnsi="黑体"/>
          <w:bCs/>
          <w:sz w:val="28"/>
          <w:szCs w:val="28"/>
        </w:rPr>
        <w:t>第四部分</w:t>
      </w:r>
      <w:r>
        <w:rPr>
          <w:rFonts w:hAnsi="黑体"/>
          <w:bCs/>
          <w:sz w:val="28"/>
          <w:szCs w:val="28"/>
        </w:rPr>
        <w:t xml:space="preserve"> </w:t>
      </w:r>
      <w:r>
        <w:rPr>
          <w:rFonts w:hint="eastAsia" w:hAnsi="黑体"/>
          <w:bCs/>
          <w:sz w:val="28"/>
          <w:szCs w:val="28"/>
        </w:rPr>
        <w:t>名词解释</w:t>
      </w:r>
    </w:p>
    <w:p w14:paraId="2AE3EAA9">
      <w:pPr>
        <w:pStyle w:val="16"/>
        <w:spacing w:line="500" w:lineRule="exact"/>
        <w:rPr>
          <w:rFonts w:hAnsi="黑体"/>
          <w:bCs/>
          <w:sz w:val="28"/>
          <w:szCs w:val="28"/>
        </w:rPr>
      </w:pPr>
      <w:r>
        <w:rPr>
          <w:rFonts w:hint="eastAsia" w:hAnsi="黑体"/>
          <w:bCs/>
          <w:sz w:val="28"/>
          <w:szCs w:val="28"/>
        </w:rPr>
        <w:t>第五部分</w:t>
      </w:r>
      <w:r>
        <w:rPr>
          <w:rFonts w:hAnsi="黑体"/>
          <w:bCs/>
          <w:sz w:val="28"/>
          <w:szCs w:val="28"/>
        </w:rPr>
        <w:t xml:space="preserve"> </w:t>
      </w:r>
      <w:r>
        <w:rPr>
          <w:rFonts w:hint="eastAsia" w:hAnsi="黑体"/>
          <w:bCs/>
          <w:sz w:val="28"/>
          <w:szCs w:val="28"/>
        </w:rPr>
        <w:t>附件</w:t>
      </w:r>
    </w:p>
    <w:p w14:paraId="147AAE0B">
      <w:pPr>
        <w:pStyle w:val="16"/>
        <w:jc w:val="center"/>
        <w:rPr>
          <w:rFonts w:ascii="方正小标宋_GBK" w:hAnsi="方正小标宋_GBK" w:eastAsia="方正小标宋_GBK" w:cs="方正小标宋_GBK"/>
          <w:sz w:val="84"/>
          <w:szCs w:val="84"/>
        </w:rPr>
      </w:pPr>
    </w:p>
    <w:p w14:paraId="02A3D0F4">
      <w:pPr>
        <w:pStyle w:val="16"/>
        <w:jc w:val="center"/>
        <w:rPr>
          <w:rFonts w:ascii="方正小标宋_GBK" w:hAnsi="方正小标宋_GBK" w:eastAsia="方正小标宋_GBK" w:cs="方正小标宋_GBK"/>
          <w:sz w:val="84"/>
          <w:szCs w:val="84"/>
        </w:rPr>
      </w:pPr>
    </w:p>
    <w:p w14:paraId="631F11AA">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r>
        <w:rPr>
          <w:rFonts w:ascii="方正小标宋_GBK" w:hAnsi="方正小标宋_GBK" w:eastAsia="方正小标宋_GBK" w:cs="方正小标宋_GBK"/>
          <w:sz w:val="84"/>
          <w:szCs w:val="84"/>
        </w:rPr>
        <w:t xml:space="preserve"> </w:t>
      </w:r>
    </w:p>
    <w:p w14:paraId="512449AF">
      <w:pPr>
        <w:pStyle w:val="16"/>
        <w:jc w:val="center"/>
        <w:rPr>
          <w:rFonts w:ascii="方正小标宋_GBK" w:hAnsi="方正小标宋_GBK" w:eastAsia="方正小标宋_GBK" w:cs="方正小标宋_GBK"/>
          <w:sz w:val="84"/>
          <w:szCs w:val="84"/>
        </w:rPr>
      </w:pPr>
    </w:p>
    <w:p w14:paraId="467B5876">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岳阳市第十五中学概况</w:t>
      </w:r>
    </w:p>
    <w:p w14:paraId="2AB0A9AE">
      <w:pPr>
        <w:pStyle w:val="2"/>
        <w:rPr>
          <w:rFonts w:ascii="方正小标宋_GBK" w:hAnsi="方正小标宋_GBK" w:eastAsia="方正小标宋_GBK" w:cs="方正小标宋_GBK"/>
          <w:sz w:val="84"/>
          <w:szCs w:val="84"/>
        </w:rPr>
      </w:pPr>
    </w:p>
    <w:p w14:paraId="0D57E036">
      <w:pPr>
        <w:pStyle w:val="3"/>
        <w:ind w:left="31680" w:firstLine="31680"/>
        <w:rPr>
          <w:rFonts w:ascii="方正小标宋_GBK" w:hAnsi="方正小标宋_GBK" w:eastAsia="方正小标宋_GBK" w:cs="方正小标宋_GBK"/>
          <w:sz w:val="84"/>
          <w:szCs w:val="84"/>
        </w:rPr>
      </w:pPr>
    </w:p>
    <w:p w14:paraId="07FFDE67">
      <w:pPr>
        <w:rPr>
          <w:rFonts w:ascii="方正小标宋_GBK" w:hAnsi="方正小标宋_GBK" w:eastAsia="方正小标宋_GBK" w:cs="方正小标宋_GBK"/>
          <w:sz w:val="84"/>
          <w:szCs w:val="84"/>
        </w:rPr>
      </w:pPr>
    </w:p>
    <w:p w14:paraId="044598C6">
      <w:pPr>
        <w:pStyle w:val="2"/>
        <w:rPr>
          <w:rFonts w:ascii="方正小标宋_GBK" w:hAnsi="方正小标宋_GBK" w:eastAsia="方正小标宋_GBK" w:cs="方正小标宋_GBK"/>
          <w:sz w:val="84"/>
          <w:szCs w:val="84"/>
        </w:rPr>
      </w:pPr>
    </w:p>
    <w:p w14:paraId="44A45077">
      <w:pPr>
        <w:pStyle w:val="3"/>
        <w:ind w:left="31680" w:firstLine="31680"/>
        <w:rPr>
          <w:rFonts w:ascii="方正小标宋_GBK" w:hAnsi="方正小标宋_GBK" w:eastAsia="方正小标宋_GBK" w:cs="方正小标宋_GBK"/>
          <w:sz w:val="84"/>
          <w:szCs w:val="84"/>
        </w:rPr>
      </w:pPr>
    </w:p>
    <w:p w14:paraId="3778E752">
      <w:pPr>
        <w:pStyle w:val="17"/>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5DDEF2FA">
      <w:pPr>
        <w:ind w:firstLine="700" w:firstLineChars="250"/>
        <w:jc w:val="left"/>
        <w:rPr>
          <w:rFonts w:ascii="宋体" w:cs="仿宋_GB2312"/>
          <w:sz w:val="28"/>
          <w:szCs w:val="28"/>
        </w:rPr>
      </w:pPr>
      <w:r>
        <w:rPr>
          <w:rFonts w:hint="eastAsia" w:ascii="宋体" w:hAnsi="宋体" w:cs="仿宋_GB2312"/>
          <w:sz w:val="28"/>
          <w:szCs w:val="28"/>
        </w:rPr>
        <w:t>（一）办公室负责行政协调、党务、宣传、人事、计生、工资福利及有关内部事务的管理；</w:t>
      </w:r>
    </w:p>
    <w:p w14:paraId="438A65B1">
      <w:pPr>
        <w:ind w:firstLine="700" w:firstLineChars="250"/>
        <w:jc w:val="left"/>
        <w:rPr>
          <w:rFonts w:ascii="宋体" w:cs="仿宋_GB2312"/>
          <w:sz w:val="28"/>
          <w:szCs w:val="28"/>
        </w:rPr>
      </w:pPr>
      <w:r>
        <w:rPr>
          <w:rFonts w:hint="eastAsia" w:ascii="宋体" w:hAnsi="宋体" w:cs="仿宋_GB2312"/>
          <w:sz w:val="28"/>
          <w:szCs w:val="28"/>
        </w:rPr>
        <w:t>（二）教务处负责学校教育教学常规管理，以及有关教育教学的场、馆、室和设备的管理；</w:t>
      </w:r>
    </w:p>
    <w:p w14:paraId="168B1B22">
      <w:pPr>
        <w:ind w:firstLine="700" w:firstLineChars="250"/>
        <w:jc w:val="left"/>
        <w:rPr>
          <w:rFonts w:ascii="宋体" w:cs="仿宋_GB2312"/>
          <w:sz w:val="28"/>
          <w:szCs w:val="28"/>
        </w:rPr>
      </w:pPr>
      <w:r>
        <w:rPr>
          <w:rFonts w:hint="eastAsia" w:ascii="宋体" w:hAnsi="宋体" w:cs="仿宋_GB2312"/>
          <w:sz w:val="28"/>
          <w:szCs w:val="28"/>
        </w:rPr>
        <w:t>（三）德育处负责学校德育工作、班主任工作管理和学生思想政治教育，抓好校园保卫和环保工作；</w:t>
      </w:r>
    </w:p>
    <w:p w14:paraId="2C79A7CB">
      <w:pPr>
        <w:ind w:firstLine="700" w:firstLineChars="250"/>
        <w:jc w:val="left"/>
        <w:rPr>
          <w:rFonts w:ascii="宋体" w:cs="仿宋_GB2312"/>
          <w:sz w:val="28"/>
          <w:szCs w:val="28"/>
        </w:rPr>
      </w:pPr>
      <w:r>
        <w:rPr>
          <w:rFonts w:hint="eastAsia" w:ascii="宋体" w:hAnsi="宋体" w:cs="仿宋_GB2312"/>
          <w:sz w:val="28"/>
          <w:szCs w:val="28"/>
        </w:rPr>
        <w:t>（四）教研处负责制定学校科研计划，指导教师开展教学科研和课题研究工作；</w:t>
      </w:r>
    </w:p>
    <w:p w14:paraId="45B76D7E">
      <w:pPr>
        <w:ind w:firstLine="700" w:firstLineChars="250"/>
        <w:jc w:val="left"/>
        <w:rPr>
          <w:rFonts w:ascii="宋体" w:cs="仿宋_GB2312"/>
          <w:sz w:val="28"/>
          <w:szCs w:val="28"/>
        </w:rPr>
      </w:pPr>
      <w:r>
        <w:rPr>
          <w:rFonts w:hint="eastAsia" w:ascii="宋体" w:hAnsi="宋体" w:cs="仿宋_GB2312"/>
          <w:sz w:val="28"/>
          <w:szCs w:val="28"/>
        </w:rPr>
        <w:t>（五）后勤处负责学校后勤事务、财务、物业管理，优化校园建设，指导后勤服务中心开展工作，发展校园经济。</w:t>
      </w:r>
    </w:p>
    <w:p w14:paraId="2AB4D21E">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ED58B2F">
      <w:pPr>
        <w:widowControl/>
        <w:spacing w:line="600" w:lineRule="exact"/>
        <w:ind w:firstLine="560" w:firstLineChars="200"/>
        <w:rPr>
          <w:rFonts w:ascii="宋体" w:cs="仿宋_GB2312"/>
          <w:bCs/>
          <w:kern w:val="0"/>
          <w:sz w:val="28"/>
          <w:szCs w:val="28"/>
        </w:rPr>
      </w:pPr>
      <w:r>
        <w:rPr>
          <w:rFonts w:hint="eastAsia" w:ascii="宋体" w:hAnsi="宋体" w:cs="仿宋_GB2312"/>
          <w:bCs/>
          <w:kern w:val="0"/>
          <w:sz w:val="28"/>
          <w:szCs w:val="28"/>
        </w:rPr>
        <w:t>（一）内设机构设置。我校现有组织机构</w:t>
      </w:r>
      <w:r>
        <w:rPr>
          <w:rFonts w:ascii="宋体" w:hAnsi="宋体" w:cs="仿宋_GB2312"/>
          <w:bCs/>
          <w:kern w:val="0"/>
          <w:sz w:val="28"/>
          <w:szCs w:val="28"/>
        </w:rPr>
        <w:t>1</w:t>
      </w:r>
      <w:r>
        <w:rPr>
          <w:rFonts w:hint="eastAsia" w:ascii="宋体" w:hAnsi="宋体" w:cs="仿宋_GB2312"/>
          <w:bCs/>
          <w:kern w:val="0"/>
          <w:sz w:val="28"/>
          <w:szCs w:val="28"/>
        </w:rPr>
        <w:t>个，</w:t>
      </w:r>
      <w:r>
        <w:rPr>
          <w:rFonts w:hint="eastAsia" w:ascii="宋体" w:hAnsi="宋体"/>
          <w:sz w:val="28"/>
          <w:szCs w:val="28"/>
          <w:shd w:val="clear" w:color="auto" w:fill="FFFFFF"/>
        </w:rPr>
        <w:t>党政办、教务处、政教处、教师发展中心、工会、信息中心、心理咨询中心、督导室、团委、财务中心、后勤处。</w:t>
      </w:r>
    </w:p>
    <w:p w14:paraId="084AD488">
      <w:pPr>
        <w:widowControl/>
        <w:spacing w:line="600" w:lineRule="exact"/>
        <w:ind w:firstLine="560" w:firstLineChars="200"/>
        <w:rPr>
          <w:rFonts w:ascii="宋体"/>
          <w:kern w:val="0"/>
          <w:sz w:val="28"/>
          <w:szCs w:val="28"/>
        </w:rPr>
      </w:pPr>
      <w:r>
        <w:rPr>
          <w:rFonts w:hint="eastAsia" w:ascii="宋体" w:hAnsi="宋体"/>
          <w:kern w:val="0"/>
          <w:sz w:val="28"/>
          <w:szCs w:val="28"/>
        </w:rPr>
        <w:t>（二）决算单位构成。本单位无独立核算的下属单位，</w:t>
      </w:r>
      <w:r>
        <w:rPr>
          <w:rFonts w:ascii="宋体" w:hAnsi="宋体"/>
          <w:kern w:val="0"/>
          <w:sz w:val="28"/>
          <w:szCs w:val="28"/>
        </w:rPr>
        <w:t>2022</w:t>
      </w:r>
      <w:r>
        <w:rPr>
          <w:rFonts w:hint="eastAsia" w:ascii="宋体" w:hAnsi="宋体"/>
          <w:kern w:val="0"/>
          <w:sz w:val="28"/>
          <w:szCs w:val="28"/>
        </w:rPr>
        <w:t>年度部门决算汇总公开单位仅包括岳阳市第十五中学单位本级结算。</w:t>
      </w:r>
    </w:p>
    <w:p w14:paraId="67788353"/>
    <w:p w14:paraId="6D01CA26">
      <w:pPr>
        <w:pStyle w:val="2"/>
      </w:pPr>
    </w:p>
    <w:p w14:paraId="709EFA3C"/>
    <w:p w14:paraId="104082AB">
      <w:pPr>
        <w:pStyle w:val="16"/>
        <w:jc w:val="center"/>
        <w:rPr>
          <w:rFonts w:ascii="方正小标宋_GBK" w:hAnsi="方正小标宋_GBK" w:eastAsia="方正小标宋_GBK" w:cs="方正小标宋_GBK"/>
          <w:sz w:val="84"/>
          <w:szCs w:val="84"/>
        </w:rPr>
      </w:pPr>
    </w:p>
    <w:p w14:paraId="61B65329">
      <w:pPr>
        <w:pStyle w:val="16"/>
        <w:jc w:val="center"/>
        <w:rPr>
          <w:rFonts w:ascii="方正小标宋_GBK" w:hAnsi="方正小标宋_GBK" w:eastAsia="方正小标宋_GBK" w:cs="方正小标宋_GBK"/>
          <w:sz w:val="84"/>
          <w:szCs w:val="84"/>
        </w:rPr>
      </w:pPr>
    </w:p>
    <w:p w14:paraId="589CCE52">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D259F35">
      <w:pPr>
        <w:pStyle w:val="16"/>
        <w:jc w:val="center"/>
        <w:rPr>
          <w:rFonts w:ascii="方正小标宋_GBK" w:hAnsi="方正小标宋_GBK" w:eastAsia="方正小标宋_GBK" w:cs="方正小标宋_GBK"/>
          <w:sz w:val="84"/>
          <w:szCs w:val="84"/>
        </w:rPr>
      </w:pPr>
    </w:p>
    <w:p w14:paraId="192754F3">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71640F3">
      <w:pPr>
        <w:pStyle w:val="16"/>
        <w:jc w:val="center"/>
        <w:rPr>
          <w:rFonts w:ascii="仿宋_GB2312" w:hAnsi="仿宋_GB2312" w:eastAsia="仿宋_GB2312" w:cs="仿宋_GB2312"/>
          <w:sz w:val="72"/>
          <w:szCs w:val="72"/>
        </w:rPr>
      </w:pPr>
      <w:r>
        <w:rPr>
          <w:rFonts w:hint="eastAsia" w:ascii="仿宋_GB2312" w:hAnsi="仿宋_GB2312" w:eastAsia="仿宋_GB2312" w:cs="仿宋_GB2312"/>
          <w:sz w:val="72"/>
          <w:szCs w:val="72"/>
        </w:rPr>
        <w:t>（见附件）</w:t>
      </w:r>
    </w:p>
    <w:p w14:paraId="3EC83195">
      <w:pPr>
        <w:pStyle w:val="16"/>
        <w:jc w:val="center"/>
        <w:rPr>
          <w:rFonts w:ascii="仿宋_GB2312" w:hAnsi="仿宋_GB2312" w:eastAsia="仿宋_GB2312" w:cs="仿宋_GB2312"/>
          <w:sz w:val="72"/>
          <w:szCs w:val="72"/>
        </w:rPr>
      </w:pPr>
    </w:p>
    <w:p w14:paraId="3CA7383C">
      <w:pPr>
        <w:pStyle w:val="16"/>
        <w:jc w:val="center"/>
        <w:rPr>
          <w:rFonts w:ascii="仿宋_GB2312" w:hAnsi="仿宋_GB2312" w:eastAsia="仿宋_GB2312" w:cs="仿宋_GB2312"/>
          <w:sz w:val="72"/>
          <w:szCs w:val="72"/>
        </w:rPr>
      </w:pPr>
    </w:p>
    <w:p w14:paraId="081F85E3">
      <w:pPr>
        <w:pStyle w:val="16"/>
        <w:jc w:val="center"/>
        <w:rPr>
          <w:rFonts w:ascii="仿宋_GB2312" w:hAnsi="仿宋_GB2312" w:eastAsia="仿宋_GB2312" w:cs="仿宋_GB2312"/>
          <w:sz w:val="72"/>
          <w:szCs w:val="72"/>
        </w:rPr>
      </w:pPr>
    </w:p>
    <w:p w14:paraId="51771679">
      <w:pPr>
        <w:pStyle w:val="16"/>
        <w:jc w:val="center"/>
        <w:rPr>
          <w:rFonts w:ascii="仿宋_GB2312" w:hAnsi="仿宋_GB2312" w:eastAsia="仿宋_GB2312" w:cs="仿宋_GB2312"/>
          <w:sz w:val="72"/>
          <w:szCs w:val="72"/>
        </w:rPr>
      </w:pPr>
    </w:p>
    <w:p w14:paraId="0854C7DD">
      <w:pPr>
        <w:pStyle w:val="16"/>
        <w:jc w:val="center"/>
        <w:rPr>
          <w:rFonts w:ascii="仿宋_GB2312" w:hAnsi="仿宋_GB2312" w:eastAsia="仿宋_GB2312" w:cs="仿宋_GB2312"/>
          <w:sz w:val="72"/>
          <w:szCs w:val="72"/>
        </w:rPr>
      </w:pPr>
    </w:p>
    <w:p w14:paraId="248C5535">
      <w:pPr>
        <w:pStyle w:val="16"/>
        <w:jc w:val="center"/>
        <w:rPr>
          <w:rFonts w:ascii="仿宋_GB2312" w:hAnsi="仿宋_GB2312" w:eastAsia="仿宋_GB2312" w:cs="仿宋_GB2312"/>
          <w:sz w:val="72"/>
          <w:szCs w:val="72"/>
        </w:rPr>
      </w:pPr>
    </w:p>
    <w:p w14:paraId="2EA90677">
      <w:pPr>
        <w:pStyle w:val="16"/>
        <w:jc w:val="center"/>
        <w:rPr>
          <w:rFonts w:ascii="仿宋_GB2312" w:hAnsi="仿宋_GB2312" w:eastAsia="仿宋_GB2312" w:cs="仿宋_GB2312"/>
          <w:sz w:val="72"/>
          <w:szCs w:val="72"/>
        </w:rPr>
      </w:pPr>
    </w:p>
    <w:p w14:paraId="156C07C2">
      <w:pPr>
        <w:pStyle w:val="16"/>
        <w:jc w:val="center"/>
        <w:rPr>
          <w:rFonts w:ascii="方正小标宋_GBK" w:hAnsi="方正小标宋_GBK" w:eastAsia="方正小标宋_GBK" w:cs="方正小标宋_GBK"/>
          <w:sz w:val="72"/>
          <w:szCs w:val="72"/>
        </w:rPr>
      </w:pPr>
    </w:p>
    <w:p w14:paraId="6234D417">
      <w:pPr>
        <w:pStyle w:val="16"/>
        <w:jc w:val="center"/>
        <w:rPr>
          <w:rFonts w:ascii="方正小标宋_GBK" w:hAnsi="方正小标宋_GBK" w:eastAsia="方正小标宋_GBK" w:cs="方正小标宋_GBK"/>
          <w:sz w:val="72"/>
          <w:szCs w:val="72"/>
        </w:rPr>
      </w:pPr>
    </w:p>
    <w:p w14:paraId="36C32700">
      <w:pPr>
        <w:pStyle w:val="16"/>
        <w:jc w:val="both"/>
        <w:rPr>
          <w:rFonts w:ascii="方正小标宋_GBK" w:hAnsi="方正小标宋_GBK" w:eastAsia="方正小标宋_GBK" w:cs="方正小标宋_GBK"/>
          <w:sz w:val="72"/>
          <w:szCs w:val="72"/>
        </w:rPr>
      </w:pPr>
    </w:p>
    <w:p w14:paraId="1E5E22F6">
      <w:pPr>
        <w:pStyle w:val="16"/>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86A6884">
      <w:pPr>
        <w:pStyle w:val="16"/>
        <w:jc w:val="center"/>
        <w:rPr>
          <w:rFonts w:ascii="方正小标宋_GBK" w:hAnsi="方正小标宋_GBK" w:eastAsia="方正小标宋_GBK" w:cs="方正小标宋_GBK"/>
          <w:sz w:val="70"/>
          <w:szCs w:val="70"/>
        </w:rPr>
      </w:pPr>
    </w:p>
    <w:p w14:paraId="36B928BB">
      <w:pPr>
        <w:pStyle w:val="16"/>
        <w:jc w:val="center"/>
        <w:rPr>
          <w:rFonts w:ascii="方正小标宋_GBK" w:hAnsi="方正小标宋_GBK" w:eastAsia="方正小标宋_GBK" w:cs="方正小标宋_GBK"/>
          <w:sz w:val="70"/>
          <w:szCs w:val="70"/>
        </w:rPr>
      </w:pPr>
      <w:r>
        <w:rPr>
          <w:rFonts w:ascii="方正小标宋_GBK" w:hAnsi="方正小标宋_GBK" w:eastAsia="方正小标宋_GBK" w:cs="方正小标宋_GBK"/>
          <w:sz w:val="70"/>
          <w:szCs w:val="70"/>
        </w:rPr>
        <w:t>2023</w:t>
      </w:r>
      <w:r>
        <w:rPr>
          <w:rFonts w:hint="eastAsia" w:ascii="方正小标宋_GBK" w:hAnsi="方正小标宋_GBK" w:eastAsia="方正小标宋_GBK" w:cs="方正小标宋_GBK"/>
          <w:sz w:val="70"/>
          <w:szCs w:val="70"/>
        </w:rPr>
        <w:t>年度部门决算情况说明</w:t>
      </w:r>
    </w:p>
    <w:p w14:paraId="1216B12A">
      <w:pPr>
        <w:pStyle w:val="16"/>
        <w:jc w:val="center"/>
        <w:rPr>
          <w:rFonts w:ascii="方正小标宋_GBK" w:hAnsi="方正小标宋_GBK" w:eastAsia="方正小标宋_GBK" w:cs="方正小标宋_GBK"/>
          <w:sz w:val="70"/>
          <w:szCs w:val="70"/>
        </w:rPr>
      </w:pPr>
    </w:p>
    <w:p w14:paraId="57B089C1">
      <w:pPr>
        <w:pStyle w:val="16"/>
        <w:jc w:val="center"/>
        <w:rPr>
          <w:rFonts w:ascii="方正小标宋_GBK" w:hAnsi="方正小标宋_GBK" w:eastAsia="方正小标宋_GBK" w:cs="方正小标宋_GBK"/>
          <w:sz w:val="70"/>
          <w:szCs w:val="70"/>
        </w:rPr>
      </w:pPr>
    </w:p>
    <w:p w14:paraId="210954CB">
      <w:pPr>
        <w:pStyle w:val="16"/>
        <w:jc w:val="center"/>
        <w:rPr>
          <w:rFonts w:ascii="方正小标宋_GBK" w:hAnsi="方正小标宋_GBK" w:eastAsia="方正小标宋_GBK" w:cs="方正小标宋_GBK"/>
          <w:sz w:val="70"/>
          <w:szCs w:val="70"/>
        </w:rPr>
      </w:pPr>
    </w:p>
    <w:p w14:paraId="477D268A">
      <w:pPr>
        <w:pStyle w:val="16"/>
        <w:jc w:val="center"/>
        <w:rPr>
          <w:rFonts w:ascii="方正小标宋_GBK" w:hAnsi="方正小标宋_GBK" w:eastAsia="方正小标宋_GBK" w:cs="方正小标宋_GBK"/>
          <w:sz w:val="70"/>
          <w:szCs w:val="70"/>
        </w:rPr>
      </w:pPr>
    </w:p>
    <w:p w14:paraId="0D3AD5C4">
      <w:pPr>
        <w:pStyle w:val="16"/>
        <w:jc w:val="center"/>
        <w:rPr>
          <w:rFonts w:ascii="方正小标宋_GBK" w:hAnsi="方正小标宋_GBK" w:eastAsia="方正小标宋_GBK" w:cs="方正小标宋_GBK"/>
          <w:sz w:val="70"/>
          <w:szCs w:val="70"/>
        </w:rPr>
      </w:pPr>
    </w:p>
    <w:p w14:paraId="2D88D0BA">
      <w:pPr>
        <w:pStyle w:val="16"/>
        <w:jc w:val="center"/>
        <w:rPr>
          <w:rFonts w:ascii="方正小标宋_GBK" w:hAnsi="方正小标宋_GBK" w:eastAsia="方正小标宋_GBK" w:cs="方正小标宋_GBK"/>
          <w:sz w:val="70"/>
          <w:szCs w:val="70"/>
        </w:rPr>
      </w:pPr>
    </w:p>
    <w:p w14:paraId="3B49F129">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（说明：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、由于部门决算编制时数据明细至“金额单位：元”，而本套部门决算文字说明和公开表格数据取数转换为“金额单位：万元”，可能导致以下文字说明中的各项数据取数以及公开表格中的各项数据取数之间存在</w:t>
      </w:r>
      <w:r>
        <w:rPr>
          <w:rFonts w:ascii="仿宋_GB2312" w:hAnsi="仿宋_GB2312" w:eastAsia="仿宋_GB2312" w:cs="仿宋_GB2312"/>
          <w:sz w:val="32"/>
          <w:szCs w:val="32"/>
        </w:rPr>
        <w:t>0.01</w:t>
      </w:r>
      <w:r>
        <w:rPr>
          <w:rFonts w:hint="eastAsia" w:ascii="仿宋_GB2312" w:hAnsi="仿宋_GB2312" w:eastAsia="仿宋_GB2312" w:cs="仿宋_GB2312"/>
          <w:sz w:val="32"/>
          <w:szCs w:val="32"/>
        </w:rPr>
        <w:t>的尾数差异。</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、以下文字说明中，部分科目由于预算数为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，无法计算完成年初预算的百分比，故未描述“完成年初预算的</w:t>
      </w:r>
      <w:r>
        <w:rPr>
          <w:rFonts w:ascii="仿宋_GB2312" w:hAnsi="仿宋_GB2312" w:eastAsia="仿宋_GB2312" w:cs="仿宋_GB2312"/>
          <w:sz w:val="32"/>
          <w:szCs w:val="32"/>
        </w:rPr>
        <w:t>XX%</w:t>
      </w:r>
      <w:r>
        <w:rPr>
          <w:rFonts w:hint="eastAsia" w:ascii="仿宋_GB2312" w:hAnsi="仿宋_GB2312" w:eastAsia="仿宋_GB2312" w:cs="仿宋_GB2312"/>
          <w:sz w:val="32"/>
          <w:szCs w:val="32"/>
        </w:rPr>
        <w:t>”。）</w:t>
      </w:r>
    </w:p>
    <w:p w14:paraId="4FFD3A02">
      <w:pPr>
        <w:pStyle w:val="16"/>
        <w:spacing w:line="600" w:lineRule="exact"/>
        <w:ind w:firstLine="640" w:firstLineChars="200"/>
        <w:rPr>
          <w:rFonts w:hAnsi="黑体"/>
          <w:bCs/>
          <w:sz w:val="32"/>
          <w:szCs w:val="32"/>
        </w:rPr>
      </w:pPr>
      <w:r>
        <w:rPr>
          <w:rFonts w:hint="eastAsia" w:hAnsi="黑体"/>
          <w:bCs/>
          <w:sz w:val="32"/>
          <w:szCs w:val="32"/>
        </w:rPr>
        <w:t>一、收入支出决算总体情况说明</w:t>
      </w:r>
    </w:p>
    <w:p w14:paraId="09DE0833">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年度收、支总计</w:t>
      </w:r>
      <w:r>
        <w:rPr>
          <w:rFonts w:ascii="仿宋_GB2312" w:hAnsi="仿宋_GB2312" w:eastAsia="仿宋_GB2312" w:cs="仿宋_GB2312"/>
          <w:sz w:val="32"/>
          <w:szCs w:val="32"/>
        </w:rPr>
        <w:t>5946.74</w:t>
      </w:r>
      <w:r>
        <w:rPr>
          <w:rFonts w:hint="eastAsia" w:ascii="仿宋_GB2312" w:hAnsi="仿宋_GB2312" w:eastAsia="仿宋_GB2312" w:cs="仿宋_GB2312"/>
          <w:sz w:val="32"/>
          <w:szCs w:val="32"/>
        </w:rPr>
        <w:t>万元。与上年相比，减少</w:t>
      </w:r>
      <w:r>
        <w:rPr>
          <w:rFonts w:ascii="仿宋_GB2312" w:hAnsi="仿宋_GB2312" w:eastAsia="仿宋_GB2312" w:cs="仿宋_GB2312"/>
          <w:sz w:val="32"/>
          <w:szCs w:val="32"/>
        </w:rPr>
        <w:t>118.61</w:t>
      </w:r>
      <w:r>
        <w:rPr>
          <w:rFonts w:hint="eastAsia" w:ascii="仿宋_GB2312" w:hAnsi="仿宋_GB2312" w:eastAsia="仿宋_GB2312" w:cs="仿宋_GB2312"/>
          <w:sz w:val="32"/>
          <w:szCs w:val="32"/>
        </w:rPr>
        <w:t>万元，增长减少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，主要是因为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年财政追加下拨了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月在职和退休教师增量绩效，</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年为正常的下拨在职和退休教师增量绩效。</w:t>
      </w:r>
    </w:p>
    <w:p w14:paraId="6972522F">
      <w:pPr>
        <w:pStyle w:val="16"/>
        <w:spacing w:line="600" w:lineRule="exact"/>
        <w:ind w:firstLine="640" w:firstLineChars="200"/>
        <w:rPr>
          <w:rFonts w:hAnsi="黑体"/>
          <w:bCs/>
          <w:sz w:val="32"/>
          <w:szCs w:val="32"/>
        </w:rPr>
      </w:pPr>
      <w:r>
        <w:rPr>
          <w:rFonts w:hint="eastAsia" w:hAnsi="黑体"/>
          <w:bCs/>
          <w:sz w:val="32"/>
          <w:szCs w:val="32"/>
        </w:rPr>
        <w:t>二、收入决算情况说明</w:t>
      </w:r>
    </w:p>
    <w:p w14:paraId="157C56CA">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5946.74</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4454.31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74.9%</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562.48</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9.46%</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929.95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15.64%</w:t>
      </w:r>
      <w:r>
        <w:rPr>
          <w:rFonts w:hint="eastAsia" w:ascii="仿宋_GB2312" w:hAnsi="仿宋_GB2312" w:eastAsia="仿宋_GB2312" w:cs="仿宋_GB2312"/>
          <w:sz w:val="32"/>
          <w:szCs w:val="32"/>
        </w:rPr>
        <w:t>。</w:t>
      </w:r>
    </w:p>
    <w:p w14:paraId="4B300A41">
      <w:pPr>
        <w:autoSpaceDE w:val="0"/>
        <w:autoSpaceDN w:val="0"/>
        <w:adjustRightInd w:val="0"/>
        <w:rPr>
          <w:rFonts w:ascii="仿宋_GB2312" w:hAnsi="仿宋_GB2312" w:eastAsia="仿宋_GB2312" w:cs="仿宋_GB2312"/>
          <w:color w:val="000000"/>
          <w:kern w:val="0"/>
          <w:sz w:val="32"/>
          <w:szCs w:val="32"/>
        </w:rPr>
      </w:pPr>
    </w:p>
    <w:p w14:paraId="15E8A791">
      <w:pPr>
        <w:pStyle w:val="16"/>
        <w:spacing w:line="600" w:lineRule="exact"/>
        <w:ind w:firstLine="640" w:firstLineChars="200"/>
        <w:rPr>
          <w:rFonts w:hAnsi="黑体"/>
          <w:bCs/>
          <w:sz w:val="32"/>
          <w:szCs w:val="32"/>
        </w:rPr>
      </w:pPr>
      <w:r>
        <w:rPr>
          <w:rFonts w:hint="eastAsia" w:hAnsi="黑体"/>
          <w:bCs/>
          <w:sz w:val="32"/>
          <w:szCs w:val="32"/>
        </w:rPr>
        <w:t>三、支出决算情况说明</w:t>
      </w:r>
    </w:p>
    <w:p w14:paraId="22418BB3">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5946.7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4997.56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84.04%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949.1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15.96%</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14:paraId="1FE5B001">
      <w:pPr>
        <w:autoSpaceDE w:val="0"/>
        <w:autoSpaceDN w:val="0"/>
        <w:adjustRightInd w:val="0"/>
        <w:ind w:firstLine="640" w:firstLineChars="200"/>
        <w:rPr>
          <w:rFonts w:ascii="仿宋_GB2312" w:hAnsi="仿宋_GB2312" w:eastAsia="仿宋_GB2312" w:cs="仿宋_GB2312"/>
          <w:color w:val="000000"/>
          <w:kern w:val="0"/>
          <w:sz w:val="32"/>
          <w:szCs w:val="32"/>
        </w:rPr>
      </w:pPr>
    </w:p>
    <w:p w14:paraId="6BE48C06">
      <w:pPr>
        <w:pStyle w:val="16"/>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63855EF0">
      <w:pPr>
        <w:pStyle w:val="16"/>
        <w:spacing w:line="600" w:lineRule="exact"/>
        <w:rPr>
          <w:rFonts w:ascii="仿宋_GB2312" w:hAnsi="仿宋_GB2312" w:eastAsia="仿宋_GB2312" w:cs="仿宋_GB2312"/>
          <w:sz w:val="32"/>
          <w:szCs w:val="32"/>
        </w:rPr>
      </w:pPr>
      <w:r>
        <w:rPr>
          <w:rFonts w:ascii="Times New Roman" w:hAnsi="Times New Roman" w:eastAsia="仿宋_GB2312"/>
          <w:sz w:val="32"/>
          <w:szCs w:val="32"/>
        </w:rPr>
        <w:t xml:space="preserve">   </w:t>
      </w:r>
      <w:r>
        <w:rPr>
          <w:rFonts w:ascii="仿宋_GB2312" w:hAnsi="仿宋_GB2312" w:eastAsia="仿宋_GB2312" w:cs="仿宋_GB2312"/>
          <w:sz w:val="32"/>
          <w:szCs w:val="32"/>
        </w:rPr>
        <w:t xml:space="preserve"> 2023</w:t>
      </w:r>
      <w:r>
        <w:rPr>
          <w:rFonts w:hint="eastAsia" w:ascii="仿宋_GB2312" w:hAnsi="仿宋_GB2312" w:eastAsia="仿宋_GB2312" w:cs="仿宋_GB2312"/>
          <w:sz w:val="32"/>
          <w:szCs w:val="32"/>
        </w:rPr>
        <w:t>年度财政拨款收、支总计</w:t>
      </w:r>
      <w:r>
        <w:rPr>
          <w:rFonts w:ascii="仿宋_GB2312" w:hAnsi="仿宋_GB2312" w:eastAsia="仿宋_GB2312" w:cs="仿宋_GB2312"/>
          <w:sz w:val="32"/>
          <w:szCs w:val="32"/>
        </w:rPr>
        <w:t>4454.31</w:t>
      </w:r>
      <w:r>
        <w:rPr>
          <w:rFonts w:hint="eastAsia" w:ascii="仿宋_GB2312" w:hAnsi="仿宋_GB2312" w:eastAsia="仿宋_GB2312" w:cs="仿宋_GB2312"/>
          <w:sz w:val="32"/>
          <w:szCs w:val="32"/>
        </w:rPr>
        <w:t>万元，与上年相比，增加</w:t>
      </w:r>
      <w:r>
        <w:rPr>
          <w:rFonts w:ascii="仿宋_GB2312" w:hAnsi="仿宋_GB2312" w:eastAsia="仿宋_GB2312" w:cs="仿宋_GB2312"/>
          <w:sz w:val="32"/>
          <w:szCs w:val="32"/>
        </w:rPr>
        <w:t>266.21</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增长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，主要是因为我校</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年新增了标准化考点双电源项目和校园西边围墙及体育馆、食堂外墙安全隐患整改项目的资金。</w:t>
      </w:r>
    </w:p>
    <w:p w14:paraId="0E987554">
      <w:pPr>
        <w:pStyle w:val="16"/>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34C3D57F">
      <w:pPr>
        <w:pStyle w:val="16"/>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（一）一般公共预算财政拨款支出决算总体情况</w:t>
      </w:r>
    </w:p>
    <w:p w14:paraId="796C4E19">
      <w:pPr>
        <w:pStyle w:val="16"/>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年度财政拨款支出</w:t>
      </w:r>
      <w:r>
        <w:rPr>
          <w:rFonts w:ascii="仿宋_GB2312" w:hAnsi="仿宋_GB2312" w:eastAsia="仿宋_GB2312" w:cs="仿宋_GB2312"/>
          <w:sz w:val="32"/>
          <w:szCs w:val="32"/>
        </w:rPr>
        <w:t>4454.31</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74.9%</w:t>
      </w:r>
      <w:r>
        <w:rPr>
          <w:rFonts w:hint="eastAsia" w:ascii="仿宋_GB2312" w:hAnsi="仿宋_GB2312" w:eastAsia="仿宋_GB2312" w:cs="仿宋_GB2312"/>
          <w:sz w:val="32"/>
          <w:szCs w:val="32"/>
        </w:rPr>
        <w:t>，与上年相比，财政拨款支出增加</w:t>
      </w:r>
      <w:r>
        <w:rPr>
          <w:rFonts w:ascii="仿宋_GB2312" w:hAnsi="仿宋_GB2312" w:eastAsia="仿宋_GB2312" w:cs="仿宋_GB2312"/>
          <w:sz w:val="32"/>
          <w:szCs w:val="32"/>
        </w:rPr>
        <w:t>266.21</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，主要是因为我校</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年新增了标准化考点双电源项目和校园西边围墙及体育馆、食堂外墙安全隐患整改项目的资金。</w:t>
      </w:r>
    </w:p>
    <w:p w14:paraId="2EEE094B">
      <w:pPr>
        <w:pStyle w:val="16"/>
        <w:spacing w:line="600" w:lineRule="exact"/>
        <w:ind w:firstLine="480" w:firstLineChars="150"/>
        <w:rPr>
          <w:rFonts w:ascii="仿宋_GB2312" w:hAnsi="仿宋_GB2312" w:eastAsia="仿宋_GB2312" w:cs="仿宋_GB2312"/>
          <w:i/>
          <w:iCs/>
          <w:color w:val="FF0000"/>
          <w:sz w:val="32"/>
          <w:szCs w:val="32"/>
        </w:rPr>
      </w:pPr>
    </w:p>
    <w:p w14:paraId="75B59C92">
      <w:pPr>
        <w:pStyle w:val="16"/>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（二）一般公共预算财政拨款支出决算结构情况</w:t>
      </w:r>
    </w:p>
    <w:p w14:paraId="3ACCD45D">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年度财政拨款支出</w:t>
      </w:r>
      <w:r>
        <w:rPr>
          <w:rFonts w:ascii="仿宋_GB2312" w:hAnsi="仿宋_GB2312" w:eastAsia="仿宋_GB2312" w:cs="仿宋_GB2312"/>
          <w:sz w:val="32"/>
          <w:szCs w:val="32"/>
        </w:rPr>
        <w:t>4454.31</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一般公共服务（类）支出</w:t>
      </w:r>
      <w:r>
        <w:rPr>
          <w:rFonts w:ascii="Times New Roman" w:hAnsi="Times New Roman" w:eastAsia="仿宋_GB2312"/>
          <w:sz w:val="32"/>
          <w:szCs w:val="32"/>
        </w:rPr>
        <w:t>0</w:t>
      </w:r>
      <w:r>
        <w:rPr>
          <w:rFonts w:hint="eastAsia" w:ascii="Times New Roman" w:hAnsi="Times New Roman" w:eastAsia="仿宋_GB2312"/>
          <w:sz w:val="32"/>
          <w:szCs w:val="32"/>
        </w:rPr>
        <w:t>万元，占</w:t>
      </w:r>
      <w:r>
        <w:rPr>
          <w:rFonts w:ascii="Times New Roman" w:hAnsi="Times New Roman" w:eastAsia="仿宋_GB2312"/>
          <w:sz w:val="32"/>
          <w:szCs w:val="32"/>
        </w:rPr>
        <w:t>0%</w:t>
      </w:r>
      <w:r>
        <w:rPr>
          <w:rFonts w:hint="eastAsia" w:ascii="Times New Roman" w:hAnsi="Times New Roman" w:eastAsia="仿宋_GB2312"/>
          <w:sz w:val="32"/>
          <w:szCs w:val="32"/>
        </w:rPr>
        <w:t>；教育（类）支出</w:t>
      </w:r>
      <w:r>
        <w:rPr>
          <w:rFonts w:ascii="Times New Roman" w:hAnsi="Times New Roman" w:eastAsia="仿宋_GB2312"/>
          <w:sz w:val="32"/>
          <w:szCs w:val="32"/>
        </w:rPr>
        <w:t>3554.54</w:t>
      </w:r>
      <w:r>
        <w:rPr>
          <w:rFonts w:hint="eastAsia" w:ascii="Times New Roman" w:hAnsi="Times New Roman" w:eastAsia="仿宋_GB2312"/>
          <w:sz w:val="32"/>
          <w:szCs w:val="32"/>
        </w:rPr>
        <w:t>万元，占</w:t>
      </w:r>
      <w:r>
        <w:rPr>
          <w:rFonts w:ascii="Times New Roman" w:hAnsi="Times New Roman" w:eastAsia="仿宋_GB2312"/>
          <w:sz w:val="32"/>
          <w:szCs w:val="32"/>
        </w:rPr>
        <w:t>79.80%;</w:t>
      </w:r>
      <w:r>
        <w:rPr>
          <w:rFonts w:hint="eastAsia" w:ascii="宋体" w:hAnsi="宋体" w:eastAsia="宋体"/>
          <w:sz w:val="32"/>
          <w:szCs w:val="32"/>
          <w:highlight w:val="white"/>
        </w:rPr>
        <w:t>社会保障和就业（类）支出</w:t>
      </w:r>
      <w:r>
        <w:rPr>
          <w:rFonts w:ascii="宋体" w:hAnsi="宋体" w:eastAsia="宋体"/>
          <w:sz w:val="32"/>
          <w:szCs w:val="32"/>
          <w:highlight w:val="white"/>
        </w:rPr>
        <w:t>403.34</w:t>
      </w:r>
      <w:r>
        <w:rPr>
          <w:rFonts w:hint="eastAsia" w:ascii="宋体" w:hAnsi="宋体" w:eastAsia="宋体"/>
          <w:sz w:val="32"/>
          <w:szCs w:val="32"/>
          <w:highlight w:val="white"/>
        </w:rPr>
        <w:t>万元，占</w:t>
      </w:r>
      <w:r>
        <w:rPr>
          <w:rFonts w:ascii="宋体" w:hAnsi="宋体" w:eastAsia="宋体"/>
          <w:sz w:val="32"/>
          <w:szCs w:val="32"/>
          <w:highlight w:val="white"/>
        </w:rPr>
        <w:t>9.05%</w:t>
      </w:r>
      <w:r>
        <w:rPr>
          <w:rFonts w:hint="eastAsia" w:ascii="宋体" w:hAnsi="宋体" w:eastAsia="宋体"/>
          <w:sz w:val="32"/>
          <w:szCs w:val="32"/>
          <w:highlight w:val="white"/>
        </w:rPr>
        <w:t>；卫生健康（类）支出</w:t>
      </w:r>
      <w:r>
        <w:rPr>
          <w:rFonts w:ascii="宋体" w:hAnsi="宋体" w:eastAsia="宋体"/>
          <w:sz w:val="32"/>
          <w:szCs w:val="32"/>
          <w:highlight w:val="white"/>
        </w:rPr>
        <w:t>239.90</w:t>
      </w:r>
      <w:r>
        <w:rPr>
          <w:rFonts w:hint="eastAsia" w:ascii="宋体" w:hAnsi="宋体" w:eastAsia="宋体"/>
          <w:sz w:val="32"/>
          <w:szCs w:val="32"/>
          <w:highlight w:val="white"/>
        </w:rPr>
        <w:t>万元，占</w:t>
      </w:r>
      <w:r>
        <w:rPr>
          <w:rFonts w:ascii="宋体" w:hAnsi="宋体" w:eastAsia="宋体"/>
          <w:sz w:val="32"/>
          <w:szCs w:val="32"/>
          <w:highlight w:val="white"/>
        </w:rPr>
        <w:t>5.39%</w:t>
      </w:r>
      <w:r>
        <w:rPr>
          <w:rFonts w:hint="eastAsia" w:ascii="宋体" w:hAnsi="宋体" w:eastAsia="宋体"/>
          <w:sz w:val="32"/>
          <w:szCs w:val="32"/>
        </w:rPr>
        <w:t>；住房保障支出</w:t>
      </w:r>
      <w:r>
        <w:rPr>
          <w:rFonts w:ascii="宋体" w:hAnsi="宋体" w:eastAsia="宋体"/>
          <w:sz w:val="32"/>
          <w:szCs w:val="32"/>
        </w:rPr>
        <w:t>256.53</w:t>
      </w:r>
      <w:r>
        <w:rPr>
          <w:rFonts w:hint="eastAsia" w:ascii="宋体" w:hAnsi="宋体" w:eastAsia="宋体"/>
          <w:sz w:val="32"/>
          <w:szCs w:val="32"/>
        </w:rPr>
        <w:t>，占</w:t>
      </w:r>
      <w:r>
        <w:rPr>
          <w:rFonts w:ascii="宋体" w:hAnsi="宋体" w:eastAsia="宋体"/>
          <w:sz w:val="32"/>
          <w:szCs w:val="32"/>
        </w:rPr>
        <w:t>5.76%</w:t>
      </w:r>
      <w:r>
        <w:rPr>
          <w:rFonts w:hint="eastAsia" w:ascii="宋体" w:hAnsi="宋体" w:eastAsia="宋体"/>
          <w:sz w:val="28"/>
        </w:rPr>
        <w:t>。</w:t>
      </w:r>
    </w:p>
    <w:p w14:paraId="46C5C2BD">
      <w:pPr>
        <w:pStyle w:val="16"/>
        <w:spacing w:line="600" w:lineRule="exact"/>
        <w:ind w:firstLine="800" w:firstLineChars="2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（三）一般公共预算财政拨款支出决算具体情况</w:t>
      </w:r>
    </w:p>
    <w:p w14:paraId="28463C22">
      <w:pPr>
        <w:pStyle w:val="16"/>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年度财政拨款支出年初预算数为</w:t>
      </w:r>
      <w:r>
        <w:rPr>
          <w:rFonts w:ascii="仿宋_GB2312" w:hAnsi="仿宋_GB2312" w:eastAsia="仿宋_GB2312" w:cs="仿宋_GB2312"/>
          <w:sz w:val="32"/>
          <w:szCs w:val="32"/>
        </w:rPr>
        <w:t>3557.09</w:t>
      </w:r>
      <w:r>
        <w:rPr>
          <w:rFonts w:hint="eastAsia" w:ascii="仿宋_GB2312" w:hAnsi="仿宋_GB2312" w:eastAsia="仿宋_GB2312" w:cs="仿宋_GB2312"/>
          <w:sz w:val="32"/>
          <w:szCs w:val="32"/>
        </w:rPr>
        <w:t>万元，支出决算数为</w:t>
      </w:r>
      <w:r>
        <w:rPr>
          <w:rFonts w:ascii="仿宋_GB2312" w:hAnsi="仿宋_GB2312" w:eastAsia="仿宋_GB2312" w:cs="仿宋_GB2312"/>
          <w:sz w:val="32"/>
          <w:szCs w:val="32"/>
        </w:rPr>
        <w:t>4454.31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14:paraId="71D08600">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、一般公共服务（类）行政运行支出（款）行政事业单位支出（项）。</w:t>
      </w:r>
    </w:p>
    <w:p w14:paraId="1812E972">
      <w:pPr>
        <w:pStyle w:val="16"/>
        <w:spacing w:line="600" w:lineRule="exact"/>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39.69</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年初预算数的主要原因为财政下拨综合绩效平安建设奖。</w:t>
      </w:r>
    </w:p>
    <w:p w14:paraId="2B54ECA3">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、一般公共服务（类）教育支出普通教育（款）</w:t>
      </w:r>
      <w:r>
        <w:rPr>
          <w:rFonts w:hint="eastAsia" w:ascii="宋体" w:hAnsi="宋体" w:eastAsia="宋体"/>
          <w:sz w:val="32"/>
          <w:szCs w:val="32"/>
        </w:rPr>
        <w:t>高中教育</w:t>
      </w:r>
      <w:r>
        <w:rPr>
          <w:rFonts w:hint="eastAsia" w:ascii="Times New Roman" w:hAnsi="Times New Roman" w:eastAsia="仿宋_GB2312"/>
          <w:sz w:val="32"/>
          <w:szCs w:val="32"/>
        </w:rPr>
        <w:t>（项）。</w:t>
      </w:r>
    </w:p>
    <w:p w14:paraId="668A329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2685.73</w:t>
      </w:r>
      <w:r>
        <w:rPr>
          <w:rFonts w:hint="eastAsia" w:ascii="Times New Roman" w:hAnsi="Times New Roman" w:eastAsia="仿宋_GB2312"/>
          <w:sz w:val="32"/>
          <w:szCs w:val="32"/>
        </w:rPr>
        <w:t>万元，支出决算为</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818.43</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10</w:t>
      </w:r>
      <w:r>
        <w:rPr>
          <w:rFonts w:hint="eastAsia" w:ascii="Times New Roman" w:hAnsi="Times New Roman" w:eastAsia="仿宋_GB2312"/>
          <w:sz w:val="32"/>
          <w:szCs w:val="32"/>
          <w:lang w:val="en-US" w:eastAsia="zh-CN"/>
        </w:rPr>
        <w:t>4.94</w:t>
      </w:r>
      <w:r>
        <w:rPr>
          <w:rFonts w:ascii="Times New Roman" w:hAnsi="Times New Roman" w:eastAsia="仿宋_GB2312"/>
          <w:sz w:val="32"/>
          <w:szCs w:val="32"/>
        </w:rPr>
        <w:t>%</w:t>
      </w:r>
      <w:r>
        <w:rPr>
          <w:rFonts w:hint="eastAsia" w:ascii="Times New Roman" w:hAnsi="Times New Roman" w:eastAsia="仿宋_GB2312"/>
          <w:sz w:val="32"/>
          <w:szCs w:val="32"/>
        </w:rPr>
        <w:t>，决算数大于年初预算数的主要原因财政下拨了在职和退休教师医疗铺底。</w:t>
      </w:r>
    </w:p>
    <w:p w14:paraId="3BAFA8F0">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、一般公共服务（类）教育支出（款）其他普通教育（项）。</w:t>
      </w:r>
    </w:p>
    <w:p w14:paraId="119163F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0</w:t>
      </w:r>
      <w:r>
        <w:rPr>
          <w:rFonts w:hint="eastAsia" w:ascii="Times New Roman" w:hAnsi="Times New Roman" w:eastAsia="仿宋_GB2312"/>
          <w:sz w:val="32"/>
          <w:szCs w:val="32"/>
        </w:rPr>
        <w:t>万元，支出决算为</w:t>
      </w:r>
      <w:r>
        <w:rPr>
          <w:rFonts w:ascii="Times New Roman" w:hAnsi="Times New Roman" w:eastAsia="仿宋_GB2312"/>
          <w:sz w:val="32"/>
          <w:szCs w:val="32"/>
        </w:rPr>
        <w:t>104.85</w:t>
      </w:r>
      <w:r>
        <w:rPr>
          <w:rFonts w:hint="eastAsia" w:ascii="Times New Roman" w:hAnsi="Times New Roman" w:eastAsia="仿宋_GB2312"/>
          <w:sz w:val="32"/>
          <w:szCs w:val="32"/>
        </w:rPr>
        <w:t>万元，决算数大于年初预算数的主要原因是因为</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年新增了标准化考点双电源项目和校园西边围墙及体育馆、食堂外墙安全隐患整改项目的资金</w:t>
      </w:r>
      <w:r>
        <w:rPr>
          <w:rFonts w:hint="eastAsia" w:ascii="Times New Roman" w:hAnsi="Times New Roman" w:eastAsia="仿宋_GB2312"/>
          <w:sz w:val="32"/>
          <w:szCs w:val="32"/>
        </w:rPr>
        <w:t>。</w:t>
      </w:r>
    </w:p>
    <w:p w14:paraId="46F4F91E">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、一般公共服务（类）教育费附件安排的支出（款）其他教育费附加安排的支出（项）。</w:t>
      </w:r>
    </w:p>
    <w:p w14:paraId="37A52C6E">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30</w:t>
      </w:r>
      <w:r>
        <w:rPr>
          <w:rFonts w:hint="eastAsia" w:ascii="Times New Roman" w:hAnsi="Times New Roman" w:eastAsia="仿宋_GB2312"/>
          <w:sz w:val="32"/>
          <w:szCs w:val="32"/>
        </w:rPr>
        <w:t>万元，支出决算为</w:t>
      </w:r>
      <w:r>
        <w:rPr>
          <w:rFonts w:ascii="Times New Roman" w:hAnsi="Times New Roman" w:eastAsia="仿宋_GB2312"/>
          <w:sz w:val="32"/>
          <w:szCs w:val="32"/>
        </w:rPr>
        <w:t>453.67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1512.23</w:t>
      </w:r>
      <w:r>
        <w:rPr>
          <w:rFonts w:ascii="Times New Roman" w:hAnsi="Times New Roman" w:eastAsia="仿宋_GB2312"/>
          <w:sz w:val="32"/>
          <w:szCs w:val="32"/>
        </w:rPr>
        <w:t>%</w:t>
      </w:r>
      <w:r>
        <w:rPr>
          <w:rFonts w:hint="eastAsia" w:ascii="Times New Roman" w:hAnsi="Times New Roman" w:eastAsia="仿宋_GB2312"/>
          <w:sz w:val="32"/>
          <w:szCs w:val="32"/>
        </w:rPr>
        <w:t>，决算数大于年初预算数的主要原因是年中增加了基础教育发展专项资金、生均经费等。</w:t>
      </w:r>
    </w:p>
    <w:p w14:paraId="42D42C02">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、一般公共服务（类）社会保障和就业支出（款）行政事业单位养老支出（项）。</w:t>
      </w:r>
    </w:p>
    <w:p w14:paraId="487994A9">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278.31</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396.17</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42.35</w:t>
      </w:r>
      <w:r>
        <w:rPr>
          <w:rFonts w:ascii="Times New Roman" w:hAnsi="Times New Roman" w:eastAsia="仿宋_GB2312"/>
          <w:sz w:val="32"/>
          <w:szCs w:val="32"/>
        </w:rPr>
        <w:t>%</w:t>
      </w:r>
      <w:r>
        <w:rPr>
          <w:rFonts w:hint="eastAsia" w:ascii="Times New Roman" w:hAnsi="Times New Roman" w:eastAsia="仿宋_GB2312"/>
          <w:sz w:val="32"/>
          <w:szCs w:val="32"/>
        </w:rPr>
        <w:t>，决算数等于年初预算数，主要原因为新增教师的养老保险支付。。</w:t>
      </w:r>
    </w:p>
    <w:p w14:paraId="07F52A38">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、一般公共服务（类）卫生健康支出（款）行政事业单位医疗（项）。</w:t>
      </w:r>
    </w:p>
    <w:p w14:paraId="32BE0A1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306.52</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239.9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78.26</w:t>
      </w:r>
      <w:r>
        <w:rPr>
          <w:rFonts w:ascii="Times New Roman" w:hAnsi="Times New Roman" w:eastAsia="仿宋_GB2312"/>
          <w:sz w:val="32"/>
          <w:szCs w:val="32"/>
        </w:rPr>
        <w:t>%</w:t>
      </w:r>
      <w:r>
        <w:rPr>
          <w:rFonts w:hint="eastAsia" w:ascii="Times New Roman" w:hAnsi="Times New Roman" w:eastAsia="仿宋_GB2312"/>
          <w:sz w:val="32"/>
          <w:szCs w:val="32"/>
        </w:rPr>
        <w:t>，决算数小于年初预算数，主要原因为按年初预算执行。</w:t>
      </w:r>
    </w:p>
    <w:p w14:paraId="635E9008">
      <w:pPr>
        <w:pStyle w:val="16"/>
        <w:spacing w:line="60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、一般公共服务（类）住房支出（款）住房公积金（项）。</w:t>
      </w:r>
    </w:p>
    <w:p w14:paraId="6202BEBA">
      <w:pPr>
        <w:pStyle w:val="16"/>
        <w:spacing w:line="600" w:lineRule="exact"/>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年初预算为</w:t>
      </w:r>
      <w:r>
        <w:rPr>
          <w:rFonts w:ascii="Times New Roman" w:hAnsi="Times New Roman" w:eastAsia="仿宋_GB2312"/>
          <w:sz w:val="32"/>
          <w:szCs w:val="32"/>
        </w:rPr>
        <w:t>256.53</w:t>
      </w:r>
      <w:r>
        <w:rPr>
          <w:rFonts w:hint="eastAsia" w:ascii="Times New Roman" w:hAnsi="Times New Roman" w:eastAsia="仿宋_GB2312"/>
          <w:sz w:val="32"/>
          <w:szCs w:val="32"/>
        </w:rPr>
        <w:t>元，支出决算为</w:t>
      </w:r>
      <w:r>
        <w:rPr>
          <w:rFonts w:ascii="Times New Roman" w:hAnsi="Times New Roman" w:eastAsia="仿宋_GB2312"/>
          <w:sz w:val="32"/>
          <w:szCs w:val="32"/>
        </w:rPr>
        <w:t>256.53</w:t>
      </w:r>
      <w:r>
        <w:rPr>
          <w:rFonts w:hint="eastAsia" w:ascii="Times New Roman" w:hAnsi="Times New Roman" w:eastAsia="仿宋_GB2312"/>
          <w:sz w:val="32"/>
          <w:szCs w:val="32"/>
        </w:rPr>
        <w:t>万元，完成年初预算的</w:t>
      </w:r>
      <w:r>
        <w:rPr>
          <w:rFonts w:ascii="Times New Roman" w:hAnsi="Times New Roman" w:eastAsia="仿宋_GB2312"/>
          <w:sz w:val="32"/>
          <w:szCs w:val="32"/>
        </w:rPr>
        <w:t>100%</w:t>
      </w:r>
      <w:r>
        <w:rPr>
          <w:rFonts w:hint="eastAsia" w:ascii="Times New Roman" w:hAnsi="Times New Roman" w:eastAsia="仿宋_GB2312"/>
          <w:sz w:val="32"/>
          <w:szCs w:val="32"/>
        </w:rPr>
        <w:t>，决算数等于年初预算数，主要原因为按年初预算执行。</w:t>
      </w:r>
    </w:p>
    <w:p w14:paraId="610E85E9">
      <w:pPr>
        <w:autoSpaceDE w:val="0"/>
        <w:autoSpaceDN w:val="0"/>
        <w:adjustRightInd w:val="0"/>
        <w:rPr>
          <w:rFonts w:ascii="仿宋_GB2312" w:hAnsi="仿宋_GB2312" w:eastAsia="仿宋_GB2312" w:cs="仿宋_GB2312"/>
          <w:sz w:val="32"/>
          <w:szCs w:val="32"/>
        </w:rPr>
      </w:pPr>
    </w:p>
    <w:p w14:paraId="7B1825BB">
      <w:pPr>
        <w:pStyle w:val="16"/>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A8A0A11">
      <w:pPr>
        <w:pStyle w:val="16"/>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年度财政拨款基本支出</w:t>
      </w:r>
      <w:r>
        <w:rPr>
          <w:rFonts w:ascii="仿宋_GB2312" w:hAnsi="仿宋_GB2312" w:eastAsia="仿宋_GB2312" w:cs="仿宋_GB2312"/>
          <w:sz w:val="32"/>
          <w:szCs w:val="32"/>
        </w:rPr>
        <w:t>4067.61</w:t>
      </w:r>
      <w:r>
        <w:rPr>
          <w:rFonts w:hint="eastAsia" w:ascii="仿宋_GB2312" w:hAnsi="仿宋_GB2312" w:eastAsia="仿宋_GB2312" w:cs="仿宋_GB2312"/>
          <w:sz w:val="32"/>
          <w:szCs w:val="32"/>
        </w:rPr>
        <w:t>万元，其中：</w:t>
      </w:r>
    </w:p>
    <w:p w14:paraId="31C241BD">
      <w:pPr>
        <w:pStyle w:val="16"/>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ascii="仿宋_GB2312" w:hAnsi="仿宋_GB2312" w:eastAsia="仿宋_GB2312" w:cs="仿宋_GB2312"/>
          <w:sz w:val="32"/>
          <w:szCs w:val="32"/>
        </w:rPr>
        <w:t>3873.34</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占基本支出的</w:t>
      </w:r>
      <w:r>
        <w:rPr>
          <w:rFonts w:ascii="Times New Roman" w:hAnsi="Times New Roman" w:eastAsia="仿宋_GB2312"/>
          <w:sz w:val="32"/>
          <w:szCs w:val="32"/>
        </w:rPr>
        <w:t>95.22%,</w:t>
      </w:r>
      <w:r>
        <w:rPr>
          <w:rFonts w:hint="eastAsia" w:ascii="Times New Roman" w:hAnsi="Times New Roman" w:eastAsia="仿宋_GB2312"/>
          <w:sz w:val="32"/>
          <w:szCs w:val="32"/>
        </w:rPr>
        <w:t>主要包括基本工资、津贴补贴、奖金、伙食补助费、绩效工资、机关事业单位基本养老保险、职工基本医疗保险缴费、</w:t>
      </w:r>
      <w:r>
        <w:rPr>
          <w:rFonts w:hint="eastAsia" w:ascii="宋体" w:hAnsi="宋体" w:eastAsia="宋体"/>
          <w:sz w:val="28"/>
          <w:szCs w:val="32"/>
        </w:rPr>
        <w:t>职业年金缴费、职业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rPr>
        <w:t>。</w:t>
      </w:r>
    </w:p>
    <w:p w14:paraId="6071376B">
      <w:pPr>
        <w:pStyle w:val="16"/>
        <w:spacing w:line="600" w:lineRule="exact"/>
        <w:ind w:firstLine="640" w:firstLineChars="200"/>
        <w:rPr>
          <w:rFonts w:ascii="宋体" w:hAnsi="宋体" w:eastAsia="宋体"/>
          <w:sz w:val="28"/>
          <w:szCs w:val="32"/>
        </w:rPr>
      </w:pPr>
      <w:r>
        <w:rPr>
          <w:rFonts w:hint="eastAsia" w:ascii="Times New Roman" w:hAnsi="Times New Roman" w:eastAsia="仿宋_GB2312"/>
          <w:b/>
          <w:bCs/>
          <w:sz w:val="32"/>
          <w:szCs w:val="32"/>
        </w:rPr>
        <w:t>公用经费</w:t>
      </w:r>
      <w:r>
        <w:rPr>
          <w:rFonts w:ascii="Times New Roman" w:hAnsi="Times New Roman" w:eastAsia="仿宋_GB2312"/>
          <w:sz w:val="32"/>
          <w:szCs w:val="32"/>
        </w:rPr>
        <w:t>194.27</w:t>
      </w:r>
      <w:r>
        <w:rPr>
          <w:rFonts w:hint="eastAsia" w:ascii="Times New Roman" w:hAnsi="Times New Roman" w:eastAsia="仿宋_GB2312"/>
          <w:sz w:val="32"/>
          <w:szCs w:val="32"/>
        </w:rPr>
        <w:t>万元，占基本支出的</w:t>
      </w:r>
      <w:r>
        <w:rPr>
          <w:rFonts w:ascii="Times New Roman" w:hAnsi="Times New Roman" w:eastAsia="仿宋_GB2312"/>
          <w:sz w:val="32"/>
          <w:szCs w:val="32"/>
        </w:rPr>
        <w:t>4.78%</w:t>
      </w:r>
      <w:r>
        <w:rPr>
          <w:rFonts w:hint="eastAsia" w:ascii="Times New Roman" w:hAnsi="Times New Roman" w:eastAsia="仿宋_GB2312"/>
          <w:sz w:val="32"/>
          <w:szCs w:val="32"/>
        </w:rPr>
        <w:t>，主要包括办公费、</w:t>
      </w:r>
      <w:r>
        <w:rPr>
          <w:rFonts w:hint="eastAsia" w:ascii="宋体" w:hAnsi="宋体" w:eastAsia="宋体"/>
          <w:sz w:val="28"/>
          <w:szCs w:val="32"/>
        </w:rPr>
        <w:t>咨询费、手续费、水费、电费、邮电费、取暖费、物业管理费、差旅费、因公出国（镜）费用，维修（护）费，租赁费、会议费、培训费、公务接待费、专业材料费、劳务费、委托业务费、工会经费、福利费、公务用车运行维护费、其他交通费用、税金及附加费用、其他商品和服务支出、办公设备购置、专业设备购置、信息网格及软件购置更新、公务用车购置、其他交通工具购置、文物和陈列品购置、无形资产购置、其他资本性支出、赠与。</w:t>
      </w:r>
    </w:p>
    <w:p w14:paraId="535FAC9D">
      <w:pPr>
        <w:pStyle w:val="16"/>
        <w:spacing w:line="600" w:lineRule="exact"/>
        <w:ind w:firstLine="640" w:firstLineChars="200"/>
        <w:rPr>
          <w:rFonts w:hAnsi="黑体"/>
          <w:bCs/>
          <w:sz w:val="32"/>
          <w:szCs w:val="32"/>
        </w:rPr>
      </w:pPr>
      <w:r>
        <w:rPr>
          <w:rFonts w:hint="eastAsia" w:hAnsi="黑体"/>
          <w:bCs/>
          <w:sz w:val="32"/>
          <w:szCs w:val="32"/>
        </w:rPr>
        <w:t>七、政府性基金预算收入支出决算情况</w:t>
      </w:r>
    </w:p>
    <w:p w14:paraId="6634B166">
      <w:pPr>
        <w:pStyle w:val="16"/>
        <w:spacing w:line="600" w:lineRule="exact"/>
        <w:rPr>
          <w:rFonts w:ascii="仿宋_GB2312" w:hAnsi="仿宋_GB2312" w:eastAsia="仿宋_GB2312" w:cs="仿宋_GB2312"/>
          <w:b/>
          <w:bCs/>
          <w:i/>
          <w:color w:val="auto"/>
          <w:sz w:val="32"/>
          <w:szCs w:val="32"/>
        </w:rPr>
      </w:pPr>
      <w:r>
        <w:rPr>
          <w:rFonts w:ascii="Times New Roman" w:hAnsi="Times New Roman" w:eastAsia="仿宋_GB2312"/>
          <w:sz w:val="32"/>
          <w:szCs w:val="32"/>
        </w:rPr>
        <w:t xml:space="preserve">     </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年度政府性基金预算财政拨款收入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万元；年初结转和结余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万元；年末结转和结余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万元。具体情况如下：</w:t>
      </w:r>
    </w:p>
    <w:p w14:paraId="0EAC784D">
      <w:pPr>
        <w:pStyle w:val="16"/>
        <w:spacing w:line="600" w:lineRule="exact"/>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、教育支出（类）普通教育（款）高中教育（项）。</w:t>
      </w:r>
    </w:p>
    <w:p w14:paraId="1316F83E">
      <w:pPr>
        <w:pStyle w:val="16"/>
        <w:spacing w:line="600" w:lineRule="exact"/>
        <w:ind w:firstLine="640" w:firstLineChars="20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万元，决算数等于年初预算数的主要原因是：本单位</w:t>
      </w:r>
      <w:r>
        <w:rPr>
          <w:rFonts w:hint="eastAsia" w:ascii="宋体" w:hAnsi="宋体" w:eastAsia="宋体"/>
          <w:sz w:val="32"/>
          <w:szCs w:val="32"/>
          <w:highlight w:val="white"/>
          <w:lang w:val="zh-CN"/>
        </w:rPr>
        <w:t>没有使用政府性基金预算财政拨款安排的收支</w:t>
      </w:r>
      <w:r>
        <w:rPr>
          <w:rFonts w:hint="eastAsia" w:ascii="宋体" w:hAnsi="宋体" w:eastAsia="宋体"/>
          <w:sz w:val="32"/>
          <w:szCs w:val="32"/>
          <w:lang w:val="zh-CN"/>
        </w:rPr>
        <w:t>。</w:t>
      </w:r>
    </w:p>
    <w:p w14:paraId="5A1BB091">
      <w:pPr>
        <w:autoSpaceDE w:val="0"/>
        <w:autoSpaceDN w:val="0"/>
        <w:adjustRightInd w:val="0"/>
        <w:spacing w:line="60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八、国有资本经营预算财政拨款支出决算情况</w:t>
      </w:r>
    </w:p>
    <w:p w14:paraId="071148AF">
      <w:pPr>
        <w:pStyle w:val="16"/>
        <w:ind w:firstLine="640" w:firstLineChars="200"/>
        <w:rPr>
          <w:rFonts w:ascii="宋体" w:hAnsi="宋体" w:eastAsia="宋体"/>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w:t>
      </w:r>
      <w:r>
        <w:rPr>
          <w:rFonts w:hint="eastAsia" w:ascii="宋体" w:hAnsi="宋体" w:eastAsia="宋体"/>
          <w:sz w:val="32"/>
          <w:szCs w:val="32"/>
        </w:rPr>
        <w:t>国有资本经营预算财政拨款收入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万元。具体情况如下：</w:t>
      </w:r>
    </w:p>
    <w:p w14:paraId="06114343">
      <w:pPr>
        <w:pStyle w:val="16"/>
        <w:ind w:firstLine="640" w:firstLineChars="200"/>
        <w:rPr>
          <w:rFonts w:ascii="宋体" w:hAnsi="宋体" w:eastAsia="宋体"/>
          <w:sz w:val="32"/>
          <w:szCs w:val="32"/>
        </w:rPr>
      </w:pPr>
      <w:r>
        <w:rPr>
          <w:rFonts w:hint="eastAsia" w:ascii="宋体" w:hAnsi="宋体" w:eastAsia="宋体"/>
          <w:sz w:val="32"/>
          <w:szCs w:val="32"/>
        </w:rPr>
        <w:t>教育支出（类）普通教育（款）高中教育（项）。</w:t>
      </w:r>
    </w:p>
    <w:p w14:paraId="7085975D">
      <w:pPr>
        <w:pStyle w:val="16"/>
        <w:ind w:firstLine="640" w:firstLineChars="20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万元，决算数等于年初预算数的主要原因是：</w:t>
      </w:r>
      <w:r>
        <w:rPr>
          <w:rFonts w:ascii="宋体" w:hAnsi="宋体" w:eastAsia="宋体"/>
          <w:sz w:val="32"/>
          <w:szCs w:val="32"/>
          <w:highlight w:val="white"/>
          <w:lang w:val="zh-CN"/>
        </w:rPr>
        <w:t>2023</w:t>
      </w:r>
      <w:r>
        <w:rPr>
          <w:rFonts w:hint="eastAsia" w:ascii="宋体" w:hAnsi="宋体" w:eastAsia="宋体"/>
          <w:sz w:val="32"/>
          <w:szCs w:val="32"/>
          <w:highlight w:val="white"/>
          <w:lang w:val="zh-CN"/>
        </w:rPr>
        <w:t>年本单位没有使用国有资本经营预算安排的支出</w:t>
      </w:r>
      <w:r>
        <w:rPr>
          <w:rFonts w:hint="eastAsia" w:ascii="宋体" w:hAnsi="宋体" w:eastAsia="宋体"/>
          <w:sz w:val="32"/>
          <w:szCs w:val="32"/>
          <w:lang w:val="zh-CN"/>
        </w:rPr>
        <w:t>。</w:t>
      </w:r>
    </w:p>
    <w:p w14:paraId="36FE4A59">
      <w:pPr>
        <w:autoSpaceDE w:val="0"/>
        <w:autoSpaceDN w:val="0"/>
        <w:adjustRightInd w:val="0"/>
        <w:ind w:firstLine="640" w:firstLineChars="200"/>
        <w:rPr>
          <w:rFonts w:ascii="仿宋_GB2312" w:hAnsi="仿宋_GB2312" w:eastAsia="仿宋_GB2312" w:cs="仿宋_GB2312"/>
          <w:color w:val="000000"/>
          <w:kern w:val="0"/>
          <w:sz w:val="32"/>
          <w:szCs w:val="32"/>
        </w:rPr>
      </w:pPr>
    </w:p>
    <w:p w14:paraId="7BEEC524">
      <w:pPr>
        <w:pStyle w:val="16"/>
        <w:spacing w:line="600" w:lineRule="exact"/>
        <w:ind w:firstLine="640" w:firstLineChars="200"/>
        <w:rPr>
          <w:rFonts w:ascii="Times New Roman" w:hAnsi="Times New Roman" w:eastAsia="仿宋_GB2312"/>
          <w:b/>
          <w:sz w:val="32"/>
          <w:szCs w:val="32"/>
        </w:rPr>
      </w:pPr>
      <w:r>
        <w:rPr>
          <w:rFonts w:hint="eastAsia" w:hAnsi="黑体"/>
          <w:bCs/>
          <w:sz w:val="32"/>
          <w:szCs w:val="32"/>
        </w:rPr>
        <w:t>九、财政拨款三公经费支出决算情况说明</w:t>
      </w:r>
    </w:p>
    <w:p w14:paraId="3457B4A0">
      <w:pPr>
        <w:pStyle w:val="16"/>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465B8A9C">
      <w:pPr>
        <w:pStyle w:val="16"/>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万元，决算数等于预算数的主要原因是</w:t>
      </w:r>
      <w:r>
        <w:rPr>
          <w:rFonts w:hint="eastAsia" w:ascii="仿宋_GB2312" w:hAnsi="宋体" w:eastAsia="仿宋_GB2312"/>
          <w:sz w:val="32"/>
          <w:szCs w:val="32"/>
        </w:rPr>
        <w:t>无三公经费支出</w:t>
      </w:r>
      <w:r>
        <w:rPr>
          <w:rFonts w:hint="eastAsia" w:ascii="Times New Roman" w:hAnsi="Times New Roman" w:eastAsia="仿宋_GB2312"/>
          <w:sz w:val="32"/>
          <w:szCs w:val="32"/>
        </w:rPr>
        <w:t>。</w:t>
      </w:r>
    </w:p>
    <w:p w14:paraId="159F9E09">
      <w:pPr>
        <w:pStyle w:val="16"/>
        <w:spacing w:line="600" w:lineRule="exact"/>
        <w:ind w:firstLine="800" w:firstLineChars="250"/>
        <w:rPr>
          <w:rFonts w:ascii="Times New Roman" w:hAnsi="Times New Roman" w:eastAsia="仿宋_GB2312"/>
          <w:sz w:val="32"/>
          <w:szCs w:val="32"/>
        </w:rPr>
      </w:pPr>
      <w:r>
        <w:rPr>
          <w:rFonts w:hint="eastAsia" w:ascii="仿宋_GB2312" w:hAnsi="仿宋_GB2312" w:eastAsia="仿宋_GB2312" w:cs="仿宋_GB2312"/>
          <w:sz w:val="32"/>
          <w:szCs w:val="32"/>
        </w:rPr>
        <w:t>因公出国（境）费支出预算为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决算数等于预算数的主要原因是无因公出国</w:t>
      </w:r>
      <w:r>
        <w:rPr>
          <w:rFonts w:ascii="Times New Roman" w:hAnsi="Times New Roman" w:eastAsia="仿宋_GB2312"/>
          <w:sz w:val="32"/>
          <w:szCs w:val="32"/>
        </w:rPr>
        <w:t>(</w:t>
      </w:r>
      <w:r>
        <w:rPr>
          <w:rFonts w:hint="eastAsia" w:ascii="Times New Roman" w:hAnsi="Times New Roman" w:eastAsia="仿宋_GB2312"/>
          <w:sz w:val="32"/>
          <w:szCs w:val="32"/>
        </w:rPr>
        <w:t>境</w:t>
      </w:r>
      <w:r>
        <w:rPr>
          <w:rFonts w:ascii="Times New Roman" w:hAnsi="Times New Roman" w:eastAsia="仿宋_GB2312"/>
          <w:sz w:val="32"/>
          <w:szCs w:val="32"/>
        </w:rPr>
        <w:t>)</w:t>
      </w:r>
      <w:r>
        <w:rPr>
          <w:rFonts w:hint="eastAsia" w:ascii="Times New Roman" w:hAnsi="Times New Roman" w:eastAsia="仿宋_GB2312"/>
          <w:sz w:val="32"/>
          <w:szCs w:val="32"/>
        </w:rPr>
        <w:t>费支出。</w:t>
      </w:r>
    </w:p>
    <w:p w14:paraId="28FAB6DA">
      <w:pPr>
        <w:pStyle w:val="16"/>
        <w:spacing w:line="600" w:lineRule="exact"/>
        <w:ind w:firstLine="800" w:firstLineChars="250"/>
        <w:rPr>
          <w:rFonts w:ascii="Times New Roman" w:hAnsi="Times New Roman" w:eastAsia="仿宋_GB2312"/>
          <w:sz w:val="32"/>
          <w:szCs w:val="32"/>
        </w:rPr>
      </w:pPr>
      <w:r>
        <w:rPr>
          <w:rFonts w:hint="eastAsia" w:ascii="仿宋_GB2312" w:hAnsi="仿宋_GB2312" w:eastAsia="仿宋_GB2312" w:cs="仿宋_GB2312"/>
          <w:sz w:val="32"/>
          <w:szCs w:val="32"/>
        </w:rPr>
        <w:t>公务接待费支出预算为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决算数等于预算数的主要原因是无公务接待支出。</w:t>
      </w:r>
    </w:p>
    <w:p w14:paraId="121F5636">
      <w:pPr>
        <w:pStyle w:val="16"/>
        <w:spacing w:line="600" w:lineRule="exact"/>
        <w:ind w:firstLine="800" w:firstLineChars="250"/>
        <w:rPr>
          <w:rFonts w:ascii="Times New Roman" w:hAnsi="Times New Roman" w:eastAsia="仿宋_GB2312"/>
          <w:sz w:val="32"/>
          <w:szCs w:val="32"/>
        </w:rPr>
      </w:pPr>
      <w:r>
        <w:rPr>
          <w:rFonts w:hint="eastAsia" w:ascii="仿宋_GB2312" w:hAnsi="仿宋_GB2312" w:eastAsia="仿宋_GB2312" w:cs="仿宋_GB2312"/>
          <w:sz w:val="32"/>
          <w:szCs w:val="32"/>
        </w:rPr>
        <w:t>公务用车购置费支出预算为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w:t>
      </w:r>
      <w:r>
        <w:rPr>
          <w:rFonts w:hint="eastAsia" w:ascii="Times New Roman" w:hAnsi="Times New Roman" w:eastAsia="仿宋_GB2312"/>
          <w:sz w:val="32"/>
          <w:szCs w:val="32"/>
        </w:rPr>
        <w:t>决算数等于预算数的主要原因是无公务用车购置费支出。</w:t>
      </w:r>
    </w:p>
    <w:p w14:paraId="0CDD24FD">
      <w:pPr>
        <w:pStyle w:val="16"/>
        <w:spacing w:line="600" w:lineRule="exact"/>
        <w:ind w:firstLine="800" w:firstLineChars="250"/>
        <w:rPr>
          <w:rFonts w:ascii="Times New Roman" w:hAnsi="Times New Roman" w:eastAsia="仿宋_GB2312"/>
          <w:sz w:val="32"/>
          <w:szCs w:val="32"/>
        </w:rPr>
      </w:pPr>
      <w:r>
        <w:rPr>
          <w:rFonts w:hint="eastAsia" w:ascii="仿宋_GB2312" w:hAnsi="仿宋_GB2312" w:eastAsia="仿宋_GB2312" w:cs="仿宋_GB2312"/>
          <w:sz w:val="32"/>
          <w:szCs w:val="32"/>
        </w:rPr>
        <w:t>公务用车运行维护费支出预算为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w:t>
      </w:r>
      <w:r>
        <w:rPr>
          <w:rFonts w:hint="eastAsia" w:ascii="Times New Roman" w:hAnsi="Times New Roman" w:eastAsia="仿宋_GB2312"/>
          <w:sz w:val="32"/>
          <w:szCs w:val="32"/>
        </w:rPr>
        <w:t>决算数等于预算数的主要原因是无公务用车运行维护费支出。</w:t>
      </w:r>
    </w:p>
    <w:p w14:paraId="49C98862">
      <w:pPr>
        <w:pStyle w:val="16"/>
        <w:spacing w:line="600" w:lineRule="exact"/>
        <w:ind w:firstLine="640" w:firstLineChars="200"/>
        <w:rPr>
          <w:rFonts w:ascii="仿宋_GB2312" w:hAnsi="仿宋_GB2312" w:eastAsia="仿宋_GB2312" w:cs="仿宋_GB2312"/>
          <w:sz w:val="32"/>
          <w:szCs w:val="32"/>
        </w:rPr>
      </w:pPr>
    </w:p>
    <w:p w14:paraId="302192D3">
      <w:pPr>
        <w:pStyle w:val="16"/>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E095870">
      <w:pPr>
        <w:pStyle w:val="16"/>
        <w:spacing w:line="60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年度“三公”经费财政拨款支出决算中，公务接待费支出决算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万元，公务用车购置费及运行维护费支出决算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w:t>
      </w:r>
    </w:p>
    <w:p w14:paraId="19C80EB0">
      <w:pPr>
        <w:pStyle w:val="16"/>
        <w:spacing w:line="600"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、因公出国（境）费支出决算为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万元，全年安排因公出国（境）团组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个，累计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Cs/>
          <w:color w:val="auto"/>
          <w:sz w:val="32"/>
          <w:szCs w:val="32"/>
        </w:rPr>
        <w:t>我单位</w:t>
      </w:r>
      <w:r>
        <w:rPr>
          <w:rFonts w:ascii="仿宋_GB2312" w:hAnsi="仿宋_GB2312" w:eastAsia="仿宋_GB2312" w:cs="仿宋_GB2312"/>
          <w:bCs/>
          <w:color w:val="auto"/>
          <w:sz w:val="32"/>
          <w:szCs w:val="32"/>
        </w:rPr>
        <w:t>2023</w:t>
      </w:r>
      <w:r>
        <w:rPr>
          <w:rFonts w:hint="eastAsia" w:ascii="仿宋_GB2312" w:hAnsi="仿宋_GB2312" w:eastAsia="仿宋_GB2312" w:cs="仿宋_GB2312"/>
          <w:bCs/>
          <w:color w:val="auto"/>
          <w:sz w:val="32"/>
          <w:szCs w:val="32"/>
        </w:rPr>
        <w:t>年度无因公出国（境）费支出。</w:t>
      </w:r>
    </w:p>
    <w:p w14:paraId="4F530BA9">
      <w:pPr>
        <w:pStyle w:val="16"/>
        <w:spacing w:line="600" w:lineRule="exact"/>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、公务接待费支出决算为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万元，全年共接待来访团组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个、来宾</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人次，</w:t>
      </w:r>
      <w:r>
        <w:rPr>
          <w:rFonts w:hint="eastAsia" w:ascii="仿宋_GB2312" w:hAnsi="仿宋_GB2312" w:eastAsia="仿宋_GB2312" w:cs="仿宋_GB2312"/>
          <w:bCs/>
          <w:color w:val="auto"/>
          <w:sz w:val="32"/>
          <w:szCs w:val="32"/>
        </w:rPr>
        <w:t>我单位</w:t>
      </w:r>
      <w:r>
        <w:rPr>
          <w:rFonts w:ascii="仿宋_GB2312" w:hAnsi="仿宋_GB2312" w:eastAsia="仿宋_GB2312" w:cs="仿宋_GB2312"/>
          <w:bCs/>
          <w:color w:val="auto"/>
          <w:sz w:val="32"/>
          <w:szCs w:val="32"/>
        </w:rPr>
        <w:t>2023</w:t>
      </w:r>
      <w:r>
        <w:rPr>
          <w:rFonts w:hint="eastAsia" w:ascii="仿宋_GB2312" w:hAnsi="仿宋_GB2312" w:eastAsia="仿宋_GB2312" w:cs="仿宋_GB2312"/>
          <w:bCs/>
          <w:color w:val="auto"/>
          <w:sz w:val="32"/>
          <w:szCs w:val="32"/>
        </w:rPr>
        <w:t>年度无公务接待费支出。</w:t>
      </w:r>
    </w:p>
    <w:p w14:paraId="54960EBC">
      <w:pPr>
        <w:spacing w:line="600" w:lineRule="exact"/>
        <w:ind w:firstLine="800" w:firstLineChars="250"/>
        <w:rPr>
          <w:rFonts w:ascii="仿宋_GB2312" w:hAnsi="仿宋_GB2312" w:eastAsia="仿宋_GB2312" w:cs="仿宋_GB2312"/>
          <w:b/>
          <w:bCs/>
          <w:i/>
          <w:kern w:val="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、公务用车购置费及运行维护费支出决算为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万元，其中：公务用车购置费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Cs/>
          <w:sz w:val="32"/>
          <w:szCs w:val="32"/>
        </w:rPr>
        <w:t>当年没有购置公务用车。公务用车运行维护费</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截止</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日，我单位开支财政拨款的公务用车保有量为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p>
    <w:p w14:paraId="6BAB6CC3">
      <w:pPr>
        <w:pStyle w:val="16"/>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十、关于机关运行经费支出说明</w:t>
      </w:r>
    </w:p>
    <w:p w14:paraId="2BC35135">
      <w:pPr>
        <w:pStyle w:val="16"/>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比年初预算数（或者上年决算数）增加</w:t>
      </w:r>
      <w:r>
        <w:rPr>
          <w:rFonts w:ascii="Times New Roman" w:hAnsi="Times New Roman" w:eastAsia="仿宋_GB2312"/>
          <w:sz w:val="32"/>
          <w:szCs w:val="32"/>
        </w:rPr>
        <w:t>0</w:t>
      </w:r>
      <w:r>
        <w:rPr>
          <w:rFonts w:hint="eastAsia" w:ascii="Times New Roman" w:hAnsi="Times New Roman" w:eastAsia="仿宋_GB2312"/>
          <w:sz w:val="32"/>
          <w:szCs w:val="32"/>
        </w:rPr>
        <w:t>万元，增长</w:t>
      </w:r>
      <w:r>
        <w:rPr>
          <w:rFonts w:ascii="Times New Roman" w:hAnsi="Times New Roman" w:eastAsia="仿宋_GB2312"/>
          <w:sz w:val="32"/>
          <w:szCs w:val="32"/>
        </w:rPr>
        <w:t>0%</w:t>
      </w:r>
      <w:r>
        <w:rPr>
          <w:rFonts w:hint="eastAsia" w:ascii="Times New Roman" w:hAnsi="Times New Roman" w:eastAsia="仿宋_GB2312"/>
          <w:sz w:val="32"/>
          <w:szCs w:val="32"/>
        </w:rPr>
        <w:t>。</w:t>
      </w:r>
      <w:r>
        <w:rPr>
          <w:rFonts w:hint="eastAsia" w:ascii="仿宋_GB2312" w:hAnsi="Times New Roman" w:eastAsia="仿宋_GB2312"/>
          <w:sz w:val="32"/>
          <w:szCs w:val="32"/>
        </w:rPr>
        <w:t>主要原因是：</w:t>
      </w:r>
      <w:r>
        <w:rPr>
          <w:rFonts w:hint="eastAsia" w:ascii="仿宋_GB2312" w:hAnsi="宋体" w:eastAsia="仿宋_GB2312"/>
          <w:sz w:val="32"/>
          <w:szCs w:val="32"/>
        </w:rPr>
        <w:t>本级和所属单位均为事业单位，按照机关运行经费的口径，本年度机关运行经费为</w:t>
      </w:r>
      <w:r>
        <w:rPr>
          <w:rFonts w:ascii="仿宋_GB2312" w:hAnsi="宋体" w:eastAsia="仿宋_GB2312"/>
          <w:sz w:val="32"/>
          <w:szCs w:val="32"/>
        </w:rPr>
        <w:t>0</w:t>
      </w:r>
      <w:r>
        <w:rPr>
          <w:rFonts w:hint="eastAsia" w:ascii="仿宋_GB2312" w:hAnsi="宋体" w:eastAsia="仿宋_GB2312"/>
          <w:sz w:val="32"/>
          <w:szCs w:val="32"/>
        </w:rPr>
        <w:t>。</w:t>
      </w:r>
    </w:p>
    <w:p w14:paraId="336A2289">
      <w:pPr>
        <w:pStyle w:val="16"/>
        <w:spacing w:line="600" w:lineRule="exact"/>
        <w:ind w:firstLine="640" w:firstLineChars="200"/>
        <w:rPr>
          <w:rFonts w:hAnsi="黑体"/>
          <w:bCs/>
          <w:sz w:val="32"/>
          <w:szCs w:val="32"/>
        </w:rPr>
      </w:pPr>
      <w:r>
        <w:rPr>
          <w:rFonts w:hint="eastAsia" w:hAnsi="黑体"/>
          <w:bCs/>
          <w:sz w:val="32"/>
          <w:szCs w:val="32"/>
        </w:rPr>
        <w:t>十一、一般性支出情况说明</w:t>
      </w:r>
    </w:p>
    <w:p w14:paraId="1475EB70">
      <w:pPr>
        <w:pStyle w:val="16"/>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年年度，会议费年初预算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万元，全年无会议费支出。</w:t>
      </w:r>
    </w:p>
    <w:p w14:paraId="535D8B08">
      <w:pPr>
        <w:autoSpaceDE w:val="0"/>
        <w:autoSpaceDN w:val="0"/>
        <w:adjustRightInd w:val="0"/>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培训费年初预算</w:t>
      </w:r>
      <w:r>
        <w:rPr>
          <w:rFonts w:ascii="仿宋_GB2312" w:hAnsi="仿宋_GB2312" w:eastAsia="仿宋_GB2312" w:cs="仿宋_GB2312"/>
          <w:color w:val="000000"/>
          <w:kern w:val="0"/>
          <w:sz w:val="32"/>
          <w:szCs w:val="32"/>
        </w:rPr>
        <w:t>15.5</w:t>
      </w:r>
      <w:r>
        <w:rPr>
          <w:rFonts w:hint="eastAsia" w:ascii="仿宋_GB2312" w:hAnsi="仿宋_GB2312" w:eastAsia="仿宋_GB2312" w:cs="仿宋_GB2312"/>
          <w:color w:val="000000"/>
          <w:kern w:val="0"/>
          <w:sz w:val="32"/>
          <w:szCs w:val="32"/>
        </w:rPr>
        <w:t>万元，支出决算为</w:t>
      </w:r>
      <w:r>
        <w:rPr>
          <w:rFonts w:ascii="仿宋_GB2312" w:hAnsi="仿宋_GB2312" w:eastAsia="仿宋_GB2312" w:cs="仿宋_GB2312"/>
          <w:color w:val="000000"/>
          <w:kern w:val="0"/>
          <w:sz w:val="32"/>
          <w:szCs w:val="32"/>
        </w:rPr>
        <w:t>15.5</w:t>
      </w:r>
      <w:r>
        <w:rPr>
          <w:rFonts w:hint="eastAsia" w:ascii="仿宋_GB2312" w:hAnsi="仿宋_GB2312" w:eastAsia="仿宋_GB2312" w:cs="仿宋_GB2312"/>
          <w:color w:val="000000"/>
          <w:kern w:val="0"/>
          <w:sz w:val="32"/>
          <w:szCs w:val="32"/>
        </w:rPr>
        <w:t>万元，完成年初预算的</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。用于开展</w:t>
      </w:r>
      <w:r>
        <w:rPr>
          <w:rFonts w:hint="eastAsia" w:ascii="Times New Roman" w:hAnsi="Times New Roman" w:eastAsia="仿宋_GB2312"/>
          <w:sz w:val="32"/>
          <w:szCs w:val="32"/>
        </w:rPr>
        <w:t>学校教师各类外出培训，人数</w:t>
      </w:r>
      <w:r>
        <w:rPr>
          <w:rFonts w:ascii="Times New Roman" w:hAnsi="Times New Roman" w:eastAsia="仿宋_GB2312"/>
          <w:sz w:val="32"/>
          <w:szCs w:val="32"/>
        </w:rPr>
        <w:t>500</w:t>
      </w:r>
      <w:r>
        <w:rPr>
          <w:rFonts w:hint="eastAsia" w:ascii="Times New Roman" w:hAnsi="Times New Roman" w:eastAsia="仿宋_GB2312"/>
          <w:sz w:val="32"/>
          <w:szCs w:val="32"/>
        </w:rPr>
        <w:t>百人次，内容为班主任培训、教师网络培训、教师业务培训等。</w:t>
      </w:r>
      <w:r>
        <w:rPr>
          <w:rFonts w:hint="eastAsia" w:ascii="仿宋_GB2312" w:hAnsi="仿宋_GB2312" w:eastAsia="仿宋_GB2312" w:cs="仿宋_GB2312"/>
          <w:color w:val="000000"/>
          <w:kern w:val="0"/>
          <w:sz w:val="32"/>
          <w:szCs w:val="32"/>
        </w:rPr>
        <w:t>。</w:t>
      </w:r>
    </w:p>
    <w:p w14:paraId="7EE5D154">
      <w:pPr>
        <w:pStyle w:val="16"/>
        <w:ind w:firstLine="640" w:firstLineChars="200"/>
        <w:rPr>
          <w:rFonts w:ascii="楷体" w:hAnsi="楷体" w:eastAsia="楷体" w:cs="楷体"/>
          <w:b/>
          <w:bCs/>
          <w:i/>
          <w:color w:val="FF0000"/>
          <w:sz w:val="32"/>
          <w:szCs w:val="32"/>
        </w:rPr>
      </w:pPr>
      <w:r>
        <w:rPr>
          <w:rFonts w:hint="eastAsia" w:ascii="仿宋_GB2312" w:hAnsi="仿宋_GB2312" w:eastAsia="仿宋_GB2312" w:cs="仿宋_GB2312"/>
          <w:sz w:val="32"/>
          <w:szCs w:val="32"/>
        </w:rPr>
        <w:t>举办节庆、晚会、论坛、赛事活动年初预算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万元，主要是</w:t>
      </w:r>
      <w:r>
        <w:rPr>
          <w:rFonts w:hint="eastAsia" w:ascii="Times New Roman" w:hAnsi="Times New Roman" w:eastAsia="仿宋_GB2312"/>
          <w:sz w:val="32"/>
          <w:szCs w:val="32"/>
        </w:rPr>
        <w:t>本单位无举办节庆、晚会、论坛、赛事的等活动的预算和支出决算数。</w:t>
      </w:r>
    </w:p>
    <w:p w14:paraId="722948B7">
      <w:pPr>
        <w:autoSpaceDE w:val="0"/>
        <w:autoSpaceDN w:val="0"/>
        <w:adjustRightInd w:val="0"/>
        <w:ind w:firstLine="640" w:firstLineChars="200"/>
        <w:rPr>
          <w:rFonts w:ascii="仿宋_GB2312" w:hAnsi="仿宋_GB2312" w:eastAsia="仿宋_GB2312" w:cs="仿宋_GB2312"/>
          <w:b/>
          <w:bCs/>
          <w:i/>
          <w:color w:val="FF0000"/>
          <w:kern w:val="0"/>
          <w:sz w:val="32"/>
          <w:szCs w:val="32"/>
        </w:rPr>
      </w:pPr>
      <w:bookmarkStart w:id="0" w:name="_GoBack"/>
      <w:bookmarkEnd w:id="0"/>
    </w:p>
    <w:p w14:paraId="78EDA5EB">
      <w:pPr>
        <w:pStyle w:val="16"/>
        <w:spacing w:line="600" w:lineRule="exact"/>
        <w:ind w:firstLine="640" w:firstLineChars="200"/>
        <w:rPr>
          <w:rFonts w:hAnsi="黑体"/>
          <w:bCs/>
          <w:sz w:val="32"/>
          <w:szCs w:val="32"/>
        </w:rPr>
      </w:pPr>
      <w:r>
        <w:rPr>
          <w:rFonts w:hint="eastAsia" w:hAnsi="黑体"/>
          <w:bCs/>
          <w:sz w:val="32"/>
          <w:szCs w:val="32"/>
        </w:rPr>
        <w:t>十二、关于政府采购支出说明</w:t>
      </w:r>
    </w:p>
    <w:p w14:paraId="498D52F6">
      <w:pPr>
        <w:pStyle w:val="16"/>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w:t>
      </w:r>
      <w:r>
        <w:rPr>
          <w:rFonts w:hint="eastAsia" w:ascii="Times New Roman" w:hAnsi="Times New Roman" w:eastAsia="仿宋_GB2312"/>
          <w:sz w:val="32"/>
          <w:szCs w:val="32"/>
        </w:rPr>
        <w:t>政府采购支出总额</w:t>
      </w:r>
      <w:r>
        <w:rPr>
          <w:rFonts w:ascii="Times New Roman" w:hAnsi="Times New Roman" w:eastAsia="仿宋_GB2312"/>
          <w:sz w:val="32"/>
          <w:szCs w:val="32"/>
        </w:rPr>
        <w:t>0</w:t>
      </w:r>
      <w:r>
        <w:rPr>
          <w:rFonts w:hint="eastAsia" w:ascii="Times New Roman" w:hAnsi="Times New Roman" w:eastAsia="仿宋_GB2312"/>
          <w:sz w:val="32"/>
          <w:szCs w:val="32"/>
        </w:rPr>
        <w:t>万元，其中：政府采购货物支出</w:t>
      </w:r>
      <w:r>
        <w:rPr>
          <w:rFonts w:ascii="Times New Roman" w:hAnsi="Times New Roman" w:eastAsia="仿宋_GB2312"/>
          <w:sz w:val="32"/>
          <w:szCs w:val="32"/>
        </w:rPr>
        <w:t xml:space="preserve">0 </w:t>
      </w:r>
      <w:r>
        <w:rPr>
          <w:rFonts w:hint="eastAsia" w:ascii="Times New Roman" w:hAnsi="Times New Roman" w:eastAsia="仿宋_GB2312"/>
          <w:sz w:val="32"/>
          <w:szCs w:val="32"/>
        </w:rPr>
        <w:t>万元、政府采购工程支出</w:t>
      </w:r>
      <w:r>
        <w:rPr>
          <w:rFonts w:ascii="Times New Roman" w:hAnsi="Times New Roman" w:eastAsia="仿宋_GB2312"/>
          <w:sz w:val="32"/>
          <w:szCs w:val="32"/>
        </w:rPr>
        <w:t>0</w:t>
      </w:r>
      <w:r>
        <w:rPr>
          <w:rFonts w:hint="eastAsia" w:ascii="Times New Roman" w:hAnsi="Times New Roman" w:eastAsia="仿宋_GB2312"/>
          <w:sz w:val="32"/>
          <w:szCs w:val="32"/>
        </w:rPr>
        <w:t>万元、政府采购服务支出</w:t>
      </w:r>
      <w:r>
        <w:rPr>
          <w:rFonts w:ascii="Times New Roman" w:hAnsi="Times New Roman" w:eastAsia="仿宋_GB2312"/>
          <w:sz w:val="32"/>
          <w:szCs w:val="32"/>
        </w:rPr>
        <w:t>0</w:t>
      </w:r>
      <w:r>
        <w:rPr>
          <w:rFonts w:hint="eastAsia" w:ascii="Times New Roman" w:hAnsi="Times New Roman" w:eastAsia="仿宋_GB2312"/>
          <w:sz w:val="32"/>
          <w:szCs w:val="32"/>
        </w:rPr>
        <w:t>万元。授予中小企业合同金额</w:t>
      </w:r>
      <w:r>
        <w:rPr>
          <w:rFonts w:ascii="Times New Roman" w:hAnsi="Times New Roman" w:eastAsia="仿宋_GB2312"/>
          <w:sz w:val="32"/>
          <w:szCs w:val="32"/>
        </w:rPr>
        <w:t>0</w:t>
      </w:r>
      <w:r>
        <w:rPr>
          <w:rFonts w:hint="eastAsia" w:ascii="Times New Roman" w:hAnsi="Times New Roman" w:eastAsia="仿宋_GB2312"/>
          <w:sz w:val="32"/>
          <w:szCs w:val="32"/>
        </w:rPr>
        <w:t>万元（由于政府采购支出总额为</w:t>
      </w:r>
      <w:r>
        <w:rPr>
          <w:rFonts w:ascii="Times New Roman" w:hAnsi="Times New Roman" w:eastAsia="仿宋_GB2312"/>
          <w:sz w:val="32"/>
          <w:szCs w:val="32"/>
        </w:rPr>
        <w:t>0</w:t>
      </w:r>
      <w:r>
        <w:rPr>
          <w:rFonts w:hint="eastAsia" w:ascii="Times New Roman" w:hAnsi="Times New Roman" w:eastAsia="仿宋_GB2312"/>
          <w:sz w:val="32"/>
          <w:szCs w:val="32"/>
        </w:rPr>
        <w:t>，故无法计算占政府采购支出总额的比重），其中：授予小微企业合同金额</w:t>
      </w:r>
      <w:r>
        <w:rPr>
          <w:rFonts w:ascii="Times New Roman" w:hAnsi="Times New Roman" w:eastAsia="仿宋_GB2312"/>
          <w:sz w:val="32"/>
          <w:szCs w:val="32"/>
        </w:rPr>
        <w:t>0</w:t>
      </w:r>
      <w:r>
        <w:rPr>
          <w:rFonts w:hint="eastAsia" w:ascii="Times New Roman" w:hAnsi="Times New Roman" w:eastAsia="仿宋_GB2312"/>
          <w:sz w:val="32"/>
          <w:szCs w:val="32"/>
        </w:rPr>
        <w:t>万元（由于授予小微企业合同金额</w:t>
      </w:r>
      <w:r>
        <w:rPr>
          <w:rFonts w:ascii="Times New Roman" w:hAnsi="Times New Roman" w:eastAsia="仿宋_GB2312"/>
          <w:sz w:val="32"/>
          <w:szCs w:val="32"/>
        </w:rPr>
        <w:t>0</w:t>
      </w:r>
      <w:r>
        <w:rPr>
          <w:rFonts w:hint="eastAsia" w:ascii="Times New Roman" w:hAnsi="Times New Roman" w:eastAsia="仿宋_GB2312"/>
          <w:sz w:val="32"/>
          <w:szCs w:val="32"/>
        </w:rPr>
        <w:t>，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w:t>
      </w:r>
      <w:r>
        <w:rPr>
          <w:rFonts w:ascii="Times New Roman" w:hAnsi="Times New Roman" w:eastAsia="仿宋_GB2312"/>
          <w:sz w:val="32"/>
          <w:szCs w:val="32"/>
        </w:rPr>
        <w:t>0</w:t>
      </w:r>
      <w:r>
        <w:rPr>
          <w:rFonts w:hint="eastAsia" w:ascii="Times New Roman" w:hAnsi="Times New Roman" w:eastAsia="仿宋_GB2312"/>
          <w:sz w:val="32"/>
          <w:szCs w:val="32"/>
        </w:rPr>
        <w:t>，故无法计算各项占比。</w:t>
      </w:r>
    </w:p>
    <w:p w14:paraId="62B6BA8A">
      <w:pPr>
        <w:pStyle w:val="16"/>
        <w:spacing w:line="580" w:lineRule="exact"/>
        <w:ind w:firstLine="640" w:firstLineChars="200"/>
        <w:rPr>
          <w:rFonts w:hAnsi="黑体"/>
          <w:bCs/>
          <w:color w:val="auto"/>
          <w:sz w:val="32"/>
          <w:szCs w:val="32"/>
        </w:rPr>
      </w:pPr>
      <w:r>
        <w:rPr>
          <w:rFonts w:hint="eastAsia" w:hAnsi="黑体"/>
          <w:bCs/>
          <w:color w:val="auto"/>
          <w:sz w:val="32"/>
          <w:szCs w:val="32"/>
        </w:rPr>
        <w:t>十三、关于国有资产占用情况说明</w:t>
      </w:r>
    </w:p>
    <w:p w14:paraId="5C318271">
      <w:pPr>
        <w:pStyle w:val="16"/>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w:t>
      </w:r>
      <w:r>
        <w:rPr>
          <w:rFonts w:ascii="仿宋_GB2312" w:hAnsi="仿宋_GB2312" w:eastAsia="仿宋_GB2312" w:cs="仿宋_GB2312"/>
          <w:color w:val="auto"/>
          <w:sz w:val="32"/>
          <w:szCs w:val="32"/>
        </w:rPr>
        <w:t>2023</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rPr>
        <w:t>日，</w:t>
      </w:r>
      <w:r>
        <w:rPr>
          <w:rFonts w:hint="eastAsia" w:ascii="Times New Roman" w:hAnsi="Times New Roman" w:eastAsia="仿宋_GB2312"/>
          <w:sz w:val="32"/>
          <w:szCs w:val="32"/>
        </w:rPr>
        <w:t>本单位共有车辆</w:t>
      </w:r>
      <w:r>
        <w:rPr>
          <w:rFonts w:ascii="Times New Roman" w:hAnsi="Times New Roman" w:eastAsia="仿宋_GB2312"/>
          <w:sz w:val="32"/>
          <w:szCs w:val="32"/>
        </w:rPr>
        <w:t>0</w:t>
      </w:r>
      <w:r>
        <w:rPr>
          <w:rFonts w:hint="eastAsia" w:ascii="Times New Roman" w:hAnsi="Times New Roman" w:eastAsia="仿宋_GB2312"/>
          <w:sz w:val="32"/>
          <w:szCs w:val="32"/>
        </w:rPr>
        <w:t>辆，其中，主要领导干部用车</w:t>
      </w:r>
      <w:r>
        <w:rPr>
          <w:rFonts w:ascii="Times New Roman" w:hAnsi="Times New Roman" w:eastAsia="仿宋_GB2312"/>
          <w:sz w:val="32"/>
          <w:szCs w:val="32"/>
        </w:rPr>
        <w:t>0</w:t>
      </w:r>
      <w:r>
        <w:rPr>
          <w:rFonts w:hint="eastAsia" w:ascii="Times New Roman" w:hAnsi="Times New Roman" w:eastAsia="仿宋_GB2312"/>
          <w:sz w:val="32"/>
          <w:szCs w:val="32"/>
        </w:rPr>
        <w:t>辆，机要通信用车</w:t>
      </w:r>
      <w:r>
        <w:rPr>
          <w:rFonts w:ascii="Times New Roman" w:hAnsi="Times New Roman" w:eastAsia="仿宋_GB2312"/>
          <w:sz w:val="32"/>
          <w:szCs w:val="32"/>
        </w:rPr>
        <w:t>0</w:t>
      </w:r>
      <w:r>
        <w:rPr>
          <w:rFonts w:hint="eastAsia" w:ascii="Times New Roman" w:hAnsi="Times New Roman" w:eastAsia="仿宋_GB2312"/>
          <w:sz w:val="32"/>
          <w:szCs w:val="32"/>
        </w:rPr>
        <w:t>辆、应急保障用车</w:t>
      </w:r>
      <w:r>
        <w:rPr>
          <w:rFonts w:ascii="Times New Roman" w:hAnsi="Times New Roman" w:eastAsia="仿宋_GB2312"/>
          <w:sz w:val="32"/>
          <w:szCs w:val="32"/>
        </w:rPr>
        <w:t>0</w:t>
      </w:r>
      <w:r>
        <w:rPr>
          <w:rFonts w:hint="eastAsia" w:ascii="Times New Roman" w:hAnsi="Times New Roman" w:eastAsia="仿宋_GB2312"/>
          <w:sz w:val="32"/>
          <w:szCs w:val="32"/>
        </w:rPr>
        <w:t>辆、执法执勤用车</w:t>
      </w:r>
      <w:r>
        <w:rPr>
          <w:rFonts w:ascii="Times New Roman" w:hAnsi="Times New Roman" w:eastAsia="仿宋_GB2312"/>
          <w:sz w:val="32"/>
          <w:szCs w:val="32"/>
        </w:rPr>
        <w:t>0</w:t>
      </w:r>
      <w:r>
        <w:rPr>
          <w:rFonts w:hint="eastAsia" w:ascii="Times New Roman" w:hAnsi="Times New Roman" w:eastAsia="仿宋_GB2312"/>
          <w:sz w:val="32"/>
          <w:szCs w:val="32"/>
        </w:rPr>
        <w:t>辆、特种专业技术用车</w:t>
      </w:r>
      <w:r>
        <w:rPr>
          <w:rFonts w:ascii="Times New Roman" w:hAnsi="Times New Roman" w:eastAsia="仿宋_GB2312"/>
          <w:sz w:val="32"/>
          <w:szCs w:val="32"/>
        </w:rPr>
        <w:t>0</w:t>
      </w:r>
      <w:r>
        <w:rPr>
          <w:rFonts w:hint="eastAsia" w:ascii="Times New Roman" w:hAnsi="Times New Roman" w:eastAsia="仿宋_GB2312"/>
          <w:sz w:val="32"/>
          <w:szCs w:val="32"/>
        </w:rPr>
        <w:t>辆、其他用车</w:t>
      </w:r>
      <w:r>
        <w:rPr>
          <w:rFonts w:ascii="Times New Roman" w:hAnsi="Times New Roman" w:eastAsia="仿宋_GB2312"/>
          <w:sz w:val="32"/>
          <w:szCs w:val="32"/>
        </w:rPr>
        <w:t>0</w:t>
      </w:r>
      <w:r>
        <w:rPr>
          <w:rFonts w:hint="eastAsia" w:ascii="Times New Roman" w:hAnsi="Times New Roman" w:eastAsia="仿宋_GB2312"/>
          <w:sz w:val="32"/>
          <w:szCs w:val="32"/>
        </w:rPr>
        <w:t>辆，其他用车主要是无；单位价值</w:t>
      </w:r>
      <w:r>
        <w:rPr>
          <w:rFonts w:ascii="Times New Roman" w:hAnsi="Times New Roman" w:eastAsia="仿宋_GB2312"/>
          <w:sz w:val="32"/>
          <w:szCs w:val="32"/>
        </w:rPr>
        <w:t>50</w:t>
      </w:r>
      <w:r>
        <w:rPr>
          <w:rFonts w:hint="eastAsia" w:ascii="Times New Roman" w:hAnsi="Times New Roman" w:eastAsia="仿宋_GB2312"/>
          <w:sz w:val="32"/>
          <w:szCs w:val="32"/>
        </w:rPr>
        <w:t>万元以上通用设备</w:t>
      </w:r>
      <w:r>
        <w:rPr>
          <w:rFonts w:ascii="Times New Roman" w:hAnsi="Times New Roman" w:eastAsia="仿宋_GB2312"/>
          <w:sz w:val="32"/>
          <w:szCs w:val="32"/>
        </w:rPr>
        <w:t>0</w:t>
      </w:r>
      <w:r>
        <w:rPr>
          <w:rFonts w:hint="eastAsia" w:ascii="Times New Roman" w:hAnsi="Times New Roman" w:eastAsia="仿宋_GB2312"/>
          <w:sz w:val="32"/>
          <w:szCs w:val="32"/>
        </w:rPr>
        <w:t>台（套）；单位价值</w:t>
      </w:r>
      <w:r>
        <w:rPr>
          <w:rFonts w:ascii="Times New Roman" w:hAnsi="Times New Roman" w:eastAsia="仿宋_GB2312"/>
          <w:sz w:val="32"/>
          <w:szCs w:val="32"/>
        </w:rPr>
        <w:t>100</w:t>
      </w:r>
      <w:r>
        <w:rPr>
          <w:rFonts w:hint="eastAsia" w:ascii="Times New Roman" w:hAnsi="Times New Roman" w:eastAsia="仿宋_GB2312"/>
          <w:sz w:val="32"/>
          <w:szCs w:val="32"/>
        </w:rPr>
        <w:t>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台（套）。</w:t>
      </w:r>
    </w:p>
    <w:p w14:paraId="16587F22">
      <w:pPr>
        <w:pStyle w:val="16"/>
        <w:spacing w:line="580" w:lineRule="exact"/>
        <w:ind w:firstLine="640" w:firstLineChars="200"/>
        <w:rPr>
          <w:rFonts w:hAnsi="黑体"/>
          <w:bCs/>
          <w:color w:val="auto"/>
          <w:sz w:val="32"/>
          <w:szCs w:val="32"/>
        </w:rPr>
      </w:pPr>
      <w:r>
        <w:rPr>
          <w:rFonts w:hint="eastAsia" w:hAnsi="黑体"/>
          <w:bCs/>
          <w:color w:val="auto"/>
          <w:sz w:val="32"/>
          <w:szCs w:val="32"/>
        </w:rPr>
        <w:t>十四、关于</w:t>
      </w:r>
      <w:r>
        <w:rPr>
          <w:rFonts w:ascii="Times New Roman" w:hAnsi="Times New Roman" w:eastAsia="仿宋_GB2312"/>
          <w:color w:val="auto"/>
          <w:sz w:val="32"/>
          <w:szCs w:val="32"/>
        </w:rPr>
        <w:t>2023</w:t>
      </w:r>
      <w:r>
        <w:rPr>
          <w:rFonts w:hint="eastAsia" w:hAnsi="黑体"/>
          <w:bCs/>
          <w:color w:val="auto"/>
          <w:sz w:val="32"/>
          <w:szCs w:val="32"/>
        </w:rPr>
        <w:t>年度预算绩效情况的说明</w:t>
      </w:r>
    </w:p>
    <w:p w14:paraId="57DAE110">
      <w:pPr>
        <w:pStyle w:val="16"/>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597C9051">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根据预算绩效管理要求，我们组织对</w:t>
      </w:r>
      <w:r>
        <w:rPr>
          <w:rFonts w:ascii="仿宋_GB2312" w:hAnsi="仿宋_GB2312" w:eastAsia="仿宋_GB2312" w:cs="仿宋_GB2312"/>
          <w:color w:val="000000"/>
          <w:kern w:val="0"/>
          <w:sz w:val="32"/>
          <w:szCs w:val="32"/>
        </w:rPr>
        <w:t>2023</w:t>
      </w:r>
      <w:r>
        <w:rPr>
          <w:rFonts w:hint="eastAsia" w:ascii="仿宋_GB2312" w:hAnsi="仿宋_GB2312" w:eastAsia="仿宋_GB2312" w:cs="仿宋_GB2312"/>
          <w:color w:val="000000"/>
          <w:kern w:val="0"/>
          <w:sz w:val="32"/>
          <w:szCs w:val="32"/>
        </w:rPr>
        <w:t>年度整体支出和项目资金实施了全覆盖性的绩效评价，撰写了绩效自评报告。</w:t>
      </w:r>
    </w:p>
    <w:p w14:paraId="082170B0">
      <w:pPr>
        <w:autoSpaceDE w:val="0"/>
        <w:autoSpaceDN w:val="0"/>
        <w:adjustRightIn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组织开展整体支出绩效评价，涉及一般公共预算支出</w:t>
      </w:r>
      <w:r>
        <w:rPr>
          <w:rFonts w:ascii="仿宋_GB2312" w:hAnsi="仿宋_GB2312" w:eastAsia="仿宋_GB2312" w:cs="仿宋_GB2312"/>
          <w:color w:val="000000"/>
          <w:kern w:val="0"/>
          <w:sz w:val="32"/>
          <w:szCs w:val="32"/>
        </w:rPr>
        <w:t>4454.31</w:t>
      </w:r>
      <w:r>
        <w:rPr>
          <w:rFonts w:hint="eastAsia" w:ascii="仿宋_GB2312" w:hAnsi="仿宋_GB2312" w:eastAsia="仿宋_GB2312" w:cs="仿宋_GB2312"/>
          <w:color w:val="000000"/>
          <w:kern w:val="0"/>
          <w:sz w:val="32"/>
          <w:szCs w:val="32"/>
        </w:rPr>
        <w:t>万元，政府性基金预算支出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万元，国有资本经营预算支出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万元。从评价情况来看，整体支出绩效评价中，</w:t>
      </w:r>
      <w:r>
        <w:rPr>
          <w:rFonts w:ascii="仿宋_GB2312" w:hAnsi="仿宋_GB2312" w:eastAsia="仿宋_GB2312" w:cs="仿宋_GB2312"/>
          <w:color w:val="000000"/>
          <w:kern w:val="0"/>
          <w:sz w:val="32"/>
          <w:szCs w:val="32"/>
        </w:rPr>
        <w:t>2023</w:t>
      </w:r>
      <w:r>
        <w:rPr>
          <w:rFonts w:hint="eastAsia" w:ascii="仿宋_GB2312" w:hAnsi="仿宋_GB2312" w:eastAsia="仿宋_GB2312" w:cs="仿宋_GB2312"/>
          <w:color w:val="000000"/>
          <w:kern w:val="0"/>
          <w:sz w:val="32"/>
          <w:szCs w:val="32"/>
        </w:rPr>
        <w:t>年整体支出</w:t>
      </w:r>
      <w:r>
        <w:rPr>
          <w:rFonts w:ascii="仿宋_GB2312" w:hAnsi="仿宋_GB2312" w:eastAsia="仿宋_GB2312" w:cs="仿宋_GB2312"/>
          <w:color w:val="000000"/>
          <w:kern w:val="0"/>
          <w:sz w:val="32"/>
          <w:szCs w:val="32"/>
        </w:rPr>
        <w:t>5946.73</w:t>
      </w:r>
      <w:r>
        <w:rPr>
          <w:rFonts w:hint="eastAsia" w:ascii="仿宋_GB2312" w:hAnsi="仿宋_GB2312" w:eastAsia="仿宋_GB2312" w:cs="仿宋_GB2312"/>
          <w:color w:val="000000"/>
          <w:kern w:val="0"/>
          <w:sz w:val="32"/>
          <w:szCs w:val="32"/>
        </w:rPr>
        <w:t>万元，其中：基本支出</w:t>
      </w:r>
      <w:r>
        <w:rPr>
          <w:rFonts w:ascii="仿宋_GB2312" w:hAnsi="仿宋_GB2312" w:eastAsia="仿宋_GB2312" w:cs="仿宋_GB2312"/>
          <w:color w:val="000000"/>
          <w:kern w:val="0"/>
          <w:sz w:val="32"/>
          <w:szCs w:val="32"/>
        </w:rPr>
        <w:t>4997.56</w:t>
      </w:r>
      <w:r>
        <w:rPr>
          <w:rFonts w:hint="eastAsia" w:ascii="仿宋_GB2312" w:hAnsi="仿宋_GB2312" w:eastAsia="仿宋_GB2312" w:cs="仿宋_GB2312"/>
          <w:color w:val="000000"/>
          <w:kern w:val="0"/>
          <w:sz w:val="32"/>
          <w:szCs w:val="32"/>
        </w:rPr>
        <w:t>万元，项目支出</w:t>
      </w:r>
      <w:r>
        <w:rPr>
          <w:rFonts w:ascii="仿宋_GB2312" w:hAnsi="仿宋_GB2312" w:eastAsia="仿宋_GB2312" w:cs="仿宋_GB2312"/>
          <w:color w:val="000000"/>
          <w:kern w:val="0"/>
          <w:sz w:val="32"/>
          <w:szCs w:val="32"/>
        </w:rPr>
        <w:t>949.17</w:t>
      </w:r>
      <w:r>
        <w:rPr>
          <w:rFonts w:hint="eastAsia" w:ascii="仿宋_GB2312" w:hAnsi="仿宋_GB2312" w:eastAsia="仿宋_GB2312" w:cs="仿宋_GB2312"/>
          <w:color w:val="000000"/>
          <w:kern w:val="0"/>
          <w:sz w:val="32"/>
          <w:szCs w:val="32"/>
        </w:rPr>
        <w:t>万元，本单位整体支出绩效自评综合评分</w:t>
      </w:r>
      <w:r>
        <w:rPr>
          <w:rFonts w:ascii="仿宋_GB2312" w:hAnsi="仿宋_GB2312" w:eastAsia="仿宋_GB2312" w:cs="仿宋_GB2312"/>
          <w:color w:val="000000"/>
          <w:kern w:val="0"/>
          <w:sz w:val="32"/>
          <w:szCs w:val="32"/>
        </w:rPr>
        <w:t>95</w:t>
      </w:r>
      <w:r>
        <w:rPr>
          <w:rFonts w:hint="eastAsia" w:ascii="仿宋_GB2312" w:hAnsi="仿宋_GB2312" w:eastAsia="仿宋_GB2312" w:cs="仿宋_GB2312"/>
          <w:color w:val="000000"/>
          <w:kern w:val="0"/>
          <w:sz w:val="32"/>
          <w:szCs w:val="32"/>
        </w:rPr>
        <w:t>分，评价结果等次为优秀。</w:t>
      </w:r>
    </w:p>
    <w:p w14:paraId="21DB6E56">
      <w:pPr>
        <w:pStyle w:val="2"/>
        <w:rPr>
          <w:b/>
        </w:rPr>
      </w:pPr>
    </w:p>
    <w:p w14:paraId="5829DF6A">
      <w:pPr>
        <w:pStyle w:val="16"/>
        <w:spacing w:line="580" w:lineRule="exact"/>
        <w:ind w:firstLine="640" w:firstLineChars="200"/>
        <w:rPr>
          <w:rFonts w:ascii="仿宋_GB2312" w:hAnsi="仿宋_GB2312" w:eastAsia="仿宋_GB2312" w:cs="仿宋_GB2312"/>
          <w:sz w:val="32"/>
          <w:szCs w:val="32"/>
        </w:rPr>
      </w:pPr>
      <w:r>
        <w:rPr>
          <w:rFonts w:hint="eastAsia" w:ascii="仿宋_GB2312" w:hAnsi="楷体" w:eastAsia="仿宋_GB2312" w:cs="楷体"/>
          <w:bCs/>
          <w:sz w:val="32"/>
          <w:szCs w:val="32"/>
        </w:rPr>
        <w:t>组织对一般公共预算项目支出全面开展绩效自评，项目</w:t>
      </w:r>
      <w:r>
        <w:rPr>
          <w:rFonts w:ascii="仿宋_GB2312" w:hAnsi="楷体" w:eastAsia="仿宋_GB2312" w:cs="楷体"/>
          <w:bCs/>
          <w:sz w:val="32"/>
          <w:szCs w:val="32"/>
        </w:rPr>
        <w:t>0</w:t>
      </w:r>
      <w:r>
        <w:rPr>
          <w:rFonts w:hint="eastAsia" w:ascii="仿宋_GB2312" w:hAnsi="楷体" w:eastAsia="仿宋_GB2312" w:cs="楷体"/>
          <w:bCs/>
          <w:sz w:val="32"/>
          <w:szCs w:val="32"/>
        </w:rPr>
        <w:t>个，共涉及资金</w:t>
      </w:r>
      <w:r>
        <w:rPr>
          <w:rFonts w:ascii="仿宋_GB2312" w:hAnsi="楷体" w:eastAsia="仿宋_GB2312" w:cs="楷体"/>
          <w:bCs/>
          <w:sz w:val="32"/>
          <w:szCs w:val="32"/>
        </w:rPr>
        <w:t>0</w:t>
      </w:r>
      <w:r>
        <w:rPr>
          <w:rFonts w:hint="eastAsia" w:ascii="仿宋_GB2312" w:hAnsi="楷体" w:eastAsia="仿宋_GB2312" w:cs="楷体"/>
          <w:bCs/>
          <w:sz w:val="32"/>
          <w:szCs w:val="32"/>
        </w:rPr>
        <w:t>万元（由于一般公共预算项目支出总额为</w:t>
      </w:r>
      <w:r>
        <w:rPr>
          <w:rFonts w:ascii="仿宋_GB2312" w:hAnsi="楷体" w:eastAsia="仿宋_GB2312" w:cs="楷体"/>
          <w:bCs/>
          <w:sz w:val="32"/>
          <w:szCs w:val="32"/>
        </w:rPr>
        <w:t>0</w:t>
      </w:r>
      <w:r>
        <w:rPr>
          <w:rFonts w:hint="eastAsia" w:ascii="仿宋_GB2312" w:hAnsi="楷体" w:eastAsia="仿宋_GB2312" w:cs="楷体"/>
          <w:bCs/>
          <w:sz w:val="32"/>
          <w:szCs w:val="32"/>
        </w:rPr>
        <w:t>，故无法计算占一般公共预算项目支出总额的比重）。组织对政府性基金预算项目支出开展绩效自评，项目</w:t>
      </w:r>
      <w:r>
        <w:rPr>
          <w:rFonts w:ascii="仿宋_GB2312" w:hAnsi="楷体" w:eastAsia="仿宋_GB2312" w:cs="楷体"/>
          <w:bCs/>
          <w:sz w:val="32"/>
          <w:szCs w:val="32"/>
        </w:rPr>
        <w:t>0</w:t>
      </w:r>
      <w:r>
        <w:rPr>
          <w:rFonts w:hint="eastAsia" w:ascii="仿宋_GB2312" w:hAnsi="楷体" w:eastAsia="仿宋_GB2312" w:cs="楷体"/>
          <w:bCs/>
          <w:sz w:val="32"/>
          <w:szCs w:val="32"/>
        </w:rPr>
        <w:t>个，共涉及资金</w:t>
      </w:r>
      <w:r>
        <w:rPr>
          <w:rFonts w:ascii="仿宋_GB2312" w:hAnsi="楷体" w:eastAsia="仿宋_GB2312" w:cs="楷体"/>
          <w:bCs/>
          <w:sz w:val="32"/>
          <w:szCs w:val="32"/>
        </w:rPr>
        <w:t>0</w:t>
      </w:r>
      <w:r>
        <w:rPr>
          <w:rFonts w:hint="eastAsia" w:ascii="仿宋_GB2312" w:hAnsi="楷体" w:eastAsia="仿宋_GB2312" w:cs="楷体"/>
          <w:bCs/>
          <w:sz w:val="32"/>
          <w:szCs w:val="32"/>
        </w:rPr>
        <w:t>万元（由于政府性基金预算项目支出总额为</w:t>
      </w:r>
      <w:r>
        <w:rPr>
          <w:rFonts w:ascii="仿宋_GB2312" w:hAnsi="楷体" w:eastAsia="仿宋_GB2312" w:cs="楷体"/>
          <w:bCs/>
          <w:sz w:val="32"/>
          <w:szCs w:val="32"/>
        </w:rPr>
        <w:t>0</w:t>
      </w:r>
      <w:r>
        <w:rPr>
          <w:rFonts w:hint="eastAsia" w:ascii="仿宋_GB2312" w:hAnsi="楷体" w:eastAsia="仿宋_GB2312" w:cs="楷体"/>
          <w:bCs/>
          <w:sz w:val="32"/>
          <w:szCs w:val="32"/>
        </w:rPr>
        <w:t>，故无法计算占政府性基金预算项目支出总额的比重。）组织对国有资本经营预算项目支出开展绩效自评，项目</w:t>
      </w:r>
      <w:r>
        <w:rPr>
          <w:rFonts w:ascii="仿宋_GB2312" w:hAnsi="楷体" w:eastAsia="仿宋_GB2312" w:cs="楷体"/>
          <w:bCs/>
          <w:sz w:val="32"/>
          <w:szCs w:val="32"/>
        </w:rPr>
        <w:t>0</w:t>
      </w:r>
      <w:r>
        <w:rPr>
          <w:rFonts w:hint="eastAsia" w:ascii="仿宋_GB2312" w:hAnsi="楷体" w:eastAsia="仿宋_GB2312" w:cs="楷体"/>
          <w:bCs/>
          <w:sz w:val="32"/>
          <w:szCs w:val="32"/>
        </w:rPr>
        <w:t>个，共涉及资金</w:t>
      </w:r>
      <w:r>
        <w:rPr>
          <w:rFonts w:ascii="仿宋_GB2312" w:hAnsi="楷体" w:eastAsia="仿宋_GB2312" w:cs="楷体"/>
          <w:bCs/>
          <w:sz w:val="32"/>
          <w:szCs w:val="32"/>
        </w:rPr>
        <w:t>0</w:t>
      </w:r>
      <w:r>
        <w:rPr>
          <w:rFonts w:hint="eastAsia" w:ascii="仿宋_GB2312" w:hAnsi="楷体" w:eastAsia="仿宋_GB2312" w:cs="楷体"/>
          <w:bCs/>
          <w:sz w:val="32"/>
          <w:szCs w:val="32"/>
        </w:rPr>
        <w:t>万元（由于国有资本经营预算项目支出总额为</w:t>
      </w:r>
      <w:r>
        <w:rPr>
          <w:rFonts w:ascii="仿宋_GB2312" w:hAnsi="楷体" w:eastAsia="仿宋_GB2312" w:cs="楷体"/>
          <w:bCs/>
          <w:sz w:val="32"/>
          <w:szCs w:val="32"/>
        </w:rPr>
        <w:t>0</w:t>
      </w:r>
      <w:r>
        <w:rPr>
          <w:rFonts w:hint="eastAsia" w:ascii="仿宋_GB2312" w:hAnsi="楷体" w:eastAsia="仿宋_GB2312" w:cs="楷体"/>
          <w:bCs/>
          <w:sz w:val="32"/>
          <w:szCs w:val="32"/>
        </w:rPr>
        <w:t>，故无法计算占国有资本经营预算项目支出总额的比重）。</w:t>
      </w:r>
      <w:r>
        <w:rPr>
          <w:rFonts w:hint="eastAsia" w:ascii="仿宋_GB2312" w:hAnsi="仿宋_GB2312" w:eastAsia="仿宋_GB2312" w:cs="仿宋_GB2312"/>
          <w:sz w:val="32"/>
          <w:szCs w:val="32"/>
        </w:rPr>
        <w:t>从评价情况来看，项目绩效自评得分</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分，评价结果等次为优秀。</w:t>
      </w:r>
    </w:p>
    <w:p w14:paraId="71DC19EF">
      <w:pPr>
        <w:pStyle w:val="16"/>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370F20B8">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根据年初设定的绩效目标，绩效自评得分为</w:t>
      </w:r>
      <w:r>
        <w:rPr>
          <w:rFonts w:ascii="仿宋_GB2312" w:hAnsi="仿宋_GB2312" w:eastAsia="仿宋_GB2312" w:cs="仿宋_GB2312"/>
          <w:color w:val="000000"/>
          <w:kern w:val="0"/>
          <w:sz w:val="32"/>
          <w:szCs w:val="32"/>
        </w:rPr>
        <w:t>95</w:t>
      </w:r>
      <w:r>
        <w:rPr>
          <w:rFonts w:hint="eastAsia" w:ascii="仿宋_GB2312" w:hAnsi="仿宋_GB2312" w:eastAsia="仿宋_GB2312" w:cs="仿宋_GB2312"/>
          <w:color w:val="000000"/>
          <w:kern w:val="0"/>
          <w:sz w:val="32"/>
          <w:szCs w:val="32"/>
        </w:rPr>
        <w:t>分。全年预算数为</w:t>
      </w:r>
      <w:r>
        <w:rPr>
          <w:rFonts w:ascii="仿宋_GB2312" w:hAnsi="仿宋_GB2312" w:eastAsia="仿宋_GB2312" w:cs="仿宋_GB2312"/>
          <w:color w:val="000000"/>
          <w:kern w:val="0"/>
          <w:sz w:val="32"/>
          <w:szCs w:val="32"/>
        </w:rPr>
        <w:t xml:space="preserve">3557.09 </w:t>
      </w:r>
      <w:r>
        <w:rPr>
          <w:rFonts w:hint="eastAsia" w:ascii="仿宋_GB2312" w:hAnsi="仿宋_GB2312" w:eastAsia="仿宋_GB2312" w:cs="仿宋_GB2312"/>
          <w:color w:val="000000"/>
          <w:kern w:val="0"/>
          <w:sz w:val="32"/>
          <w:szCs w:val="32"/>
        </w:rPr>
        <w:t>万元，执行数为</w:t>
      </w:r>
      <w:r>
        <w:rPr>
          <w:rFonts w:ascii="仿宋_GB2312" w:hAnsi="仿宋_GB2312" w:eastAsia="仿宋_GB2312" w:cs="仿宋_GB2312"/>
          <w:color w:val="000000"/>
          <w:kern w:val="0"/>
          <w:sz w:val="32"/>
          <w:szCs w:val="32"/>
        </w:rPr>
        <w:t>4454.31</w:t>
      </w:r>
      <w:r>
        <w:rPr>
          <w:rFonts w:hint="eastAsia" w:ascii="仿宋_GB2312" w:hAnsi="仿宋_GB2312" w:eastAsia="仿宋_GB2312" w:cs="仿宋_GB2312"/>
          <w:color w:val="000000"/>
          <w:kern w:val="0"/>
          <w:sz w:val="32"/>
          <w:szCs w:val="32"/>
        </w:rPr>
        <w:t>万元，完成预算的</w:t>
      </w:r>
      <w:r>
        <w:rPr>
          <w:rFonts w:ascii="仿宋_GB2312" w:hAnsi="仿宋_GB2312" w:eastAsia="仿宋_GB2312" w:cs="仿宋_GB2312"/>
          <w:color w:val="000000"/>
          <w:kern w:val="0"/>
          <w:sz w:val="32"/>
          <w:szCs w:val="32"/>
        </w:rPr>
        <w:t>125.22%</w:t>
      </w:r>
      <w:r>
        <w:rPr>
          <w:rFonts w:hint="eastAsia" w:ascii="仿宋_GB2312" w:hAnsi="仿宋_GB2312" w:eastAsia="仿宋_GB2312" w:cs="仿宋_GB2312"/>
          <w:color w:val="000000"/>
          <w:kern w:val="0"/>
          <w:sz w:val="32"/>
          <w:szCs w:val="32"/>
        </w:rPr>
        <w:t>。绩效目标完成情况：</w:t>
      </w:r>
      <w:r>
        <w:rPr>
          <w:rFonts w:hint="eastAsia" w:ascii="仿宋_GB2312" w:hAnsi="仿宋_GB2312" w:eastAsia="仿宋_GB2312" w:cs="仿宋_GB2312"/>
          <w:sz w:val="32"/>
          <w:szCs w:val="32"/>
        </w:rPr>
        <w:t>一是全年收支平衡，无负债；二是按照绩效目标保质保量完成年初的预算。存在的主要问题及原因：一是学校办学条件需要不断改善；二是学校的固定资产管理还有待加强。</w:t>
      </w:r>
    </w:p>
    <w:p w14:paraId="03E55275">
      <w:pPr>
        <w:pStyle w:val="16"/>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0B6EC5D6">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下一步改进措施：一是加强学校办学条件的投入；二是严格管理好学校的固定资产等。</w:t>
      </w:r>
    </w:p>
    <w:p w14:paraId="03D0900C">
      <w:pPr>
        <w:autoSpaceDE w:val="0"/>
        <w:autoSpaceDN w:val="0"/>
        <w:adjustRightIn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预算绩效管理开展情况、绩效目标和绩效评价报告等，已在市政府部门财政预决算公开平台上向社会公开，详见附件。</w:t>
      </w:r>
    </w:p>
    <w:p w14:paraId="74D6CD77">
      <w:pPr>
        <w:autoSpaceDE w:val="0"/>
        <w:autoSpaceDN w:val="0"/>
        <w:adjustRightInd w:val="0"/>
        <w:jc w:val="left"/>
        <w:rPr>
          <w:rFonts w:ascii="楷体" w:hAnsi="楷体" w:eastAsia="楷体" w:cs="楷体"/>
          <w:b/>
          <w:bCs/>
          <w:color w:val="FF0000"/>
          <w:kern w:val="0"/>
          <w:sz w:val="36"/>
          <w:szCs w:val="36"/>
        </w:rPr>
      </w:pPr>
    </w:p>
    <w:p w14:paraId="09E0A147">
      <w:pPr>
        <w:pStyle w:val="16"/>
        <w:jc w:val="center"/>
        <w:rPr>
          <w:sz w:val="72"/>
          <w:szCs w:val="72"/>
        </w:rPr>
      </w:pPr>
    </w:p>
    <w:p w14:paraId="091E1BD2">
      <w:pPr>
        <w:pStyle w:val="16"/>
        <w:jc w:val="center"/>
        <w:rPr>
          <w:rFonts w:ascii="方正小标宋_GBK" w:hAnsi="方正小标宋_GBK" w:eastAsia="方正小标宋_GBK" w:cs="方正小标宋_GBK"/>
          <w:sz w:val="70"/>
          <w:szCs w:val="70"/>
        </w:rPr>
      </w:pPr>
    </w:p>
    <w:p w14:paraId="5612F816">
      <w:pPr>
        <w:pStyle w:val="16"/>
        <w:jc w:val="center"/>
        <w:rPr>
          <w:rFonts w:ascii="方正小标宋_GBK" w:hAnsi="方正小标宋_GBK" w:eastAsia="方正小标宋_GBK" w:cs="方正小标宋_GBK"/>
          <w:sz w:val="70"/>
          <w:szCs w:val="70"/>
        </w:rPr>
      </w:pPr>
    </w:p>
    <w:p w14:paraId="23BA1160">
      <w:pPr>
        <w:pStyle w:val="16"/>
        <w:jc w:val="center"/>
        <w:rPr>
          <w:rFonts w:ascii="方正小标宋_GBK" w:hAnsi="方正小标宋_GBK" w:eastAsia="方正小标宋_GBK" w:cs="方正小标宋_GBK"/>
          <w:sz w:val="72"/>
          <w:szCs w:val="72"/>
        </w:rPr>
      </w:pPr>
    </w:p>
    <w:p w14:paraId="4B052B41">
      <w:pPr>
        <w:pStyle w:val="16"/>
        <w:jc w:val="center"/>
        <w:rPr>
          <w:rFonts w:ascii="方正小标宋_GBK" w:hAnsi="方正小标宋_GBK" w:eastAsia="方正小标宋_GBK" w:cs="方正小标宋_GBK"/>
          <w:sz w:val="72"/>
          <w:szCs w:val="72"/>
        </w:rPr>
      </w:pPr>
    </w:p>
    <w:p w14:paraId="5BECD2EB">
      <w:pPr>
        <w:pStyle w:val="16"/>
        <w:jc w:val="center"/>
        <w:rPr>
          <w:rFonts w:ascii="方正小标宋_GBK" w:hAnsi="方正小标宋_GBK" w:eastAsia="方正小标宋_GBK" w:cs="方正小标宋_GBK"/>
          <w:sz w:val="72"/>
          <w:szCs w:val="72"/>
        </w:rPr>
      </w:pPr>
    </w:p>
    <w:p w14:paraId="7B69EE6C">
      <w:pPr>
        <w:pStyle w:val="16"/>
        <w:jc w:val="center"/>
        <w:rPr>
          <w:rFonts w:ascii="方正小标宋_GBK" w:hAnsi="方正小标宋_GBK" w:eastAsia="方正小标宋_GBK" w:cs="方正小标宋_GBK"/>
          <w:sz w:val="72"/>
          <w:szCs w:val="72"/>
        </w:rPr>
      </w:pPr>
    </w:p>
    <w:p w14:paraId="35C25C64">
      <w:pPr>
        <w:pStyle w:val="16"/>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F17E534">
      <w:pPr>
        <w:jc w:val="center"/>
        <w:rPr>
          <w:rFonts w:ascii="方正小标宋_GBK" w:hAnsi="方正小标宋_GBK" w:eastAsia="方正小标宋_GBK" w:cs="方正小标宋_GBK"/>
          <w:color w:val="000000"/>
          <w:kern w:val="0"/>
          <w:sz w:val="70"/>
          <w:szCs w:val="70"/>
        </w:rPr>
      </w:pPr>
    </w:p>
    <w:p w14:paraId="30F24BD9">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名词解释</w:t>
      </w:r>
    </w:p>
    <w:p w14:paraId="25477E91">
      <w:pPr>
        <w:pStyle w:val="2"/>
      </w:pPr>
    </w:p>
    <w:p w14:paraId="43DA5476">
      <w:pPr>
        <w:pStyle w:val="3"/>
        <w:ind w:left="31680" w:firstLine="31680"/>
      </w:pPr>
    </w:p>
    <w:p w14:paraId="054A64F9"/>
    <w:p w14:paraId="1113B016">
      <w:pPr>
        <w:pStyle w:val="2"/>
      </w:pPr>
    </w:p>
    <w:p w14:paraId="3F1937AB">
      <w:pPr>
        <w:pStyle w:val="3"/>
        <w:ind w:left="31680" w:firstLine="31680"/>
      </w:pPr>
    </w:p>
    <w:p w14:paraId="0ACFB05E"/>
    <w:p w14:paraId="2D661091">
      <w:pPr>
        <w:pStyle w:val="2"/>
      </w:pPr>
    </w:p>
    <w:p w14:paraId="7E604E8F">
      <w:pPr>
        <w:pStyle w:val="3"/>
        <w:ind w:left="31680" w:firstLine="31680"/>
      </w:pPr>
    </w:p>
    <w:p w14:paraId="7C1019BA"/>
    <w:p w14:paraId="0E9EF03A">
      <w:pPr>
        <w:pStyle w:val="2"/>
      </w:pPr>
    </w:p>
    <w:p w14:paraId="080775E8">
      <w:pPr>
        <w:pStyle w:val="3"/>
        <w:ind w:left="31680" w:firstLine="31680"/>
      </w:pPr>
    </w:p>
    <w:p w14:paraId="1BBB94D7"/>
    <w:p w14:paraId="0061B096">
      <w:pPr>
        <w:pStyle w:val="2"/>
      </w:pPr>
    </w:p>
    <w:p w14:paraId="64E1013F">
      <w:pPr>
        <w:pStyle w:val="3"/>
        <w:ind w:left="31680" w:firstLine="31680"/>
      </w:pPr>
    </w:p>
    <w:p w14:paraId="7B2EB4D6"/>
    <w:p w14:paraId="2F21FD0F">
      <w:pPr>
        <w:pStyle w:val="2"/>
      </w:pPr>
    </w:p>
    <w:p w14:paraId="0D301AC5">
      <w:pPr>
        <w:pStyle w:val="3"/>
        <w:ind w:left="31680" w:firstLine="31680"/>
      </w:pPr>
    </w:p>
    <w:p w14:paraId="59D806BC"/>
    <w:p w14:paraId="68119DDE">
      <w:pPr>
        <w:pStyle w:val="2"/>
      </w:pPr>
    </w:p>
    <w:p w14:paraId="302FE78F">
      <w:pPr>
        <w:pStyle w:val="3"/>
        <w:ind w:left="31680" w:firstLine="31680"/>
      </w:pPr>
    </w:p>
    <w:p w14:paraId="1A08CB3B"/>
    <w:p w14:paraId="2E7D9C57">
      <w:pPr>
        <w:pStyle w:val="2"/>
      </w:pPr>
    </w:p>
    <w:p w14:paraId="4FCCB83A">
      <w:pPr>
        <w:pStyle w:val="3"/>
        <w:ind w:left="31680" w:firstLine="31680"/>
      </w:pPr>
    </w:p>
    <w:p w14:paraId="3F294AEC"/>
    <w:p w14:paraId="1CB350E3">
      <w:pPr>
        <w:pStyle w:val="2"/>
      </w:pPr>
    </w:p>
    <w:p w14:paraId="3CDC7C2B">
      <w:pPr>
        <w:pStyle w:val="3"/>
        <w:ind w:left="31680" w:firstLine="31680"/>
      </w:pPr>
    </w:p>
    <w:p w14:paraId="3DC31B7C"/>
    <w:p w14:paraId="52E9C22B">
      <w:pPr>
        <w:pStyle w:val="2"/>
      </w:pPr>
    </w:p>
    <w:p w14:paraId="6ED06168">
      <w:pPr>
        <w:pStyle w:val="3"/>
        <w:ind w:left="31680" w:firstLine="31680"/>
      </w:pPr>
    </w:p>
    <w:p w14:paraId="7FE00C76"/>
    <w:p w14:paraId="1D96B9FE">
      <w:pPr>
        <w:pStyle w:val="2"/>
      </w:pPr>
    </w:p>
    <w:p w14:paraId="2D51781E">
      <w:pPr>
        <w:pStyle w:val="3"/>
        <w:ind w:left="31680" w:firstLine="31680"/>
      </w:pPr>
    </w:p>
    <w:p w14:paraId="45A0DF1F">
      <w:pPr>
        <w:pStyle w:val="3"/>
        <w:ind w:left="31680" w:firstLine="31680"/>
      </w:pPr>
    </w:p>
    <w:p w14:paraId="10773830"/>
    <w:p w14:paraId="26FBA952">
      <w:pPr>
        <w:pStyle w:val="2"/>
      </w:pPr>
    </w:p>
    <w:p w14:paraId="0521BC03">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78B89D3">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7854A68">
      <w:pPr>
        <w:autoSpaceDE w:val="0"/>
        <w:autoSpaceDN w:val="0"/>
        <w:adjustRightInd w:val="0"/>
        <w:ind w:firstLine="640" w:firstLineChars="200"/>
        <w:jc w:val="left"/>
        <w:rPr>
          <w:rFonts w:ascii="宋体" w:cs="黑体"/>
          <w:color w:val="000000"/>
          <w:kern w:val="0"/>
          <w:sz w:val="28"/>
          <w:szCs w:val="28"/>
        </w:rPr>
      </w:pPr>
      <w:r>
        <w:rPr>
          <w:rFonts w:hint="eastAsia" w:ascii="宋体" w:hAnsi="宋体" w:cs="黑体"/>
          <w:color w:val="000000"/>
          <w:kern w:val="0"/>
          <w:sz w:val="32"/>
          <w:szCs w:val="32"/>
        </w:rPr>
        <w:t>三、</w:t>
      </w:r>
      <w:r>
        <w:rPr>
          <w:rFonts w:hint="eastAsia" w:ascii="宋体" w:hAnsi="宋体" w:cs="黑体"/>
          <w:color w:val="000000"/>
          <w:kern w:val="0"/>
          <w:sz w:val="28"/>
          <w:szCs w:val="28"/>
        </w:rPr>
        <w:t>财政拨款收入：指本级财政当年拨付的资金。</w:t>
      </w:r>
    </w:p>
    <w:p w14:paraId="2F6018F1">
      <w:pPr>
        <w:autoSpaceDE w:val="0"/>
        <w:autoSpaceDN w:val="0"/>
        <w:adjustRightInd w:val="0"/>
        <w:ind w:firstLine="700" w:firstLineChars="250"/>
        <w:jc w:val="left"/>
        <w:rPr>
          <w:rFonts w:ascii="宋体" w:cs="黑体"/>
          <w:color w:val="000000"/>
          <w:kern w:val="0"/>
          <w:sz w:val="28"/>
          <w:szCs w:val="28"/>
        </w:rPr>
      </w:pPr>
      <w:r>
        <w:rPr>
          <w:rFonts w:hint="eastAsia" w:ascii="宋体" w:hAnsi="宋体" w:cs="黑体"/>
          <w:color w:val="000000"/>
          <w:kern w:val="0"/>
          <w:sz w:val="28"/>
          <w:szCs w:val="28"/>
        </w:rPr>
        <w:t>四、事业收入：指事业单位开展专业业务活动及辅助活动所取得的收入。</w:t>
      </w:r>
    </w:p>
    <w:p w14:paraId="234BF13D">
      <w:pPr>
        <w:autoSpaceDE w:val="0"/>
        <w:autoSpaceDN w:val="0"/>
        <w:adjustRightInd w:val="0"/>
        <w:ind w:firstLine="700" w:firstLineChars="250"/>
        <w:jc w:val="left"/>
        <w:rPr>
          <w:rFonts w:ascii="宋体" w:cs="黑体"/>
          <w:color w:val="000000"/>
          <w:kern w:val="0"/>
          <w:sz w:val="28"/>
          <w:szCs w:val="28"/>
        </w:rPr>
      </w:pPr>
      <w:r>
        <w:rPr>
          <w:rFonts w:hint="eastAsia" w:ascii="宋体" w:hAnsi="宋体" w:cs="黑体"/>
          <w:color w:val="000000"/>
          <w:kern w:val="0"/>
          <w:sz w:val="28"/>
          <w:szCs w:val="28"/>
        </w:rPr>
        <w:t>五、其他收入：指除上述“财政拨款收入”、“上级补助收入”、“事业收入”、“经营收入”、“附属单位上缴收入”等以外的收入。</w:t>
      </w:r>
    </w:p>
    <w:p w14:paraId="3ADDFEF4">
      <w:pPr>
        <w:autoSpaceDE w:val="0"/>
        <w:autoSpaceDN w:val="0"/>
        <w:adjustRightInd w:val="0"/>
        <w:ind w:firstLine="700" w:firstLineChars="250"/>
        <w:jc w:val="left"/>
        <w:rPr>
          <w:rFonts w:ascii="宋体" w:cs="黑体"/>
          <w:color w:val="000000"/>
          <w:kern w:val="0"/>
          <w:sz w:val="28"/>
          <w:szCs w:val="28"/>
        </w:rPr>
      </w:pPr>
      <w:r>
        <w:rPr>
          <w:rFonts w:hint="eastAsia" w:ascii="宋体" w:hAnsi="宋体" w:cs="黑体"/>
          <w:color w:val="000000"/>
          <w:kern w:val="0"/>
          <w:sz w:val="28"/>
          <w:szCs w:val="28"/>
        </w:rPr>
        <w:t>六、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0A666F2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七、教育支出（类）：是指用于政府教育事务支出，包括保障机构正常运转、完成日常和特定的工作任务或事业发展目标的支出。</w:t>
      </w:r>
    </w:p>
    <w:p w14:paraId="24EFEE6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八、文化体育与传媒支出（类）：是指用于文化、文物、体育、新闻出版广播影视等方面的支出，包括保障机构正常运转、完成日常和特定的工作任务或事业发展目标的支出。</w:t>
      </w:r>
    </w:p>
    <w:p w14:paraId="05F3340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九、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F8CB4AE">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十、卫生健康支出（类）：是指用于医疗卫生与计划生育方面的支出，包括保障机构正常运转、完成日常和特定的工作任务或事业发展目标的支出。</w:t>
      </w:r>
    </w:p>
    <w:p w14:paraId="74543D3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十一、其他支出（类）：是指用于反映除上述项目以外其他不能划分到具体功能科目中的支出项目，包括保障机构正常运转、完成日常和特定的工作任务或事业发展目标的支出。</w:t>
      </w:r>
    </w:p>
    <w:p w14:paraId="1816FFC8">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十二、基本支出：指保障机构正常运转、完成支日常工作任务而发生的人员支出和公用支出。</w:t>
      </w:r>
    </w:p>
    <w:p w14:paraId="79D2F1D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十三、项目支出：指在基本支出之外为完成特定行政任务和事业发展目标所发生的支出。</w:t>
      </w:r>
    </w:p>
    <w:p w14:paraId="10DA27D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十四、工资福利支出：反映单位开支的在职职工和编制外长期聘用人员的各类劳动报酬，以及为上述人员缴纳的各项社会保险费等。</w:t>
      </w:r>
    </w:p>
    <w:p w14:paraId="53CA7A5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十五、基本工资：反映按规定发放的基本工资，包括公务员的职务工资、级别工资；机关工人的岗位工资、技术等级工资；事业单位工作人员的岗位工资、薪级工资；各类学校毕业生试用期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28"/>
          <w:szCs w:val="28"/>
        </w:rPr>
        <w:t>(</w:t>
      </w:r>
      <w:r>
        <w:rPr>
          <w:rFonts w:hint="eastAsia" w:ascii="宋体" w:hAnsi="宋体" w:cs="黑体"/>
          <w:color w:val="000000"/>
          <w:kern w:val="0"/>
          <w:sz w:val="28"/>
          <w:szCs w:val="28"/>
        </w:rPr>
        <w:t>见习期</w:t>
      </w:r>
      <w:r>
        <w:rPr>
          <w:rFonts w:ascii="宋体" w:hAnsi="宋体" w:cs="黑体"/>
          <w:color w:val="000000"/>
          <w:kern w:val="0"/>
          <w:sz w:val="28"/>
          <w:szCs w:val="28"/>
        </w:rPr>
        <w:t>)</w:t>
      </w:r>
      <w:r>
        <w:rPr>
          <w:rFonts w:hint="eastAsia" w:ascii="宋体" w:hAnsi="宋体" w:cs="黑体"/>
          <w:color w:val="000000"/>
          <w:kern w:val="0"/>
          <w:sz w:val="28"/>
          <w:szCs w:val="28"/>
        </w:rPr>
        <w:t>工资、新参加工作工人学徒期、熟练期工资；军队（武警）军官、文职干部的职务（专业技术等级）工资、军衔（级别）工资、基础工资和军龄工资；军队士官的军衔等级工资、基础工资和军龄工资等。</w:t>
      </w:r>
    </w:p>
    <w:p w14:paraId="3431F65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十六、奖金：反映机关工作人员年终一次性奖金。</w:t>
      </w:r>
    </w:p>
    <w:p w14:paraId="2EE5454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十七、伙食补助费：反映单位发给职工的伙食补助费，如误餐补助等。</w:t>
      </w:r>
    </w:p>
    <w:p w14:paraId="62AD1D00">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十八、绩效工资：反映事业单位工作人员的绩效工资。</w:t>
      </w:r>
    </w:p>
    <w:p w14:paraId="11C8F25B">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十九、机关事业单位基本养老保险缴费：反映机关事业单位缴纳的基本养老保险费。由单位代扣的工作人员基本养老保险缴费，不在此科目反映。</w:t>
      </w:r>
    </w:p>
    <w:p w14:paraId="2FCC632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二十、职工基本医疗保险缴费：反映单位为职工缴纳的基本医疗保险费。</w:t>
      </w:r>
    </w:p>
    <w:p w14:paraId="4E643F2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二十一、其他社会保障缴费：反映单位为职工缴纳的基本医疗、失业、工伤、生育等社会保险费，残疾人就业保障金，军队（含武警）为军人缴纳的伤亡、退役医疗等社会保险费。</w:t>
      </w:r>
    </w:p>
    <w:p w14:paraId="279F835F">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二十二、住房公积金：反映行政事业单位按人力资源和社会保障部、财政部规定的基本工资和津贴补贴以及规定比例为职工缴纳的住房公积金。</w:t>
      </w:r>
    </w:p>
    <w:p w14:paraId="0BB6B3E3">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三、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3F25630">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二十四、商品和服务支出：反映单位购买商品和服务的支出（不包括用于购置固定资产的支出、战略性和应急储备支出）。</w:t>
      </w:r>
    </w:p>
    <w:p w14:paraId="4E85DC2D">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二十五、办公费：反映单位购买按财务会计制度规定不符合固定资产确认标准的日常办公用品、书报杂志等支出。</w:t>
      </w:r>
    </w:p>
    <w:p w14:paraId="0FEFF7E6">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二十六、印刷费：反映单位的印刷费支出。</w:t>
      </w:r>
    </w:p>
    <w:p w14:paraId="42D06C9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二十七、电费：反映单位的电费支出。</w:t>
      </w:r>
    </w:p>
    <w:p w14:paraId="5ACF2DE3">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二十八、物业管理费：反映单位开支的办公用房以及未实行职工住宅物业服务改革的在职职工和离退休人员宿舍等的物业管理费，包括综合治理、绿化、卫生等方面的支出。</w:t>
      </w:r>
    </w:p>
    <w:p w14:paraId="6C9A62A6">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二十九、差旅费：反映单位工作人员出差发生的城市间交通费、住宿费、伙食补贴费和市内交通费。</w:t>
      </w:r>
    </w:p>
    <w:p w14:paraId="1BD39B3D">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三十、维修</w:t>
      </w:r>
      <w:r>
        <w:rPr>
          <w:rFonts w:ascii="宋体" w:hAnsi="宋体" w:cs="黑体"/>
          <w:color w:val="000000"/>
          <w:kern w:val="0"/>
          <w:sz w:val="28"/>
          <w:szCs w:val="28"/>
        </w:rPr>
        <w:t>(</w:t>
      </w:r>
      <w:r>
        <w:rPr>
          <w:rFonts w:hint="eastAsia" w:ascii="宋体" w:hAnsi="宋体" w:cs="黑体"/>
          <w:color w:val="000000"/>
          <w:kern w:val="0"/>
          <w:sz w:val="28"/>
          <w:szCs w:val="28"/>
        </w:rPr>
        <w:t>护</w:t>
      </w:r>
      <w:r>
        <w:rPr>
          <w:rFonts w:ascii="宋体" w:hAnsi="宋体" w:cs="黑体"/>
          <w:color w:val="000000"/>
          <w:kern w:val="0"/>
          <w:sz w:val="28"/>
          <w:szCs w:val="28"/>
        </w:rPr>
        <w:t>)</w:t>
      </w:r>
      <w:r>
        <w:rPr>
          <w:rFonts w:hint="eastAsia" w:ascii="宋体" w:hAnsi="宋体" w:cs="黑体"/>
          <w:color w:val="000000"/>
          <w:kern w:val="0"/>
          <w:sz w:val="28"/>
          <w:szCs w:val="28"/>
        </w:rPr>
        <w:t>费：反映单位日常开支的固定资产（不包括车船等交通工具）修理和维护费用，网络信息系统运行与维护费用，以及按规定提取的修购基金。</w:t>
      </w:r>
    </w:p>
    <w:p w14:paraId="04BD5E8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一、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41AFAADA">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三十二、劳务费：反映支付给单位和个人的劳务费用，如临时聘用人员、钟点工工资，稿费、翻译费，评审费等。</w:t>
      </w:r>
    </w:p>
    <w:p w14:paraId="32249471">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三十三、工会经费：反映单位按规定提取的工会经费。</w:t>
      </w:r>
    </w:p>
    <w:p w14:paraId="3BC3743C">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三十四、其他交通费用：反映单位除公务用车运行维护费以外的其他交通费用。如公务交通补贴，租车费用、出租车费用，飞机、船舶等的燃料费、维修费、保险费等。</w:t>
      </w:r>
    </w:p>
    <w:p w14:paraId="2739C525">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三十五、其他商品和服务支出：反映上述科目未包括的日常公用支出。如行政赔偿费和诉讼费、国内组织的会员费、来访费、广告宣传、其他劳务费及离休人员特需费、公用经费等。</w:t>
      </w:r>
    </w:p>
    <w:p w14:paraId="173AAB42">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三十六、对个人和家庭的补助：反映政府用于对个人和家庭的补助支出。</w:t>
      </w:r>
    </w:p>
    <w:p w14:paraId="03907097">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三十七、退休费：反映行政事业单位和军队移交政府安置的退休人员的退休费和其他补贴。</w:t>
      </w:r>
    </w:p>
    <w:p w14:paraId="6456DD20">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71242B7">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三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1C6254A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四十、奖励金：反映政府各部门的奖励支出，如对个体私营经济的奖励、计划生育目标责任奖励、独生子女父母奖励等。</w:t>
      </w:r>
    </w:p>
    <w:p w14:paraId="1CD811E8">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四十一、办公设备购置：反映用于购置并按财务会计制度规定纳入固定资产核算范围的办公家具和办公设备的支出，以及按规定提取的修购基金。</w:t>
      </w:r>
    </w:p>
    <w:p w14:paraId="554F1654">
      <w:pPr>
        <w:autoSpaceDE w:val="0"/>
        <w:autoSpaceDN w:val="0"/>
        <w:adjustRightInd w:val="0"/>
        <w:ind w:firstLine="560" w:firstLineChars="200"/>
        <w:jc w:val="left"/>
        <w:rPr>
          <w:rFonts w:ascii="宋体" w:cs="黑体"/>
          <w:color w:val="000000"/>
          <w:kern w:val="0"/>
          <w:sz w:val="28"/>
          <w:szCs w:val="28"/>
        </w:rPr>
      </w:pPr>
      <w:r>
        <w:rPr>
          <w:rFonts w:hint="eastAsia" w:ascii="宋体" w:hAnsi="宋体" w:cs="黑体"/>
          <w:color w:val="000000"/>
          <w:kern w:val="0"/>
          <w:sz w:val="28"/>
          <w:szCs w:val="28"/>
        </w:rPr>
        <w:t>四十二、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6D9AD78">
      <w:pPr>
        <w:pStyle w:val="3"/>
        <w:ind w:left="31680" w:firstLine="31680"/>
      </w:pPr>
      <w:r>
        <w:rPr>
          <w:rFonts w:hint="eastAsia" w:cs="黑体"/>
          <w:color w:val="000000"/>
          <w:sz w:val="28"/>
          <w:szCs w:val="28"/>
        </w:rPr>
        <w:t>四十三、其他资本性支出：反映上述科目中未包括的资本性支出。</w:t>
      </w:r>
    </w:p>
    <w:p w14:paraId="5C27CF27"/>
    <w:p w14:paraId="2440BA4B">
      <w:pPr>
        <w:pStyle w:val="2"/>
      </w:pPr>
    </w:p>
    <w:p w14:paraId="5D27D568">
      <w:pPr>
        <w:pStyle w:val="3"/>
        <w:ind w:left="31680" w:firstLine="31680"/>
      </w:pPr>
    </w:p>
    <w:p w14:paraId="47975701"/>
    <w:p w14:paraId="6989EA91">
      <w:pPr>
        <w:pStyle w:val="2"/>
      </w:pPr>
    </w:p>
    <w:p w14:paraId="7A17E39B">
      <w:pPr>
        <w:pStyle w:val="3"/>
        <w:ind w:left="31680" w:firstLine="31680"/>
      </w:pPr>
    </w:p>
    <w:p w14:paraId="0E9643A3"/>
    <w:p w14:paraId="2C490000">
      <w:pPr>
        <w:pStyle w:val="2"/>
      </w:pPr>
    </w:p>
    <w:p w14:paraId="772F2D54">
      <w:pPr>
        <w:pStyle w:val="3"/>
        <w:ind w:left="31680" w:firstLine="31680"/>
      </w:pPr>
    </w:p>
    <w:p w14:paraId="411B8D48"/>
    <w:p w14:paraId="2BBDC085">
      <w:pPr>
        <w:pStyle w:val="2"/>
      </w:pPr>
    </w:p>
    <w:p w14:paraId="671D5C2E">
      <w:pPr>
        <w:pStyle w:val="3"/>
        <w:ind w:left="31680" w:firstLine="31680"/>
      </w:pPr>
    </w:p>
    <w:p w14:paraId="435C9140"/>
    <w:p w14:paraId="0C75C208">
      <w:pPr>
        <w:pStyle w:val="2"/>
      </w:pPr>
    </w:p>
    <w:p w14:paraId="151CA024">
      <w:pPr>
        <w:pStyle w:val="3"/>
        <w:ind w:left="31680" w:firstLine="31680"/>
      </w:pPr>
    </w:p>
    <w:p w14:paraId="6D5A7B8B">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第五部分</w:t>
      </w:r>
    </w:p>
    <w:p w14:paraId="6608EF3B">
      <w:pPr>
        <w:pStyle w:val="16"/>
        <w:jc w:val="both"/>
        <w:rPr>
          <w:rFonts w:ascii="方正小标宋_GBK" w:hAnsi="方正小标宋_GBK" w:eastAsia="方正小标宋_GBK" w:cs="方正小标宋_GBK"/>
          <w:sz w:val="70"/>
          <w:szCs w:val="70"/>
        </w:rPr>
      </w:pPr>
    </w:p>
    <w:p w14:paraId="7536AF9B">
      <w:pPr>
        <w:pStyle w:val="16"/>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附</w:t>
      </w:r>
      <w:r>
        <w:rPr>
          <w:rFonts w:ascii="方正小标宋_GBK" w:hAnsi="方正小标宋_GBK" w:eastAsia="方正小标宋_GBK" w:cs="方正小标宋_GBK"/>
          <w:sz w:val="70"/>
          <w:szCs w:val="70"/>
        </w:rPr>
        <w:t xml:space="preserve"> </w:t>
      </w:r>
      <w:r>
        <w:rPr>
          <w:rFonts w:hint="eastAsia" w:ascii="方正小标宋_GBK" w:hAnsi="方正小标宋_GBK" w:eastAsia="方正小标宋_GBK" w:cs="方正小标宋_GBK"/>
          <w:sz w:val="70"/>
          <w:szCs w:val="70"/>
        </w:rPr>
        <w:t>件</w:t>
      </w:r>
    </w:p>
    <w:p w14:paraId="7670EEDF">
      <w:pPr>
        <w:ind w:firstLine="640" w:firstLineChars="200"/>
        <w:jc w:val="left"/>
        <w:rPr>
          <w:rFonts w:ascii="宋体" w:cs="黑体"/>
          <w:b/>
          <w:color w:val="000000"/>
          <w:kern w:val="0"/>
          <w:sz w:val="32"/>
          <w:szCs w:val="32"/>
        </w:rPr>
      </w:pPr>
    </w:p>
    <w:p w14:paraId="6EE63D66">
      <w:pPr>
        <w:ind w:firstLine="640" w:firstLineChars="200"/>
        <w:jc w:val="left"/>
        <w:rPr>
          <w:rFonts w:ascii="宋体" w:cs="黑体"/>
          <w:b/>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2023</w:t>
      </w:r>
      <w:r>
        <w:rPr>
          <w:rFonts w:hint="eastAsia" w:ascii="宋体" w:hAnsi="宋体" w:cs="黑体"/>
          <w:b/>
          <w:color w:val="000000"/>
          <w:kern w:val="0"/>
          <w:sz w:val="32"/>
          <w:szCs w:val="32"/>
        </w:rPr>
        <w:t>年部门决算公开表格</w:t>
      </w:r>
    </w:p>
    <w:p w14:paraId="6D3066CF">
      <w:pPr>
        <w:ind w:firstLine="640" w:firstLineChars="200"/>
        <w:jc w:val="left"/>
        <w:rPr>
          <w:rFonts w:ascii="宋体" w:cs="黑体"/>
          <w:color w:val="000000"/>
          <w:kern w:val="0"/>
          <w:sz w:val="32"/>
          <w:szCs w:val="32"/>
        </w:r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2023</w:t>
      </w:r>
      <w:r>
        <w:rPr>
          <w:rFonts w:hint="eastAsia" w:ascii="宋体" w:hAnsi="宋体" w:cs="黑体"/>
          <w:b/>
          <w:color w:val="000000"/>
          <w:kern w:val="0"/>
          <w:sz w:val="32"/>
          <w:szCs w:val="32"/>
        </w:rPr>
        <w:t>年度部门整体支出绩效评价报告</w:t>
      </w:r>
    </w:p>
    <w:p w14:paraId="06D3C47A"/>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820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E88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B2D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21C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CFDF">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BAA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6F9"/>
    <w:rsid w:val="000209D8"/>
    <w:rsid w:val="0002229B"/>
    <w:rsid w:val="000273BD"/>
    <w:rsid w:val="00040CBC"/>
    <w:rsid w:val="000415B7"/>
    <w:rsid w:val="00041E3F"/>
    <w:rsid w:val="00055DAA"/>
    <w:rsid w:val="00061F7B"/>
    <w:rsid w:val="000658A3"/>
    <w:rsid w:val="00074155"/>
    <w:rsid w:val="000A3F69"/>
    <w:rsid w:val="00103957"/>
    <w:rsid w:val="00103B26"/>
    <w:rsid w:val="00103FD0"/>
    <w:rsid w:val="00104DAD"/>
    <w:rsid w:val="0012576E"/>
    <w:rsid w:val="00152C6D"/>
    <w:rsid w:val="00162D39"/>
    <w:rsid w:val="001678BD"/>
    <w:rsid w:val="00182373"/>
    <w:rsid w:val="001A67DB"/>
    <w:rsid w:val="001C3C29"/>
    <w:rsid w:val="001D51E5"/>
    <w:rsid w:val="001E080D"/>
    <w:rsid w:val="001E53D0"/>
    <w:rsid w:val="001F0C3B"/>
    <w:rsid w:val="00202C82"/>
    <w:rsid w:val="0020594E"/>
    <w:rsid w:val="00214427"/>
    <w:rsid w:val="00226CB7"/>
    <w:rsid w:val="0024362F"/>
    <w:rsid w:val="00264552"/>
    <w:rsid w:val="00264EF9"/>
    <w:rsid w:val="00265724"/>
    <w:rsid w:val="00265F4C"/>
    <w:rsid w:val="0027426B"/>
    <w:rsid w:val="002E0A30"/>
    <w:rsid w:val="002F6422"/>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4D0608"/>
    <w:rsid w:val="004D50BF"/>
    <w:rsid w:val="00500E5F"/>
    <w:rsid w:val="005122EF"/>
    <w:rsid w:val="0051441A"/>
    <w:rsid w:val="00517C33"/>
    <w:rsid w:val="00517D5F"/>
    <w:rsid w:val="00523644"/>
    <w:rsid w:val="00526F37"/>
    <w:rsid w:val="0054069E"/>
    <w:rsid w:val="00544866"/>
    <w:rsid w:val="005767CC"/>
    <w:rsid w:val="00590D9F"/>
    <w:rsid w:val="00595D26"/>
    <w:rsid w:val="005A74E6"/>
    <w:rsid w:val="005B404E"/>
    <w:rsid w:val="005D4D55"/>
    <w:rsid w:val="005E2CFB"/>
    <w:rsid w:val="005F2103"/>
    <w:rsid w:val="005F3D1C"/>
    <w:rsid w:val="006176D0"/>
    <w:rsid w:val="0062378F"/>
    <w:rsid w:val="00641842"/>
    <w:rsid w:val="00651EEC"/>
    <w:rsid w:val="00686673"/>
    <w:rsid w:val="00691E8C"/>
    <w:rsid w:val="006A22C4"/>
    <w:rsid w:val="006A351B"/>
    <w:rsid w:val="006B0422"/>
    <w:rsid w:val="006C1B53"/>
    <w:rsid w:val="006C5331"/>
    <w:rsid w:val="006D7730"/>
    <w:rsid w:val="006E5284"/>
    <w:rsid w:val="006E6176"/>
    <w:rsid w:val="006F3EB5"/>
    <w:rsid w:val="00702E34"/>
    <w:rsid w:val="00704395"/>
    <w:rsid w:val="00710FE7"/>
    <w:rsid w:val="00717621"/>
    <w:rsid w:val="00720FF1"/>
    <w:rsid w:val="00727A53"/>
    <w:rsid w:val="00787B42"/>
    <w:rsid w:val="007A4DFC"/>
    <w:rsid w:val="007C4539"/>
    <w:rsid w:val="007C62C5"/>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1139C"/>
    <w:rsid w:val="00A42218"/>
    <w:rsid w:val="00A70249"/>
    <w:rsid w:val="00A70B02"/>
    <w:rsid w:val="00A71D9F"/>
    <w:rsid w:val="00A92E9F"/>
    <w:rsid w:val="00AB18FF"/>
    <w:rsid w:val="00AD4F41"/>
    <w:rsid w:val="00B33BEA"/>
    <w:rsid w:val="00B57C9F"/>
    <w:rsid w:val="00B63572"/>
    <w:rsid w:val="00B845B3"/>
    <w:rsid w:val="00B85D8B"/>
    <w:rsid w:val="00BB4A40"/>
    <w:rsid w:val="00BD6C3E"/>
    <w:rsid w:val="00BE3674"/>
    <w:rsid w:val="00BE37F7"/>
    <w:rsid w:val="00C10681"/>
    <w:rsid w:val="00C3049A"/>
    <w:rsid w:val="00C31B1E"/>
    <w:rsid w:val="00C77645"/>
    <w:rsid w:val="00C82653"/>
    <w:rsid w:val="00CE04C3"/>
    <w:rsid w:val="00CE76A0"/>
    <w:rsid w:val="00D0566B"/>
    <w:rsid w:val="00D12DE9"/>
    <w:rsid w:val="00D148C6"/>
    <w:rsid w:val="00D17A8A"/>
    <w:rsid w:val="00D415BA"/>
    <w:rsid w:val="00D53016"/>
    <w:rsid w:val="00D63780"/>
    <w:rsid w:val="00D644EE"/>
    <w:rsid w:val="00DD06FF"/>
    <w:rsid w:val="00DD5FE9"/>
    <w:rsid w:val="00E00C7A"/>
    <w:rsid w:val="00E2294B"/>
    <w:rsid w:val="00E37D6C"/>
    <w:rsid w:val="00E55B68"/>
    <w:rsid w:val="00E561AE"/>
    <w:rsid w:val="00E67BE6"/>
    <w:rsid w:val="00E8683C"/>
    <w:rsid w:val="00E86B8A"/>
    <w:rsid w:val="00E879ED"/>
    <w:rsid w:val="00EA2B72"/>
    <w:rsid w:val="00F04D1A"/>
    <w:rsid w:val="00F54053"/>
    <w:rsid w:val="00F74360"/>
    <w:rsid w:val="00FB462F"/>
    <w:rsid w:val="00FE16FA"/>
    <w:rsid w:val="00FE328A"/>
    <w:rsid w:val="00FE6269"/>
    <w:rsid w:val="00FF5CD6"/>
    <w:rsid w:val="059958AD"/>
    <w:rsid w:val="12583BA5"/>
    <w:rsid w:val="13BA5B9C"/>
    <w:rsid w:val="1D97DEFF"/>
    <w:rsid w:val="1DFF72E5"/>
    <w:rsid w:val="1EFC6F07"/>
    <w:rsid w:val="22AC03C2"/>
    <w:rsid w:val="2FDF85B8"/>
    <w:rsid w:val="2FFFEE04"/>
    <w:rsid w:val="31C95635"/>
    <w:rsid w:val="34DF85B0"/>
    <w:rsid w:val="3B8F36BC"/>
    <w:rsid w:val="491FF225"/>
    <w:rsid w:val="4FFD214C"/>
    <w:rsid w:val="5352765A"/>
    <w:rsid w:val="5777D4F5"/>
    <w:rsid w:val="59DD8326"/>
    <w:rsid w:val="5C3E4FEC"/>
    <w:rsid w:val="5DEF592A"/>
    <w:rsid w:val="5FC6BB1E"/>
    <w:rsid w:val="5FF720F1"/>
    <w:rsid w:val="67FF5C0B"/>
    <w:rsid w:val="6BAA4A2F"/>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0"/>
    <w:semiHidden/>
    <w:uiPriority w:val="99"/>
    <w:pPr>
      <w:snapToGrid w:val="0"/>
      <w:jc w:val="left"/>
    </w:pPr>
    <w:rPr>
      <w:sz w:val="18"/>
      <w:szCs w:val="18"/>
    </w:rPr>
  </w:style>
  <w:style w:type="paragraph" w:styleId="3">
    <w:name w:val="Body Text First Indent 2"/>
    <w:basedOn w:val="4"/>
    <w:next w:val="1"/>
    <w:link w:val="12"/>
    <w:uiPriority w:val="99"/>
    <w:pPr>
      <w:ind w:firstLine="420" w:firstLineChars="200"/>
    </w:pPr>
  </w:style>
  <w:style w:type="paragraph" w:styleId="4">
    <w:name w:val="Body Text Indent"/>
    <w:basedOn w:val="1"/>
    <w:next w:val="3"/>
    <w:link w:val="11"/>
    <w:uiPriority w:val="99"/>
    <w:pPr>
      <w:widowControl/>
      <w:spacing w:after="120"/>
      <w:ind w:left="420" w:leftChars="200"/>
      <w:jc w:val="left"/>
    </w:pPr>
    <w:rPr>
      <w:rFonts w:ascii="宋体" w:hAnsi="宋体" w:cs="宋体"/>
      <w:kern w:val="0"/>
      <w:sz w:val="24"/>
    </w:rPr>
  </w:style>
  <w:style w:type="paragraph" w:styleId="5">
    <w:name w:val="Balloon Text"/>
    <w:basedOn w:val="1"/>
    <w:link w:val="13"/>
    <w:semiHidden/>
    <w:uiPriority w:val="99"/>
    <w:rPr>
      <w:sz w:val="18"/>
      <w:szCs w:val="18"/>
    </w:rPr>
  </w:style>
  <w:style w:type="paragraph" w:styleId="6">
    <w:name w:val="footer"/>
    <w:basedOn w:val="1"/>
    <w:link w:val="14"/>
    <w:uiPriority w:val="99"/>
    <w:pPr>
      <w:tabs>
        <w:tab w:val="center" w:pos="4153"/>
        <w:tab w:val="right" w:pos="8306"/>
      </w:tabs>
      <w:snapToGrid w:val="0"/>
      <w:jc w:val="left"/>
    </w:pPr>
    <w:rPr>
      <w:sz w:val="18"/>
      <w:szCs w:val="18"/>
    </w:rPr>
  </w:style>
  <w:style w:type="paragraph" w:styleId="7">
    <w:name w:val="header"/>
    <w:basedOn w:val="1"/>
    <w:link w:val="15"/>
    <w:uiPriority w:val="99"/>
    <w:pPr>
      <w:pBdr>
        <w:bottom w:val="single" w:color="auto" w:sz="6" w:space="1"/>
      </w:pBdr>
      <w:tabs>
        <w:tab w:val="center" w:pos="4153"/>
        <w:tab w:val="right" w:pos="8306"/>
      </w:tabs>
      <w:snapToGrid w:val="0"/>
      <w:jc w:val="center"/>
    </w:pPr>
    <w:rPr>
      <w:sz w:val="18"/>
      <w:szCs w:val="18"/>
    </w:rPr>
  </w:style>
  <w:style w:type="character" w:customStyle="1" w:styleId="10">
    <w:name w:val="Footnote Text Char"/>
    <w:basedOn w:val="9"/>
    <w:link w:val="2"/>
    <w:semiHidden/>
    <w:locked/>
    <w:uiPriority w:val="99"/>
    <w:rPr>
      <w:rFonts w:ascii="Calibri" w:hAnsi="Calibri" w:cs="Times New Roman"/>
      <w:sz w:val="18"/>
      <w:szCs w:val="18"/>
    </w:rPr>
  </w:style>
  <w:style w:type="character" w:customStyle="1" w:styleId="11">
    <w:name w:val="Body Text Indent Char"/>
    <w:basedOn w:val="9"/>
    <w:link w:val="4"/>
    <w:semiHidden/>
    <w:locked/>
    <w:uiPriority w:val="99"/>
    <w:rPr>
      <w:rFonts w:ascii="Calibri" w:hAnsi="Calibri" w:cs="Times New Roman"/>
    </w:rPr>
  </w:style>
  <w:style w:type="character" w:customStyle="1" w:styleId="12">
    <w:name w:val="Body Text First Indent 2 Char"/>
    <w:basedOn w:val="11"/>
    <w:link w:val="3"/>
    <w:semiHidden/>
    <w:locked/>
    <w:uiPriority w:val="99"/>
  </w:style>
  <w:style w:type="character" w:customStyle="1" w:styleId="13">
    <w:name w:val="Balloon Text Char"/>
    <w:basedOn w:val="9"/>
    <w:link w:val="5"/>
    <w:semiHidden/>
    <w:locked/>
    <w:uiPriority w:val="99"/>
    <w:rPr>
      <w:rFonts w:cs="Times New Roman"/>
      <w:sz w:val="18"/>
      <w:szCs w:val="18"/>
    </w:rPr>
  </w:style>
  <w:style w:type="character" w:customStyle="1" w:styleId="14">
    <w:name w:val="Footer Char"/>
    <w:basedOn w:val="9"/>
    <w:link w:val="6"/>
    <w:locked/>
    <w:uiPriority w:val="99"/>
    <w:rPr>
      <w:rFonts w:cs="Times New Roman"/>
      <w:sz w:val="18"/>
      <w:szCs w:val="18"/>
    </w:rPr>
  </w:style>
  <w:style w:type="character" w:customStyle="1" w:styleId="15">
    <w:name w:val="Header Char"/>
    <w:basedOn w:val="9"/>
    <w:link w:val="7"/>
    <w:locked/>
    <w:uiPriority w:val="99"/>
    <w:rPr>
      <w:rFonts w:cs="Times New Roman"/>
      <w:sz w:val="18"/>
      <w:szCs w:val="18"/>
    </w:rPr>
  </w:style>
  <w:style w:type="paragraph" w:customStyle="1" w:styleId="16">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7">
    <w:name w:val="List Paragraph"/>
    <w:basedOn w:val="1"/>
    <w:qFormat/>
    <w:uiPriority w:val="99"/>
    <w:pPr>
      <w:ind w:firstLine="420" w:firstLineChars="200"/>
    </w:pPr>
  </w:style>
  <w:style w:type="character" w:customStyle="1" w:styleId="18">
    <w:name w:val="font01"/>
    <w:basedOn w:val="9"/>
    <w:uiPriority w:val="99"/>
    <w:rPr>
      <w:rFonts w:ascii="宋体" w:hAnsi="宋体" w:eastAsia="宋体" w:cs="宋体"/>
      <w:color w:val="000000"/>
      <w:sz w:val="22"/>
      <w:szCs w:val="22"/>
      <w:u w:val="none"/>
    </w:rPr>
  </w:style>
  <w:style w:type="character" w:customStyle="1" w:styleId="19">
    <w:name w:val="font21"/>
    <w:basedOn w:val="9"/>
    <w:uiPriority w:val="99"/>
    <w:rPr>
      <w:rFonts w:ascii="宋体" w:hAnsi="宋体" w:eastAsia="宋体" w:cs="宋体"/>
      <w:color w:val="000000"/>
      <w:sz w:val="24"/>
      <w:szCs w:val="24"/>
      <w:u w:val="none"/>
    </w:rPr>
  </w:style>
  <w:style w:type="character" w:customStyle="1" w:styleId="20">
    <w:name w:val="font11"/>
    <w:basedOn w:val="9"/>
    <w:uiPriority w:val="99"/>
    <w:rPr>
      <w:rFonts w:ascii="宋体" w:hAnsi="宋体" w:eastAsia="宋体" w:cs="宋体"/>
      <w:color w:val="000000"/>
      <w:sz w:val="24"/>
      <w:szCs w:val="24"/>
      <w:u w:val="none"/>
    </w:rPr>
  </w:style>
  <w:style w:type="character" w:customStyle="1" w:styleId="21">
    <w:name w:val="页脚 Char"/>
    <w:basedOn w:val="9"/>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8133</Words>
  <Characters>8600</Characters>
  <Lines>0</Lines>
  <Paragraphs>0</Paragraphs>
  <TotalTime>1245</TotalTime>
  <ScaleCrop>false</ScaleCrop>
  <LinksUpToDate>false</LinksUpToDate>
  <CharactersWithSpaces>8618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小廖</cp:lastModifiedBy>
  <cp:lastPrinted>2024-08-08T10:20:00Z</cp:lastPrinted>
  <dcterms:modified xsi:type="dcterms:W3CDTF">2025-07-28T03:29:17Z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B602D0AA475E4CFC97D5F48757E31393_13</vt:lpwstr>
  </property>
  <property fmtid="{D5CDD505-2E9C-101B-9397-08002B2CF9AE}" pid="4" name="KSOTemplateDocerSaveRecord">
    <vt:lpwstr>eyJoZGlkIjoiNTA0OWJlYjhlZjc4NmRkMmIzNGFkZWJjYjFhZWZmZDciLCJ1c2VySWQiOiI1MDU1NTk4OTUifQ==</vt:lpwstr>
  </property>
</Properties>
</file>