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52ADF96">
      <w:pPr>
        <w:pStyle w:val="style4099"/>
        <w:jc w:val="center"/>
        <w:rPr>
          <w:sz w:val="56"/>
          <w:szCs w:val="56"/>
        </w:rPr>
      </w:pPr>
    </w:p>
    <w:p w14:paraId="6DB72F90">
      <w:pPr>
        <w:pStyle w:val="style4099"/>
        <w:jc w:val="center"/>
        <w:rPr>
          <w:sz w:val="56"/>
          <w:szCs w:val="56"/>
        </w:rPr>
      </w:pPr>
    </w:p>
    <w:p w14:paraId="11212915">
      <w:pPr>
        <w:pStyle w:val="style4099"/>
        <w:jc w:val="center"/>
        <w:rPr>
          <w:sz w:val="84"/>
          <w:szCs w:val="84"/>
        </w:rPr>
      </w:pPr>
    </w:p>
    <w:p w14:paraId="01612D73">
      <w:pPr>
        <w:pStyle w:val="style4099"/>
        <w:jc w:val="center"/>
        <w:rPr>
          <w:sz w:val="84"/>
          <w:szCs w:val="84"/>
        </w:rPr>
      </w:pPr>
    </w:p>
    <w:p w14:paraId="07AE15D0">
      <w:pPr>
        <w:pStyle w:val="style4099"/>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rPr>
        <w:t>202</w:t>
      </w:r>
      <w:r>
        <w:rPr>
          <w:rFonts w:ascii="方正小标宋_GBK" w:cs="方正小标宋_GBK" w:eastAsia="方正小标宋_GBK" w:hAnsi="方正小标宋_GBK" w:hint="eastAsia"/>
          <w:sz w:val="84"/>
          <w:szCs w:val="84"/>
          <w:lang w:val="en-US" w:eastAsia="zh-CN"/>
        </w:rPr>
        <w:t>3</w:t>
      </w:r>
      <w:r>
        <w:rPr>
          <w:rFonts w:ascii="方正小标宋_GBK" w:cs="方正小标宋_GBK" w:eastAsia="方正小标宋_GBK" w:hAnsi="方正小标宋_GBK" w:hint="eastAsia"/>
          <w:sz w:val="84"/>
          <w:szCs w:val="84"/>
        </w:rPr>
        <w:t>年度</w:t>
      </w:r>
    </w:p>
    <w:p w14:paraId="11C88AEC">
      <w:pPr>
        <w:pStyle w:val="style4099"/>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lang w:val="en-US" w:eastAsia="zh-CN"/>
        </w:rPr>
        <w:t>岳阳市第一中学</w:t>
      </w:r>
      <w:r>
        <w:rPr>
          <w:rFonts w:ascii="方正小标宋_GBK" w:cs="方正小标宋_GBK" w:eastAsia="方正小标宋_GBK" w:hAnsi="方正小标宋_GBK" w:hint="eastAsia"/>
          <w:sz w:val="84"/>
          <w:szCs w:val="84"/>
        </w:rPr>
        <w:t>部门决算</w:t>
      </w:r>
    </w:p>
    <w:p w14:paraId="761B48EE">
      <w:pPr>
        <w:pStyle w:val="style4099"/>
        <w:jc w:val="center"/>
        <w:rPr>
          <w:rFonts w:ascii="方正小标宋_GBK" w:cs="方正小标宋_GBK" w:eastAsia="方正小标宋_GBK" w:hAnsi="方正小标宋_GBK" w:hint="eastAsia"/>
          <w:sz w:val="56"/>
          <w:szCs w:val="56"/>
        </w:rPr>
      </w:pPr>
    </w:p>
    <w:p w14:paraId="62BB7C9F">
      <w:pPr>
        <w:pStyle w:val="style4099"/>
        <w:jc w:val="center"/>
        <w:rPr>
          <w:sz w:val="56"/>
          <w:szCs w:val="56"/>
        </w:rPr>
      </w:pPr>
    </w:p>
    <w:p w14:paraId="5354BCCA">
      <w:pPr>
        <w:pStyle w:val="style4099"/>
        <w:jc w:val="center"/>
        <w:rPr>
          <w:sz w:val="56"/>
          <w:szCs w:val="56"/>
        </w:rPr>
      </w:pPr>
    </w:p>
    <w:p w14:paraId="08575462">
      <w:pPr>
        <w:pStyle w:val="style4099"/>
        <w:jc w:val="center"/>
        <w:rPr>
          <w:sz w:val="56"/>
          <w:szCs w:val="56"/>
        </w:rPr>
      </w:pPr>
    </w:p>
    <w:p w14:paraId="39149210">
      <w:pPr>
        <w:pStyle w:val="style4099"/>
        <w:jc w:val="center"/>
        <w:rPr>
          <w:sz w:val="32"/>
          <w:szCs w:val="32"/>
        </w:rPr>
      </w:pPr>
    </w:p>
    <w:p w14:paraId="063B4E1A">
      <w:pPr>
        <w:pStyle w:val="style4099"/>
        <w:jc w:val="center"/>
        <w:rPr>
          <w:sz w:val="32"/>
          <w:szCs w:val="32"/>
        </w:rPr>
      </w:pPr>
    </w:p>
    <w:p w14:paraId="2B79C10D">
      <w:pPr>
        <w:pStyle w:val="style4099"/>
        <w:jc w:val="center"/>
        <w:rPr>
          <w:sz w:val="32"/>
          <w:szCs w:val="32"/>
        </w:rPr>
      </w:pPr>
    </w:p>
    <w:p w14:paraId="79E700DF">
      <w:pPr>
        <w:pStyle w:val="style4099"/>
        <w:jc w:val="center"/>
        <w:rPr>
          <w:sz w:val="32"/>
          <w:szCs w:val="32"/>
        </w:rPr>
      </w:pPr>
    </w:p>
    <w:p w14:paraId="2ACA4204">
      <w:pPr>
        <w:pStyle w:val="style4099"/>
        <w:jc w:val="center"/>
        <w:rPr>
          <w:sz w:val="32"/>
          <w:szCs w:val="32"/>
        </w:rPr>
      </w:pPr>
    </w:p>
    <w:p w14:paraId="6C290887">
      <w:pPr>
        <w:pStyle w:val="style4099"/>
        <w:spacing w:lineRule="exact" w:line="540"/>
        <w:jc w:val="center"/>
        <w:rPr>
          <w:sz w:val="56"/>
          <w:szCs w:val="56"/>
        </w:rPr>
      </w:pPr>
    </w:p>
    <w:p w14:paraId="0E658FD5">
      <w:pPr>
        <w:pStyle w:val="style4099"/>
        <w:spacing w:lineRule="exact" w:line="500"/>
        <w:jc w:val="both"/>
        <w:rPr>
          <w:b/>
          <w:sz w:val="36"/>
          <w:szCs w:val="28"/>
        </w:rPr>
      </w:pPr>
    </w:p>
    <w:p w14:paraId="03853C7E">
      <w:pPr>
        <w:pStyle w:val="style4099"/>
        <w:spacing w:lineRule="exact" w:line="500"/>
        <w:jc w:val="center"/>
        <w:rPr>
          <w:b/>
          <w:sz w:val="36"/>
          <w:szCs w:val="28"/>
        </w:rPr>
      </w:pPr>
      <w:r>
        <w:rPr>
          <w:rFonts w:hint="eastAsia"/>
          <w:b/>
          <w:sz w:val="36"/>
          <w:szCs w:val="28"/>
        </w:rPr>
        <w:t>目录</w:t>
      </w:r>
    </w:p>
    <w:p w14:paraId="11406504">
      <w:pPr>
        <w:pStyle w:val="style4099"/>
        <w:spacing w:lineRule="exact" w:line="500"/>
        <w:rPr>
          <w:rFonts w:ascii="黑体" w:cs="黑体" w:eastAsia="黑体" w:hAnsi="黑体" w:hint="eastAsia"/>
          <w:b w:val="false"/>
          <w:bCs/>
          <w:sz w:val="28"/>
          <w:szCs w:val="28"/>
        </w:rPr>
      </w:pPr>
      <w:r>
        <w:rPr>
          <w:rFonts w:ascii="黑体" w:cs="黑体" w:eastAsia="黑体" w:hAnsi="黑体" w:hint="eastAsia"/>
          <w:b w:val="false"/>
          <w:bCs/>
          <w:sz w:val="28"/>
          <w:szCs w:val="28"/>
        </w:rPr>
        <w:t>第一部分</w:t>
      </w:r>
      <w:r>
        <w:rPr>
          <w:rFonts w:ascii="黑体" w:cs="黑体" w:eastAsia="黑体" w:hAnsi="黑体" w:hint="eastAsia"/>
          <w:b w:val="false"/>
          <w:bCs/>
          <w:sz w:val="28"/>
          <w:szCs w:val="28"/>
          <w:lang w:val="en-US" w:eastAsia="zh-CN"/>
        </w:rPr>
        <w:t xml:space="preserve"> </w:t>
      </w:r>
      <w:r>
        <w:rPr>
          <w:rFonts w:cs="黑体" w:hAnsi="黑体" w:hint="eastAsia"/>
          <w:b w:val="false"/>
          <w:bCs/>
          <w:sz w:val="28"/>
          <w:szCs w:val="28"/>
          <w:lang w:val="en-US" w:eastAsia="zh-CN"/>
        </w:rPr>
        <w:t>岳阳市第一中学</w:t>
      </w:r>
      <w:r>
        <w:rPr>
          <w:rFonts w:ascii="黑体" w:cs="黑体" w:eastAsia="黑体" w:hAnsi="黑体" w:hint="eastAsia"/>
          <w:b w:val="false"/>
          <w:bCs/>
          <w:sz w:val="28"/>
          <w:szCs w:val="28"/>
        </w:rPr>
        <w:t>概况</w:t>
      </w:r>
    </w:p>
    <w:p w14:paraId="1BE91FEA">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一、部门职责</w:t>
      </w:r>
    </w:p>
    <w:p w14:paraId="4C5D4A29">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二、机构设置及决算单位构成</w:t>
      </w:r>
    </w:p>
    <w:p w14:paraId="1D696BDD">
      <w:pPr>
        <w:pStyle w:val="style4099"/>
        <w:spacing w:lineRule="exact" w:line="500"/>
        <w:rPr>
          <w:rFonts w:ascii="黑体" w:cs="黑体" w:eastAsia="黑体" w:hAnsi="黑体" w:hint="eastAsia"/>
          <w:b w:val="false"/>
          <w:bCs/>
          <w:sz w:val="28"/>
          <w:szCs w:val="28"/>
        </w:rPr>
      </w:pPr>
      <w:r>
        <w:rPr>
          <w:rFonts w:ascii="黑体" w:cs="黑体" w:eastAsia="黑体" w:hAnsi="黑体" w:hint="eastAsia"/>
          <w:b w:val="false"/>
          <w:bCs/>
          <w:sz w:val="28"/>
          <w:szCs w:val="28"/>
        </w:rPr>
        <w:t>第二部分</w:t>
      </w:r>
      <w:r>
        <w:rPr>
          <w:rFonts w:ascii="黑体" w:cs="黑体" w:eastAsia="黑体" w:hAnsi="黑体" w:hint="eastAsia"/>
          <w:b w:val="false"/>
          <w:bCs/>
          <w:sz w:val="28"/>
          <w:szCs w:val="28"/>
          <w:lang w:val="en-US" w:eastAsia="zh-CN"/>
        </w:rPr>
        <w:t xml:space="preserve"> </w:t>
      </w:r>
      <w:r>
        <w:rPr>
          <w:rFonts w:ascii="黑体" w:cs="黑体" w:eastAsia="黑体" w:hAnsi="黑体" w:hint="eastAsia"/>
          <w:b w:val="false"/>
          <w:bCs/>
          <w:sz w:val="28"/>
          <w:szCs w:val="28"/>
        </w:rPr>
        <w:t>部门决算表</w:t>
      </w:r>
    </w:p>
    <w:p w14:paraId="679A9D4B">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一、收入支出决算总表</w:t>
      </w:r>
    </w:p>
    <w:p w14:paraId="48E045D7">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二、收入决算表</w:t>
      </w:r>
    </w:p>
    <w:p w14:paraId="186139F5">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三、支出决算表</w:t>
      </w:r>
    </w:p>
    <w:p w14:paraId="318F8715">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四、财政拨款收入支出决算总表</w:t>
      </w:r>
    </w:p>
    <w:p w14:paraId="1C5C0A73">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五、一般公共预算财政拨款支出决算表</w:t>
      </w:r>
    </w:p>
    <w:p w14:paraId="676F9B3D">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六、一般公共预算财政拨款基本支出决算明细表</w:t>
      </w:r>
    </w:p>
    <w:p w14:paraId="7D697DB8">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七、政府性基金预算财政拨款收入支出决算表</w:t>
      </w:r>
    </w:p>
    <w:p w14:paraId="56E21CE8">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八、国有资本经营预算财政拨款支出决算表</w:t>
      </w:r>
    </w:p>
    <w:p w14:paraId="008C5B39">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九、财政拨款“三公”经费支出决算表</w:t>
      </w:r>
    </w:p>
    <w:p w14:paraId="1DE31CC7">
      <w:pPr>
        <w:pStyle w:val="style4099"/>
        <w:spacing w:lineRule="exact" w:line="500"/>
        <w:rPr>
          <w:rFonts w:ascii="黑体" w:cs="黑体" w:eastAsia="黑体" w:hAnsi="黑体" w:hint="eastAsia"/>
          <w:b w:val="false"/>
          <w:bCs/>
          <w:sz w:val="28"/>
          <w:szCs w:val="28"/>
        </w:rPr>
      </w:pPr>
      <w:r>
        <w:rPr>
          <w:rFonts w:ascii="黑体" w:cs="黑体" w:eastAsia="黑体" w:hAnsi="黑体" w:hint="eastAsia"/>
          <w:b w:val="false"/>
          <w:bCs/>
          <w:sz w:val="28"/>
          <w:szCs w:val="28"/>
        </w:rPr>
        <w:t>第三部分</w:t>
      </w:r>
      <w:r>
        <w:rPr>
          <w:rFonts w:ascii="黑体" w:cs="黑体" w:eastAsia="黑体" w:hAnsi="黑体" w:hint="eastAsia"/>
          <w:b w:val="false"/>
          <w:bCs/>
          <w:sz w:val="28"/>
          <w:szCs w:val="28"/>
          <w:lang w:val="en-US" w:eastAsia="zh-CN"/>
        </w:rPr>
        <w:t xml:space="preserve"> </w:t>
      </w:r>
      <w:r>
        <w:rPr>
          <w:rFonts w:ascii="黑体" w:cs="黑体" w:eastAsia="黑体" w:hAnsi="黑体" w:hint="eastAsia"/>
          <w:b w:val="false"/>
          <w:bCs/>
          <w:sz w:val="28"/>
          <w:szCs w:val="28"/>
        </w:rPr>
        <w:t>部门决算情况说明</w:t>
      </w:r>
    </w:p>
    <w:p w14:paraId="5A2419F4">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一、收入支出决算总体情况说明</w:t>
      </w:r>
    </w:p>
    <w:p w14:paraId="7AC5C36E">
      <w:pPr>
        <w:pStyle w:val="style0"/>
        <w:spacing w:lineRule="exact" w:line="500"/>
        <w:ind w:firstLine="700" w:firstLineChars="250"/>
        <w:jc w:val="left"/>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二、收入决算情况说明</w:t>
      </w:r>
    </w:p>
    <w:p w14:paraId="66A12B8E">
      <w:pPr>
        <w:pStyle w:val="style0"/>
        <w:autoSpaceDE w:val="false"/>
        <w:autoSpaceDN w:val="false"/>
        <w:adjustRightInd w:val="false"/>
        <w:spacing w:lineRule="exact" w:line="500"/>
        <w:ind w:firstLine="700" w:firstLineChars="250"/>
        <w:jc w:val="left"/>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三、支出决算情况说明</w:t>
      </w:r>
    </w:p>
    <w:p w14:paraId="5278C9A9">
      <w:pPr>
        <w:pStyle w:val="style0"/>
        <w:autoSpaceDE w:val="false"/>
        <w:autoSpaceDN w:val="false"/>
        <w:adjustRightInd w:val="false"/>
        <w:spacing w:lineRule="exact" w:line="500"/>
        <w:ind w:firstLine="700" w:firstLineChars="250"/>
        <w:jc w:val="left"/>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四、财政拨款收入支出决算总体情况说明</w:t>
      </w:r>
    </w:p>
    <w:p w14:paraId="1FCF1443">
      <w:pPr>
        <w:pStyle w:val="style0"/>
        <w:autoSpaceDE w:val="false"/>
        <w:autoSpaceDN w:val="false"/>
        <w:adjustRightInd w:val="false"/>
        <w:spacing w:lineRule="exact" w:line="500"/>
        <w:ind w:firstLine="700" w:firstLineChars="250"/>
        <w:jc w:val="left"/>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五、一般公共预算财政拨款支出决算情况说明</w:t>
      </w:r>
    </w:p>
    <w:p w14:paraId="767558AE">
      <w:pPr>
        <w:pStyle w:val="style0"/>
        <w:autoSpaceDE w:val="false"/>
        <w:autoSpaceDN w:val="false"/>
        <w:adjustRightInd w:val="false"/>
        <w:spacing w:lineRule="exact" w:line="500"/>
        <w:ind w:firstLine="700" w:firstLineChars="250"/>
        <w:jc w:val="left"/>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六、一般公共预算财政拨款基本支出决算情况说明</w:t>
      </w:r>
    </w:p>
    <w:p w14:paraId="18D7ADEE">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48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七、政府性基金预算收入支出决算情况</w:t>
      </w:r>
    </w:p>
    <w:p w14:paraId="06F40914">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48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八、</w:t>
      </w:r>
      <w:r>
        <w:rPr>
          <w:rFonts w:ascii="仿宋_GB2312" w:cs="仿宋_GB2312" w:eastAsia="仿宋_GB2312" w:hAnsi="仿宋_GB2312" w:hint="eastAsia"/>
          <w:sz w:val="28"/>
          <w:szCs w:val="28"/>
        </w:rPr>
        <w:t>国有资本经营预算财政拨款支出决算</w:t>
      </w:r>
      <w:r>
        <w:rPr>
          <w:rFonts w:ascii="仿宋_GB2312" w:cs="仿宋_GB2312" w:eastAsia="仿宋_GB2312" w:hAnsi="仿宋_GB2312" w:hint="eastAsia"/>
          <w:sz w:val="28"/>
          <w:szCs w:val="28"/>
          <w:lang w:eastAsia="zh-CN"/>
        </w:rPr>
        <w:t>情况</w:t>
      </w:r>
    </w:p>
    <w:p w14:paraId="3626EAAB">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480"/>
        <w:ind w:firstLine="700" w:firstLineChars="250"/>
        <w:jc w:val="left"/>
        <w:textAlignment w:val="auto"/>
        <w:rPr>
          <w:rFonts w:ascii="仿宋_GB2312" w:cs="仿宋_GB2312" w:eastAsia="仿宋_GB2312" w:hAnsi="仿宋_GB2312" w:hint="eastAsia"/>
          <w:color w:val="000000"/>
          <w:kern w:val="0"/>
          <w:sz w:val="28"/>
          <w:szCs w:val="28"/>
          <w:lang w:eastAsia="zh-CN"/>
        </w:rPr>
      </w:pPr>
      <w:r>
        <w:rPr>
          <w:rFonts w:ascii="仿宋_GB2312" w:cs="仿宋_GB2312" w:eastAsia="仿宋_GB2312" w:hAnsi="仿宋_GB2312" w:hint="eastAsia"/>
          <w:color w:val="000000"/>
          <w:kern w:val="0"/>
          <w:sz w:val="28"/>
          <w:szCs w:val="28"/>
        </w:rPr>
        <w:t>九、财政拨款三公经费支出决算情况说明</w:t>
      </w:r>
    </w:p>
    <w:p w14:paraId="2492E90E">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48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十、关于机关运行经费支出说明</w:t>
      </w:r>
    </w:p>
    <w:p w14:paraId="7B9B774A">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48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十一、一般性支出情况说明</w:t>
      </w:r>
    </w:p>
    <w:p w14:paraId="5E534D9D">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48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sz w:val="28"/>
          <w:szCs w:val="28"/>
        </w:rPr>
        <w:t>十二、</w:t>
      </w:r>
      <w:r>
        <w:rPr>
          <w:rFonts w:ascii="仿宋_GB2312" w:cs="仿宋_GB2312" w:eastAsia="仿宋_GB2312" w:hAnsi="仿宋_GB2312" w:hint="eastAsia"/>
          <w:color w:val="000000"/>
          <w:kern w:val="0"/>
          <w:sz w:val="28"/>
          <w:szCs w:val="28"/>
        </w:rPr>
        <w:t>关于政府采购支出说明</w:t>
      </w:r>
    </w:p>
    <w:p w14:paraId="3967B165">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480"/>
        <w:ind w:firstLine="700" w:firstLineChars="250"/>
        <w:textAlignment w:val="auto"/>
        <w:rPr>
          <w:rFonts w:ascii="仿宋_GB2312" w:cs="仿宋_GB2312" w:eastAsia="仿宋_GB2312" w:hAnsi="仿宋_GB2312" w:hint="eastAsia"/>
          <w:color w:val="000000"/>
          <w:kern w:val="0"/>
          <w:sz w:val="28"/>
          <w:szCs w:val="28"/>
          <w:lang w:val="en-US" w:bidi="ar-SA" w:eastAsia="zh-CN"/>
        </w:rPr>
      </w:pPr>
      <w:r>
        <w:rPr>
          <w:rFonts w:ascii="仿宋_GB2312" w:cs="仿宋_GB2312" w:eastAsia="仿宋_GB2312" w:hAnsi="仿宋_GB2312" w:hint="eastAsia"/>
          <w:color w:val="000000"/>
          <w:kern w:val="0"/>
          <w:sz w:val="28"/>
          <w:szCs w:val="28"/>
          <w:lang w:val="en-US" w:bidi="ar-SA" w:eastAsia="zh-CN"/>
        </w:rPr>
        <w:t>十三、关于国有资产占用情况说明</w:t>
      </w:r>
    </w:p>
    <w:p w14:paraId="6A3A993E">
      <w:pPr>
        <w:pStyle w:val="style4099"/>
        <w:spacing w:lineRule="exact" w:line="500"/>
        <w:ind w:firstLine="700" w:firstLineChars="250"/>
        <w:rPr>
          <w:rFonts w:ascii="仿宋_GB2312" w:cs="仿宋_GB2312" w:eastAsia="仿宋_GB2312" w:hAnsi="仿宋_GB2312" w:hint="eastAsia"/>
          <w:sz w:val="28"/>
          <w:szCs w:val="28"/>
        </w:rPr>
      </w:pPr>
      <w:r>
        <w:rPr>
          <w:rFonts w:ascii="仿宋_GB2312" w:cs="仿宋_GB2312" w:eastAsia="仿宋_GB2312" w:hAnsi="仿宋_GB2312" w:hint="eastAsia"/>
          <w:color w:val="000000"/>
          <w:kern w:val="0"/>
          <w:sz w:val="28"/>
          <w:szCs w:val="28"/>
          <w:lang w:val="en-US" w:bidi="ar-SA" w:eastAsia="zh-CN"/>
        </w:rPr>
        <w:t>十四、</w:t>
      </w:r>
      <w:r>
        <w:rPr>
          <w:rFonts w:ascii="仿宋_GB2312" w:cs="仿宋_GB2312" w:eastAsia="仿宋_GB2312" w:hAnsi="仿宋_GB2312" w:hint="eastAsia"/>
          <w:sz w:val="28"/>
          <w:szCs w:val="28"/>
        </w:rPr>
        <w:t>关于</w:t>
      </w:r>
      <w:r>
        <w:rPr>
          <w:rFonts w:ascii="Times New Roman" w:cs="Times New Roman" w:eastAsia="仿宋_GB2312" w:hAnsi="Times New Roman" w:hint="default"/>
          <w:sz w:val="28"/>
          <w:szCs w:val="28"/>
        </w:rPr>
        <w:t>202</w:t>
      </w:r>
      <w:r>
        <w:rPr>
          <w:rFonts w:ascii="Times New Roman" w:cs="Times New Roman" w:eastAsia="仿宋_GB2312" w:hAnsi="Times New Roman" w:hint="default"/>
          <w:sz w:val="28"/>
          <w:szCs w:val="28"/>
          <w:lang w:val="en-US" w:eastAsia="zh-CN"/>
        </w:rPr>
        <w:t>3</w:t>
      </w:r>
      <w:r>
        <w:rPr>
          <w:rFonts w:ascii="仿宋_GB2312" w:cs="仿宋_GB2312" w:eastAsia="仿宋_GB2312" w:hAnsi="仿宋_GB2312" w:hint="eastAsia"/>
          <w:sz w:val="28"/>
          <w:szCs w:val="28"/>
        </w:rPr>
        <w:t>年度</w:t>
      </w:r>
      <w:r>
        <w:rPr>
          <w:rFonts w:ascii="仿宋_GB2312" w:cs="仿宋_GB2312" w:eastAsia="仿宋_GB2312" w:hAnsi="仿宋_GB2312" w:hint="eastAsia"/>
          <w:sz w:val="28"/>
          <w:szCs w:val="28"/>
          <w:lang w:eastAsia="zh-CN"/>
        </w:rPr>
        <w:t>预算</w:t>
      </w:r>
      <w:r>
        <w:rPr>
          <w:rFonts w:ascii="仿宋_GB2312" w:cs="仿宋_GB2312" w:eastAsia="仿宋_GB2312" w:hAnsi="仿宋_GB2312" w:hint="eastAsia"/>
          <w:sz w:val="28"/>
          <w:szCs w:val="28"/>
        </w:rPr>
        <w:t>绩效情况的说明</w:t>
      </w:r>
    </w:p>
    <w:p w14:paraId="3377994B">
      <w:pPr>
        <w:pStyle w:val="style4099"/>
        <w:spacing w:lineRule="exact" w:line="500"/>
        <w:rPr>
          <w:rFonts w:ascii="黑体" w:cs="黑体" w:eastAsia="黑体" w:hAnsi="黑体" w:hint="eastAsia"/>
          <w:b w:val="false"/>
          <w:bCs/>
          <w:sz w:val="28"/>
          <w:szCs w:val="28"/>
        </w:rPr>
      </w:pPr>
      <w:r>
        <w:rPr>
          <w:rFonts w:ascii="黑体" w:cs="黑体" w:eastAsia="黑体" w:hAnsi="黑体" w:hint="eastAsia"/>
          <w:b w:val="false"/>
          <w:bCs/>
          <w:sz w:val="28"/>
          <w:szCs w:val="28"/>
        </w:rPr>
        <w:t>第四部分</w:t>
      </w:r>
      <w:r>
        <w:rPr>
          <w:rFonts w:ascii="黑体" w:cs="黑体" w:eastAsia="黑体" w:hAnsi="黑体" w:hint="eastAsia"/>
          <w:b w:val="false"/>
          <w:bCs/>
          <w:sz w:val="28"/>
          <w:szCs w:val="28"/>
          <w:lang w:val="en-US" w:eastAsia="zh-CN"/>
        </w:rPr>
        <w:t xml:space="preserve"> </w:t>
      </w:r>
      <w:r>
        <w:rPr>
          <w:rFonts w:ascii="黑体" w:cs="黑体" w:eastAsia="黑体" w:hAnsi="黑体" w:hint="eastAsia"/>
          <w:b w:val="false"/>
          <w:bCs/>
          <w:sz w:val="28"/>
          <w:szCs w:val="28"/>
        </w:rPr>
        <w:t>名词解释</w:t>
      </w:r>
    </w:p>
    <w:p w14:paraId="6B005CFB">
      <w:pPr>
        <w:pStyle w:val="style4099"/>
        <w:spacing w:lineRule="exact" w:line="500"/>
        <w:rPr>
          <w:rFonts w:ascii="黑体" w:cs="黑体" w:eastAsia="黑体" w:hAnsi="黑体" w:hint="eastAsia"/>
          <w:b w:val="false"/>
          <w:bCs/>
          <w:sz w:val="28"/>
          <w:szCs w:val="28"/>
          <w:lang w:eastAsia="zh-CN"/>
        </w:rPr>
      </w:pPr>
      <w:r>
        <w:rPr>
          <w:rFonts w:ascii="黑体" w:cs="黑体" w:eastAsia="黑体" w:hAnsi="黑体" w:hint="eastAsia"/>
          <w:b w:val="false"/>
          <w:bCs/>
          <w:sz w:val="28"/>
          <w:szCs w:val="28"/>
        </w:rPr>
        <w:t>第</w:t>
      </w:r>
      <w:r>
        <w:rPr>
          <w:rFonts w:cs="黑体" w:hAnsi="黑体" w:hint="eastAsia"/>
          <w:b w:val="false"/>
          <w:bCs/>
          <w:sz w:val="28"/>
          <w:szCs w:val="28"/>
          <w:lang w:eastAsia="zh-CN"/>
        </w:rPr>
        <w:t>五</w:t>
      </w:r>
      <w:r>
        <w:rPr>
          <w:rFonts w:ascii="黑体" w:cs="黑体" w:eastAsia="黑体" w:hAnsi="黑体" w:hint="eastAsia"/>
          <w:b w:val="false"/>
          <w:bCs/>
          <w:sz w:val="28"/>
          <w:szCs w:val="28"/>
        </w:rPr>
        <w:t>部分</w:t>
      </w:r>
      <w:r>
        <w:rPr>
          <w:rFonts w:ascii="黑体" w:cs="黑体" w:eastAsia="黑体" w:hAnsi="黑体" w:hint="eastAsia"/>
          <w:b w:val="false"/>
          <w:bCs/>
          <w:sz w:val="28"/>
          <w:szCs w:val="28"/>
          <w:lang w:val="en-US" w:eastAsia="zh-CN"/>
        </w:rPr>
        <w:t xml:space="preserve"> </w:t>
      </w:r>
      <w:r>
        <w:rPr>
          <w:rFonts w:cs="黑体" w:hAnsi="黑体" w:hint="eastAsia"/>
          <w:b w:val="false"/>
          <w:bCs/>
          <w:sz w:val="28"/>
          <w:szCs w:val="28"/>
          <w:lang w:eastAsia="zh-CN"/>
        </w:rPr>
        <w:t>附件</w:t>
      </w:r>
    </w:p>
    <w:p w14:paraId="24F38D11">
      <w:pPr>
        <w:pStyle w:val="style4099"/>
        <w:jc w:val="center"/>
        <w:rPr>
          <w:rFonts w:ascii="方正小标宋_GBK" w:cs="方正小标宋_GBK" w:eastAsia="方正小标宋_GBK" w:hAnsi="方正小标宋_GBK" w:hint="eastAsia"/>
          <w:sz w:val="84"/>
          <w:szCs w:val="84"/>
        </w:rPr>
      </w:pPr>
    </w:p>
    <w:p w14:paraId="52DF7B3D">
      <w:pPr>
        <w:pStyle w:val="style4099"/>
        <w:jc w:val="center"/>
        <w:rPr>
          <w:rFonts w:ascii="方正小标宋_GBK" w:cs="方正小标宋_GBK" w:eastAsia="方正小标宋_GBK" w:hAnsi="方正小标宋_GBK" w:hint="eastAsia"/>
          <w:sz w:val="84"/>
          <w:szCs w:val="84"/>
        </w:rPr>
      </w:pPr>
    </w:p>
    <w:p w14:paraId="44BA68E8">
      <w:pPr>
        <w:pStyle w:val="style4099"/>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rPr>
        <w:t xml:space="preserve">第一部分 </w:t>
      </w:r>
    </w:p>
    <w:p w14:paraId="07D0D9ED">
      <w:pPr>
        <w:pStyle w:val="style4099"/>
        <w:jc w:val="center"/>
        <w:rPr>
          <w:rFonts w:ascii="方正小标宋_GBK" w:cs="方正小标宋_GBK" w:eastAsia="方正小标宋_GBK" w:hAnsi="方正小标宋_GBK" w:hint="eastAsia"/>
          <w:sz w:val="84"/>
          <w:szCs w:val="84"/>
        </w:rPr>
      </w:pPr>
    </w:p>
    <w:p w14:paraId="4F4B7C7C">
      <w:pPr>
        <w:pStyle w:val="style0"/>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lang w:val="en-US" w:eastAsia="zh-CN"/>
        </w:rPr>
        <w:t>岳阳市第一中学</w:t>
      </w:r>
      <w:r>
        <w:rPr>
          <w:rFonts w:ascii="方正小标宋_GBK" w:cs="方正小标宋_GBK" w:eastAsia="方正小标宋_GBK" w:hAnsi="方正小标宋_GBK" w:hint="eastAsia"/>
          <w:sz w:val="84"/>
          <w:szCs w:val="84"/>
        </w:rPr>
        <w:t>概况</w:t>
      </w:r>
    </w:p>
    <w:p w14:paraId="3AA22265">
      <w:pPr>
        <w:pStyle w:val="style29"/>
        <w:rPr>
          <w:rFonts w:ascii="方正小标宋_GBK" w:cs="方正小标宋_GBK" w:eastAsia="方正小标宋_GBK" w:hAnsi="方正小标宋_GBK" w:hint="eastAsia"/>
          <w:sz w:val="84"/>
          <w:szCs w:val="84"/>
        </w:rPr>
      </w:pPr>
    </w:p>
    <w:p w14:paraId="66B409D5">
      <w:pPr>
        <w:pStyle w:val="style78"/>
        <w:rPr>
          <w:rFonts w:ascii="方正小标宋_GBK" w:cs="方正小标宋_GBK" w:eastAsia="方正小标宋_GBK" w:hAnsi="方正小标宋_GBK" w:hint="eastAsia"/>
          <w:sz w:val="84"/>
          <w:szCs w:val="84"/>
        </w:rPr>
      </w:pPr>
    </w:p>
    <w:p w14:paraId="73BC44DB">
      <w:pPr>
        <w:pStyle w:val="style0"/>
        <w:rPr>
          <w:rFonts w:ascii="方正小标宋_GBK" w:cs="方正小标宋_GBK" w:eastAsia="方正小标宋_GBK" w:hAnsi="方正小标宋_GBK" w:hint="eastAsia"/>
          <w:sz w:val="84"/>
          <w:szCs w:val="84"/>
        </w:rPr>
      </w:pPr>
    </w:p>
    <w:p w14:paraId="6437A743">
      <w:pPr>
        <w:pStyle w:val="style29"/>
        <w:rPr>
          <w:rFonts w:ascii="方正小标宋_GBK" w:cs="方正小标宋_GBK" w:eastAsia="方正小标宋_GBK" w:hAnsi="方正小标宋_GBK" w:hint="eastAsia"/>
          <w:sz w:val="84"/>
          <w:szCs w:val="84"/>
        </w:rPr>
      </w:pPr>
    </w:p>
    <w:p w14:paraId="1B291E0B">
      <w:pPr>
        <w:pStyle w:val="style78"/>
        <w:rPr>
          <w:rFonts w:ascii="方正小标宋_GBK" w:cs="方正小标宋_GBK" w:eastAsia="方正小标宋_GBK" w:hAnsi="方正小标宋_GBK" w:hint="eastAsia"/>
          <w:sz w:val="84"/>
          <w:szCs w:val="84"/>
        </w:rPr>
      </w:pPr>
    </w:p>
    <w:p w14:paraId="403194CA">
      <w:pPr>
        <w:pStyle w:val="style179"/>
        <w:numPr>
          <w:ilvl w:val="0"/>
          <w:numId w:val="1"/>
        </w:numPr>
        <w:ind w:firstLineChars="0"/>
        <w:jc w:val="left"/>
        <w:rPr>
          <w:rFonts w:ascii="黑体" w:cs="黑体" w:eastAsia="黑体" w:hAnsi="黑体" w:hint="eastAsia"/>
          <w:b w:val="false"/>
          <w:bCs w:val="false"/>
          <w:sz w:val="32"/>
          <w:szCs w:val="32"/>
        </w:rPr>
      </w:pPr>
      <w:r>
        <w:rPr>
          <w:rFonts w:ascii="黑体" w:cs="黑体" w:eastAsia="黑体" w:hAnsi="黑体" w:hint="eastAsia"/>
          <w:b w:val="false"/>
          <w:bCs w:val="false"/>
          <w:sz w:val="32"/>
          <w:szCs w:val="32"/>
        </w:rPr>
        <w:t>部门职责</w:t>
      </w:r>
    </w:p>
    <w:p w14:paraId="12FEF2EC">
      <w:pPr>
        <w:pStyle w:val="style0"/>
        <w:keepNext/>
        <w:keepLines/>
        <w:shd w:val="clear" w:color="auto" w:fill="ffffff"/>
        <w:ind w:firstLine="640"/>
        <w:jc w:val="left"/>
        <w:rPr>
          <w:rFonts w:ascii="Times New Roman" w:cs="仿宋_GB2312" w:eastAsia="仿宋_GB2312" w:hAnsi="Times New Roman" w:hint="eastAsia"/>
          <w:sz w:val="32"/>
          <w:szCs w:val="32"/>
        </w:rPr>
      </w:pPr>
      <w:r>
        <w:rPr>
          <w:rFonts w:ascii="Times New Roman" w:cs="仿宋_GB2312" w:eastAsia="仿宋_GB2312" w:hAnsi="Times New Roman" w:hint="eastAsia"/>
          <w:sz w:val="32"/>
          <w:szCs w:val="32"/>
        </w:rPr>
        <w:t>（一）、负责贯彻执行《教育法》、《教师法》等法规政策；</w:t>
      </w:r>
    </w:p>
    <w:p w14:paraId="67203A17">
      <w:pPr>
        <w:pStyle w:val="style0"/>
        <w:keepNext/>
        <w:keepLines/>
        <w:shd w:val="clear" w:color="auto" w:fill="ffffff"/>
        <w:ind w:firstLine="640"/>
        <w:jc w:val="left"/>
        <w:rPr>
          <w:rFonts w:ascii="Times New Roman" w:cs="仿宋_GB2312" w:eastAsia="仿宋_GB2312" w:hAnsi="Times New Roman" w:hint="eastAsia"/>
          <w:sz w:val="32"/>
          <w:szCs w:val="32"/>
        </w:rPr>
      </w:pPr>
      <w:r>
        <w:rPr>
          <w:rFonts w:ascii="Times New Roman" w:cs="仿宋_GB2312" w:eastAsia="仿宋_GB2312" w:hAnsi="Times New Roman" w:hint="eastAsia"/>
          <w:sz w:val="32"/>
          <w:szCs w:val="32"/>
        </w:rPr>
        <w:t>（二）、负责在校学生的科学知识、思想品德、体育、美育及劳动技能教育；</w:t>
      </w:r>
    </w:p>
    <w:p w14:paraId="24F075B9">
      <w:pPr>
        <w:pStyle w:val="style0"/>
        <w:keepNext/>
        <w:keepLines/>
        <w:shd w:val="clear" w:color="auto" w:fill="ffffff"/>
        <w:ind w:firstLine="640"/>
        <w:jc w:val="left"/>
        <w:rPr>
          <w:rFonts w:ascii="Times New Roman" w:cs="仿宋_GB2312" w:eastAsia="仿宋_GB2312" w:hAnsi="Times New Roman" w:hint="eastAsia"/>
          <w:sz w:val="32"/>
          <w:szCs w:val="32"/>
        </w:rPr>
      </w:pPr>
      <w:r>
        <w:rPr>
          <w:rFonts w:ascii="Times New Roman" w:cs="仿宋_GB2312" w:eastAsia="仿宋_GB2312" w:hAnsi="Times New Roman" w:hint="eastAsia"/>
          <w:sz w:val="32"/>
          <w:szCs w:val="32"/>
        </w:rPr>
        <w:t>（三）、负责学校教师的政治思想教育和业务培训；</w:t>
      </w:r>
    </w:p>
    <w:p w14:paraId="3B294247">
      <w:pPr>
        <w:pStyle w:val="style0"/>
        <w:keepNext/>
        <w:keepLines/>
        <w:shd w:val="clear" w:color="auto" w:fill="ffffff"/>
        <w:ind w:firstLine="640"/>
        <w:jc w:val="left"/>
        <w:rPr>
          <w:rFonts w:ascii="Times New Roman" w:cs="仿宋_GB2312" w:eastAsia="仿宋_GB2312" w:hAnsi="Times New Roman" w:hint="eastAsia"/>
          <w:sz w:val="32"/>
          <w:szCs w:val="32"/>
        </w:rPr>
      </w:pPr>
      <w:r>
        <w:rPr>
          <w:rFonts w:ascii="Times New Roman" w:cs="仿宋_GB2312" w:eastAsia="仿宋_GB2312" w:hAnsi="Times New Roman" w:hint="eastAsia"/>
          <w:sz w:val="32"/>
          <w:szCs w:val="32"/>
        </w:rPr>
        <w:t>（四）、负责在校师生的安全保卫及后勤服务；</w:t>
      </w:r>
    </w:p>
    <w:p w14:paraId="0CBD82AE">
      <w:pPr>
        <w:pStyle w:val="style0"/>
        <w:keepNext/>
        <w:keepLines/>
        <w:shd w:val="clear" w:color="auto" w:fill="ffffff"/>
        <w:ind w:firstLine="640"/>
        <w:jc w:val="left"/>
        <w:rPr>
          <w:rFonts w:ascii="Times New Roman" w:cs="仿宋_GB2312" w:eastAsia="仿宋_GB2312" w:hAnsi="Times New Roman" w:hint="eastAsia"/>
          <w:sz w:val="32"/>
          <w:szCs w:val="32"/>
        </w:rPr>
      </w:pPr>
      <w:r>
        <w:rPr>
          <w:rFonts w:ascii="Times New Roman" w:cs="仿宋_GB2312" w:eastAsia="仿宋_GB2312" w:hAnsi="Times New Roman" w:hint="eastAsia"/>
          <w:sz w:val="32"/>
          <w:szCs w:val="32"/>
        </w:rPr>
        <w:t>（五）、完成省委、省政府及市委、市政府交办的民族教育任务；</w:t>
      </w:r>
    </w:p>
    <w:p w14:paraId="3FD6AA54">
      <w:pPr>
        <w:pStyle w:val="style0"/>
        <w:keepNext/>
        <w:keepLines/>
        <w:shd w:val="clear" w:color="auto" w:fill="ffffff"/>
        <w:ind w:firstLine="640"/>
        <w:jc w:val="left"/>
        <w:rPr>
          <w:rFonts w:ascii="Times New Roman" w:cs="仿宋_GB2312" w:eastAsia="仿宋_GB2312" w:hAnsi="Times New Roman" w:hint="eastAsia"/>
          <w:sz w:val="32"/>
          <w:szCs w:val="32"/>
        </w:rPr>
      </w:pPr>
      <w:r>
        <w:rPr>
          <w:rFonts w:ascii="Times New Roman" w:cs="仿宋_GB2312" w:eastAsia="仿宋_GB2312" w:hAnsi="Times New Roman" w:hint="eastAsia"/>
          <w:sz w:val="32"/>
          <w:szCs w:val="32"/>
        </w:rPr>
        <w:t>（六）、完成市教育局安排的其他工作。</w:t>
      </w:r>
    </w:p>
    <w:p w14:paraId="7A2AA6D1">
      <w:pPr>
        <w:pStyle w:val="style0"/>
        <w:widowControl/>
        <w:spacing w:lineRule="exact" w:line="600"/>
        <w:rPr>
          <w:rFonts w:ascii="黑体" w:cs="黑体" w:eastAsia="黑体" w:hAnsi="黑体" w:hint="eastAsia"/>
          <w:b w:val="false"/>
          <w:bCs/>
          <w:kern w:val="0"/>
          <w:sz w:val="32"/>
          <w:szCs w:val="32"/>
        </w:rPr>
      </w:pPr>
      <w:r>
        <w:rPr>
          <w:rFonts w:ascii="黑体" w:cs="黑体" w:eastAsia="黑体" w:hAnsi="黑体" w:hint="eastAsia"/>
          <w:b w:val="false"/>
          <w:bCs/>
          <w:kern w:val="0"/>
          <w:sz w:val="32"/>
          <w:szCs w:val="32"/>
        </w:rPr>
        <w:t>二、机构设置及决算单位构成</w:t>
      </w:r>
    </w:p>
    <w:p w14:paraId="40A5B1DA">
      <w:pPr>
        <w:pStyle w:val="style0"/>
        <w:widowControl/>
        <w:spacing w:lineRule="exact" w:line="600"/>
        <w:ind w:firstLine="640" w:firstLineChars="200"/>
        <w:rPr>
          <w:rFonts w:hint="eastAsia"/>
        </w:rPr>
      </w:pPr>
      <w:r>
        <w:rPr>
          <w:rFonts w:ascii="Times New Roman" w:cs="仿宋_GB2312" w:eastAsia="仿宋_GB2312" w:hAnsi="Times New Roman" w:hint="eastAsia"/>
          <w:bCs/>
          <w:kern w:val="0"/>
          <w:sz w:val="32"/>
          <w:szCs w:val="32"/>
        </w:rPr>
        <w:t>（一）内设机构设置。岳阳市第一中学单位内设机构包括：办公室、西藏部、教务处、政教处、教科室、总务处、督导室，共计7个部门。学校人员编制数285人，实有在职在编教职员工27</w:t>
      </w:r>
      <w:r>
        <w:rPr>
          <w:rFonts w:ascii="Times New Roman" w:cs="仿宋_GB2312" w:eastAsia="仿宋_GB2312" w:hAnsi="Times New Roman" w:hint="eastAsia"/>
          <w:bCs/>
          <w:kern w:val="0"/>
          <w:sz w:val="32"/>
          <w:szCs w:val="32"/>
          <w:lang w:val="en-US" w:eastAsia="zh-CN"/>
        </w:rPr>
        <w:t>4</w:t>
      </w:r>
      <w:r>
        <w:rPr>
          <w:rFonts w:ascii="Times New Roman" w:cs="仿宋_GB2312" w:eastAsia="仿宋_GB2312" w:hAnsi="Times New Roman" w:hint="eastAsia"/>
          <w:bCs/>
          <w:kern w:val="0"/>
          <w:sz w:val="32"/>
          <w:szCs w:val="32"/>
        </w:rPr>
        <w:t>人</w:t>
      </w:r>
      <w:r>
        <w:rPr>
          <w:rFonts w:ascii="Times New Roman" w:cs="仿宋_GB2312" w:eastAsia="仿宋_GB2312" w:hAnsi="Times New Roman" w:hint="eastAsia"/>
          <w:bCs/>
          <w:kern w:val="0"/>
          <w:sz w:val="32"/>
          <w:szCs w:val="32"/>
          <w:lang w:eastAsia="zh-CN"/>
        </w:rPr>
        <w:t>，</w:t>
      </w:r>
      <w:r>
        <w:rPr>
          <w:rFonts w:ascii="Times New Roman" w:cs="仿宋_GB2312" w:eastAsia="仿宋_GB2312" w:hAnsi="Times New Roman" w:hint="eastAsia"/>
          <w:bCs/>
          <w:kern w:val="0"/>
          <w:sz w:val="32"/>
          <w:szCs w:val="32"/>
          <w:lang w:val="en-US" w:eastAsia="zh-CN"/>
        </w:rPr>
        <w:t>退休人数189人</w:t>
      </w:r>
      <w:r>
        <w:rPr>
          <w:rFonts w:ascii="Times New Roman" w:cs="仿宋_GB2312" w:eastAsia="仿宋_GB2312" w:hAnsi="Times New Roman" w:hint="eastAsia"/>
          <w:bCs/>
          <w:kern w:val="0"/>
          <w:sz w:val="32"/>
          <w:szCs w:val="32"/>
        </w:rPr>
        <w:t>。</w:t>
      </w:r>
    </w:p>
    <w:p w14:paraId="6EE6B6AE">
      <w:pPr>
        <w:pStyle w:val="style0"/>
        <w:widowControl/>
        <w:spacing w:lineRule="exact" w:line="600"/>
        <w:ind w:firstLine="640" w:firstLineChars="200"/>
        <w:rPr>
          <w:rFonts w:ascii="仿宋_GB2312" w:eastAsia="仿宋_GB2312" w:hAnsi="宋体"/>
          <w:sz w:val="28"/>
          <w:szCs w:val="32"/>
        </w:rPr>
      </w:pPr>
      <w:r>
        <w:rPr>
          <w:rFonts w:ascii="Times New Roman" w:cs="仿宋_GB2312" w:eastAsia="仿宋_GB2312" w:hAnsi="Times New Roman" w:hint="eastAsia"/>
          <w:bCs/>
          <w:kern w:val="0"/>
          <w:sz w:val="32"/>
          <w:szCs w:val="32"/>
        </w:rPr>
        <w:t>（二）决算单位构成。本单位无独立核算的下属单位，2023年度部门决算汇总公开单位仅包括</w:t>
      </w:r>
      <w:r>
        <w:rPr>
          <w:rFonts w:ascii="Times New Roman" w:cs="仿宋_GB2312" w:eastAsia="仿宋_GB2312" w:hAnsi="Times New Roman" w:hint="eastAsia"/>
          <w:bCs/>
          <w:kern w:val="0"/>
          <w:sz w:val="32"/>
          <w:szCs w:val="32"/>
          <w:lang w:val="en-US" w:eastAsia="zh-CN"/>
        </w:rPr>
        <w:t>岳阳市第一中学</w:t>
      </w:r>
      <w:r>
        <w:rPr>
          <w:rFonts w:ascii="Times New Roman" w:cs="仿宋_GB2312" w:eastAsia="仿宋_GB2312" w:hAnsi="Times New Roman" w:hint="eastAsia"/>
          <w:bCs/>
          <w:kern w:val="0"/>
          <w:sz w:val="32"/>
          <w:szCs w:val="32"/>
        </w:rPr>
        <w:t>单位本级</w:t>
      </w:r>
      <w:r>
        <w:rPr>
          <w:rFonts w:ascii="Times New Roman" w:cs="仿宋_GB2312" w:eastAsia="仿宋_GB2312" w:hAnsi="Times New Roman" w:hint="eastAsia"/>
          <w:bCs/>
          <w:kern w:val="0"/>
          <w:sz w:val="32"/>
          <w:szCs w:val="32"/>
          <w:lang w:eastAsia="zh-CN"/>
        </w:rPr>
        <w:t>。</w:t>
      </w:r>
    </w:p>
    <w:p w14:paraId="585E3B2E">
      <w:pPr>
        <w:pStyle w:val="style0"/>
        <w:rPr/>
      </w:pPr>
    </w:p>
    <w:p w14:paraId="0599584A">
      <w:pPr>
        <w:pStyle w:val="style29"/>
        <w:rPr/>
      </w:pPr>
    </w:p>
    <w:p w14:paraId="56079D19">
      <w:pPr>
        <w:pStyle w:val="style78"/>
        <w:rPr/>
      </w:pPr>
    </w:p>
    <w:p w14:paraId="3D0B01F6">
      <w:pPr>
        <w:pStyle w:val="style0"/>
        <w:rPr/>
      </w:pPr>
    </w:p>
    <w:p w14:paraId="078BFCA4">
      <w:pPr>
        <w:pStyle w:val="style29"/>
        <w:rPr/>
      </w:pPr>
    </w:p>
    <w:p w14:paraId="6B648366">
      <w:pPr>
        <w:pStyle w:val="style78"/>
        <w:rPr/>
      </w:pPr>
    </w:p>
    <w:p w14:paraId="57EF9299">
      <w:pPr>
        <w:pStyle w:val="style0"/>
        <w:rPr/>
      </w:pPr>
    </w:p>
    <w:p w14:paraId="6BE0969B">
      <w:pPr>
        <w:pStyle w:val="style29"/>
        <w:rPr/>
      </w:pPr>
    </w:p>
    <w:p w14:paraId="3AB5659E">
      <w:pPr>
        <w:pStyle w:val="style78"/>
        <w:rPr/>
      </w:pPr>
    </w:p>
    <w:p w14:paraId="7A162DB9">
      <w:pPr>
        <w:pStyle w:val="style0"/>
        <w:rPr/>
      </w:pPr>
    </w:p>
    <w:p w14:paraId="228CB0AD">
      <w:pPr>
        <w:pStyle w:val="style29"/>
        <w:rPr/>
      </w:pPr>
    </w:p>
    <w:p w14:paraId="5CCC2F89">
      <w:pPr>
        <w:pStyle w:val="style78"/>
        <w:rPr/>
      </w:pPr>
    </w:p>
    <w:p w14:paraId="378AAE9C">
      <w:pPr>
        <w:pStyle w:val="style0"/>
        <w:rPr/>
      </w:pPr>
    </w:p>
    <w:p w14:paraId="0EEF2C2B">
      <w:pPr>
        <w:pStyle w:val="style29"/>
        <w:rPr/>
      </w:pPr>
    </w:p>
    <w:p w14:paraId="4D79EB3A">
      <w:pPr>
        <w:pStyle w:val="style78"/>
        <w:rPr/>
      </w:pPr>
    </w:p>
    <w:p w14:paraId="65AE0706">
      <w:pPr>
        <w:pStyle w:val="style0"/>
        <w:rPr/>
      </w:pPr>
    </w:p>
    <w:p w14:paraId="410B8B90">
      <w:pPr>
        <w:pStyle w:val="style29"/>
        <w:rPr/>
      </w:pPr>
    </w:p>
    <w:p w14:paraId="7CBA412A">
      <w:pPr>
        <w:pStyle w:val="style78"/>
        <w:rPr/>
      </w:pPr>
    </w:p>
    <w:p w14:paraId="2E7AC8C5">
      <w:pPr>
        <w:pStyle w:val="style0"/>
        <w:rPr/>
      </w:pPr>
    </w:p>
    <w:p w14:paraId="556B22CC">
      <w:pPr>
        <w:pStyle w:val="style29"/>
        <w:rPr/>
      </w:pPr>
    </w:p>
    <w:p w14:paraId="2CC8D0D0">
      <w:pPr>
        <w:pStyle w:val="style78"/>
        <w:rPr/>
      </w:pPr>
    </w:p>
    <w:p w14:paraId="7A25C27F">
      <w:pPr>
        <w:pStyle w:val="style0"/>
        <w:rPr/>
      </w:pPr>
    </w:p>
    <w:p w14:paraId="4FA9CD98">
      <w:pPr>
        <w:pStyle w:val="style29"/>
        <w:rPr/>
      </w:pPr>
    </w:p>
    <w:p w14:paraId="5BB0A5B9">
      <w:pPr>
        <w:pStyle w:val="style78"/>
        <w:rPr/>
      </w:pPr>
    </w:p>
    <w:p w14:paraId="7903744A">
      <w:pPr>
        <w:pStyle w:val="style0"/>
        <w:rPr/>
      </w:pPr>
    </w:p>
    <w:p w14:paraId="217B4BDD">
      <w:pPr>
        <w:pStyle w:val="style4099"/>
        <w:jc w:val="center"/>
        <w:rPr>
          <w:rFonts w:ascii="方正小标宋_GBK" w:cs="方正小标宋_GBK" w:eastAsia="方正小标宋_GBK" w:hAnsi="方正小标宋_GBK" w:hint="eastAsia"/>
          <w:sz w:val="84"/>
          <w:szCs w:val="84"/>
        </w:rPr>
      </w:pPr>
    </w:p>
    <w:p w14:paraId="22AA25A7">
      <w:pPr>
        <w:pStyle w:val="style4099"/>
        <w:jc w:val="center"/>
        <w:rPr>
          <w:rFonts w:ascii="方正小标宋_GBK" w:cs="方正小标宋_GBK" w:eastAsia="方正小标宋_GBK" w:hAnsi="方正小标宋_GBK" w:hint="eastAsia"/>
          <w:sz w:val="84"/>
          <w:szCs w:val="84"/>
        </w:rPr>
      </w:pPr>
    </w:p>
    <w:p w14:paraId="2E76A337">
      <w:pPr>
        <w:pStyle w:val="style4099"/>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rPr>
        <w:t>第二部分</w:t>
      </w:r>
    </w:p>
    <w:p w14:paraId="64958825">
      <w:pPr>
        <w:pStyle w:val="style4099"/>
        <w:jc w:val="center"/>
        <w:rPr>
          <w:rFonts w:ascii="方正小标宋_GBK" w:cs="方正小标宋_GBK" w:eastAsia="方正小标宋_GBK" w:hAnsi="方正小标宋_GBK" w:hint="eastAsia"/>
          <w:sz w:val="84"/>
          <w:szCs w:val="84"/>
        </w:rPr>
      </w:pPr>
    </w:p>
    <w:p w14:paraId="21E3FB75">
      <w:pPr>
        <w:pStyle w:val="style4099"/>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rPr>
        <w:t>部门决算表</w:t>
      </w:r>
    </w:p>
    <w:p w14:paraId="18518A3E">
      <w:pPr>
        <w:pStyle w:val="style4099"/>
        <w:jc w:val="center"/>
        <w:rPr>
          <w:rFonts w:ascii="仿宋_GB2312" w:cs="仿宋_GB2312" w:eastAsia="仿宋_GB2312" w:hAnsi="仿宋_GB2312" w:hint="eastAsia"/>
          <w:b w:val="false"/>
          <w:bCs w:val="false"/>
          <w:sz w:val="72"/>
          <w:szCs w:val="72"/>
          <w:lang w:eastAsia="zh-CN"/>
        </w:rPr>
      </w:pPr>
      <w:r>
        <w:rPr>
          <w:rFonts w:ascii="仿宋_GB2312" w:cs="仿宋_GB2312" w:eastAsia="仿宋_GB2312" w:hAnsi="仿宋_GB2312" w:hint="eastAsia"/>
          <w:b w:val="false"/>
          <w:bCs w:val="false"/>
          <w:sz w:val="72"/>
          <w:szCs w:val="72"/>
          <w:lang w:eastAsia="zh-CN"/>
        </w:rPr>
        <w:t>（见附件）</w:t>
      </w:r>
    </w:p>
    <w:p w14:paraId="6FFF00BF">
      <w:pPr>
        <w:pStyle w:val="style4099"/>
        <w:jc w:val="center"/>
        <w:rPr>
          <w:rFonts w:ascii="仿宋_GB2312" w:cs="仿宋_GB2312" w:eastAsia="仿宋_GB2312" w:hAnsi="仿宋_GB2312" w:hint="eastAsia"/>
          <w:b w:val="false"/>
          <w:bCs w:val="false"/>
          <w:sz w:val="72"/>
          <w:szCs w:val="72"/>
          <w:lang w:eastAsia="zh-CN"/>
        </w:rPr>
      </w:pPr>
    </w:p>
    <w:p w14:paraId="6251B697">
      <w:pPr>
        <w:pStyle w:val="style4099"/>
        <w:jc w:val="center"/>
        <w:rPr>
          <w:rFonts w:ascii="仿宋_GB2312" w:cs="仿宋_GB2312" w:eastAsia="仿宋_GB2312" w:hAnsi="仿宋_GB2312" w:hint="eastAsia"/>
          <w:b w:val="false"/>
          <w:bCs w:val="false"/>
          <w:sz w:val="72"/>
          <w:szCs w:val="72"/>
          <w:lang w:eastAsia="zh-CN"/>
        </w:rPr>
      </w:pPr>
    </w:p>
    <w:p w14:paraId="0936E9D6">
      <w:pPr>
        <w:pStyle w:val="style4099"/>
        <w:jc w:val="center"/>
        <w:rPr>
          <w:rFonts w:ascii="仿宋_GB2312" w:cs="仿宋_GB2312" w:eastAsia="仿宋_GB2312" w:hAnsi="仿宋_GB2312" w:hint="eastAsia"/>
          <w:b w:val="false"/>
          <w:bCs w:val="false"/>
          <w:sz w:val="72"/>
          <w:szCs w:val="72"/>
          <w:lang w:eastAsia="zh-CN"/>
        </w:rPr>
      </w:pPr>
    </w:p>
    <w:p w14:paraId="2170C970">
      <w:pPr>
        <w:pStyle w:val="style4099"/>
        <w:jc w:val="center"/>
        <w:rPr>
          <w:rFonts w:ascii="仿宋_GB2312" w:cs="仿宋_GB2312" w:eastAsia="仿宋_GB2312" w:hAnsi="仿宋_GB2312" w:hint="eastAsia"/>
          <w:b w:val="false"/>
          <w:bCs w:val="false"/>
          <w:sz w:val="72"/>
          <w:szCs w:val="72"/>
          <w:lang w:eastAsia="zh-CN"/>
        </w:rPr>
      </w:pPr>
    </w:p>
    <w:p w14:paraId="79DC5B6C">
      <w:pPr>
        <w:pStyle w:val="style4099"/>
        <w:jc w:val="center"/>
        <w:rPr>
          <w:rFonts w:ascii="仿宋_GB2312" w:cs="仿宋_GB2312" w:eastAsia="仿宋_GB2312" w:hAnsi="仿宋_GB2312" w:hint="eastAsia"/>
          <w:b w:val="false"/>
          <w:bCs w:val="false"/>
          <w:sz w:val="72"/>
          <w:szCs w:val="72"/>
          <w:lang w:eastAsia="zh-CN"/>
        </w:rPr>
      </w:pPr>
    </w:p>
    <w:p w14:paraId="0FFAAC71">
      <w:pPr>
        <w:pStyle w:val="style4099"/>
        <w:jc w:val="center"/>
        <w:rPr>
          <w:rFonts w:ascii="仿宋_GB2312" w:cs="仿宋_GB2312" w:eastAsia="仿宋_GB2312" w:hAnsi="仿宋_GB2312" w:hint="eastAsia"/>
          <w:b w:val="false"/>
          <w:bCs w:val="false"/>
          <w:sz w:val="72"/>
          <w:szCs w:val="72"/>
          <w:lang w:eastAsia="zh-CN"/>
        </w:rPr>
      </w:pPr>
    </w:p>
    <w:p w14:paraId="19A5B9F0">
      <w:pPr>
        <w:pStyle w:val="style4099"/>
        <w:jc w:val="center"/>
        <w:rPr>
          <w:rFonts w:ascii="仿宋_GB2312" w:cs="仿宋_GB2312" w:eastAsia="仿宋_GB2312" w:hAnsi="仿宋_GB2312" w:hint="eastAsia"/>
          <w:b w:val="false"/>
          <w:bCs w:val="false"/>
          <w:sz w:val="72"/>
          <w:szCs w:val="72"/>
          <w:lang w:eastAsia="zh-CN"/>
        </w:rPr>
      </w:pPr>
    </w:p>
    <w:p w14:paraId="4943CF4E">
      <w:pPr>
        <w:pStyle w:val="style4099"/>
        <w:jc w:val="center"/>
        <w:rPr>
          <w:rFonts w:ascii="方正小标宋_GBK" w:cs="方正小标宋_GBK" w:eastAsia="方正小标宋_GBK" w:hAnsi="方正小标宋_GBK" w:hint="eastAsia"/>
          <w:sz w:val="72"/>
          <w:szCs w:val="72"/>
        </w:rPr>
      </w:pPr>
    </w:p>
    <w:p w14:paraId="001841D1">
      <w:pPr>
        <w:pStyle w:val="style4099"/>
        <w:jc w:val="center"/>
        <w:rPr>
          <w:rFonts w:ascii="方正小标宋_GBK" w:cs="方正小标宋_GBK" w:eastAsia="方正小标宋_GBK" w:hAnsi="方正小标宋_GBK" w:hint="eastAsia"/>
          <w:sz w:val="72"/>
          <w:szCs w:val="72"/>
        </w:rPr>
      </w:pPr>
    </w:p>
    <w:p w14:paraId="25EB2A84">
      <w:pPr>
        <w:pStyle w:val="style4099"/>
        <w:jc w:val="both"/>
        <w:rPr>
          <w:rFonts w:ascii="方正小标宋_GBK" w:cs="方正小标宋_GBK" w:eastAsia="方正小标宋_GBK" w:hAnsi="方正小标宋_GBK" w:hint="eastAsia"/>
          <w:sz w:val="72"/>
          <w:szCs w:val="72"/>
        </w:rPr>
      </w:pPr>
    </w:p>
    <w:p w14:paraId="607508A6">
      <w:pPr>
        <w:pStyle w:val="style4099"/>
        <w:jc w:val="center"/>
        <w:rPr>
          <w:rFonts w:ascii="方正小标宋_GBK" w:cs="方正小标宋_GBK" w:eastAsia="方正小标宋_GBK" w:hAnsi="方正小标宋_GBK" w:hint="eastAsia"/>
          <w:sz w:val="72"/>
          <w:szCs w:val="72"/>
        </w:rPr>
      </w:pPr>
      <w:r>
        <w:rPr>
          <w:rFonts w:ascii="方正小标宋_GBK" w:cs="方正小标宋_GBK" w:eastAsia="方正小标宋_GBK" w:hAnsi="方正小标宋_GBK" w:hint="eastAsia"/>
          <w:sz w:val="72"/>
          <w:szCs w:val="72"/>
        </w:rPr>
        <w:t>第三部分</w:t>
      </w:r>
    </w:p>
    <w:p w14:paraId="27B77836">
      <w:pPr>
        <w:pStyle w:val="style4099"/>
        <w:jc w:val="center"/>
        <w:rPr>
          <w:rFonts w:ascii="方正小标宋_GBK" w:cs="方正小标宋_GBK" w:eastAsia="方正小标宋_GBK" w:hAnsi="方正小标宋_GBK" w:hint="eastAsia"/>
          <w:sz w:val="70"/>
          <w:szCs w:val="70"/>
        </w:rPr>
      </w:pPr>
    </w:p>
    <w:p w14:paraId="25393831">
      <w:pPr>
        <w:pStyle w:val="style4099"/>
        <w:jc w:val="center"/>
        <w:rPr>
          <w:rFonts w:ascii="方正小标宋_GBK" w:cs="方正小标宋_GBK" w:eastAsia="方正小标宋_GBK" w:hAnsi="方正小标宋_GBK" w:hint="eastAsia"/>
          <w:sz w:val="70"/>
          <w:szCs w:val="70"/>
        </w:rPr>
      </w:pPr>
      <w:r>
        <w:rPr>
          <w:rFonts w:ascii="方正小标宋_GBK" w:cs="方正小标宋_GBK" w:eastAsia="方正小标宋_GBK" w:hAnsi="方正小标宋_GBK" w:hint="eastAsia"/>
          <w:sz w:val="70"/>
          <w:szCs w:val="70"/>
        </w:rPr>
        <w:t>202</w:t>
      </w:r>
      <w:r>
        <w:rPr>
          <w:rFonts w:ascii="方正小标宋_GBK" w:cs="方正小标宋_GBK" w:eastAsia="方正小标宋_GBK" w:hAnsi="方正小标宋_GBK" w:hint="eastAsia"/>
          <w:sz w:val="70"/>
          <w:szCs w:val="70"/>
          <w:lang w:val="en-US" w:eastAsia="zh-CN"/>
        </w:rPr>
        <w:t>3</w:t>
      </w:r>
      <w:r>
        <w:rPr>
          <w:rFonts w:ascii="方正小标宋_GBK" w:cs="方正小标宋_GBK" w:eastAsia="方正小标宋_GBK" w:hAnsi="方正小标宋_GBK" w:hint="eastAsia"/>
          <w:sz w:val="70"/>
          <w:szCs w:val="70"/>
        </w:rPr>
        <w:t>年度部门决算情况说明</w:t>
      </w:r>
    </w:p>
    <w:p w14:paraId="510582B9">
      <w:pPr>
        <w:pStyle w:val="style4099"/>
        <w:jc w:val="center"/>
        <w:rPr>
          <w:rFonts w:ascii="方正小标宋_GBK" w:cs="方正小标宋_GBK" w:eastAsia="方正小标宋_GBK" w:hAnsi="方正小标宋_GBK" w:hint="eastAsia"/>
          <w:sz w:val="70"/>
          <w:szCs w:val="70"/>
        </w:rPr>
      </w:pPr>
    </w:p>
    <w:p w14:paraId="26881E0A">
      <w:pPr>
        <w:pStyle w:val="style4099"/>
        <w:jc w:val="both"/>
        <w:rPr>
          <w:rFonts w:ascii="方正小标宋_GBK" w:cs="方正小标宋_GBK" w:eastAsia="方正小标宋_GBK" w:hAnsi="方正小标宋_GBK" w:hint="eastAsia"/>
          <w:sz w:val="70"/>
          <w:szCs w:val="70"/>
        </w:rPr>
      </w:pPr>
    </w:p>
    <w:p w14:paraId="5429DE55">
      <w:pPr>
        <w:pStyle w:val="style0"/>
        <w:widowControl/>
        <w:ind w:firstLine="640" w:firstLineChars="200"/>
        <w:jc w:val="left"/>
        <w:rPr>
          <w:rFonts w:ascii="仿宋_GB2312" w:cs="仿宋_GB2312" w:eastAsia="仿宋_GB2312" w:hAnsi="仿宋_GB2312" w:hint="eastAsia"/>
          <w:sz w:val="32"/>
          <w:szCs w:val="32"/>
        </w:rPr>
      </w:pPr>
    </w:p>
    <w:p w14:paraId="2246172E">
      <w:pPr>
        <w:pStyle w:val="style0"/>
        <w:widowControl/>
        <w:ind w:firstLine="640" w:firstLineChars="200"/>
        <w:jc w:val="left"/>
        <w:rPr>
          <w:rFonts w:ascii="仿宋_GB2312" w:cs="仿宋_GB2312" w:eastAsia="仿宋_GB2312" w:hAnsi="仿宋_GB2312" w:hint="eastAsia"/>
          <w:sz w:val="32"/>
          <w:szCs w:val="32"/>
        </w:rPr>
      </w:pPr>
    </w:p>
    <w:p w14:paraId="65DD57B1">
      <w:pPr>
        <w:pStyle w:val="style0"/>
        <w:widowControl/>
        <w:ind w:firstLine="640" w:firstLineChars="200"/>
        <w:jc w:val="left"/>
        <w:rPr>
          <w:rFonts w:ascii="仿宋_GB2312" w:cs="仿宋_GB2312" w:eastAsia="仿宋_GB2312" w:hAnsi="仿宋_GB2312" w:hint="eastAsia"/>
          <w:sz w:val="32"/>
          <w:szCs w:val="32"/>
        </w:rPr>
      </w:pPr>
    </w:p>
    <w:p w14:paraId="3768C697">
      <w:pPr>
        <w:pStyle w:val="style0"/>
        <w:widowControl/>
        <w:ind w:firstLine="640" w:firstLineChars="200"/>
        <w:jc w:val="left"/>
        <w:rPr>
          <w:rFonts w:ascii="仿宋_GB2312" w:cs="仿宋_GB2312" w:eastAsia="仿宋_GB2312" w:hAnsi="仿宋_GB2312" w:hint="eastAsia"/>
          <w:sz w:val="32"/>
          <w:szCs w:val="32"/>
        </w:rPr>
      </w:pPr>
    </w:p>
    <w:p w14:paraId="69E08D59">
      <w:pPr>
        <w:pStyle w:val="style0"/>
        <w:widowControl/>
        <w:ind w:firstLine="640" w:firstLineChars="200"/>
        <w:jc w:val="left"/>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说明：</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由于</w:t>
      </w:r>
      <w:r>
        <w:rPr>
          <w:rFonts w:ascii="仿宋_GB2312" w:cs="仿宋_GB2312" w:eastAsia="仿宋_GB2312" w:hAnsi="仿宋_GB2312" w:hint="eastAsia"/>
          <w:sz w:val="32"/>
          <w:szCs w:val="32"/>
          <w:lang w:eastAsia="zh-CN"/>
        </w:rPr>
        <w:t>部门</w:t>
      </w:r>
      <w:r>
        <w:rPr>
          <w:rFonts w:ascii="仿宋_GB2312" w:cs="仿宋_GB2312" w:eastAsia="仿宋_GB2312" w:hAnsi="仿宋_GB2312" w:hint="eastAsia"/>
          <w:sz w:val="32"/>
          <w:szCs w:val="32"/>
        </w:rPr>
        <w:t>决算编制时</w:t>
      </w:r>
      <w:r>
        <w:rPr>
          <w:rFonts w:ascii="仿宋_GB2312" w:cs="仿宋_GB2312" w:eastAsia="仿宋_GB2312" w:hAnsi="仿宋_GB2312" w:hint="eastAsia"/>
          <w:sz w:val="32"/>
          <w:szCs w:val="32"/>
          <w:lang w:eastAsia="zh-CN"/>
        </w:rPr>
        <w:t>数据</w:t>
      </w:r>
      <w:r>
        <w:rPr>
          <w:rFonts w:ascii="仿宋_GB2312" w:cs="仿宋_GB2312" w:eastAsia="仿宋_GB2312" w:hAnsi="仿宋_GB2312" w:hint="eastAsia"/>
          <w:sz w:val="32"/>
          <w:szCs w:val="32"/>
        </w:rPr>
        <w:t>明细</w:t>
      </w:r>
      <w:r>
        <w:rPr>
          <w:rFonts w:ascii="仿宋_GB2312" w:cs="仿宋_GB2312" w:eastAsia="仿宋_GB2312" w:hAnsi="仿宋_GB2312" w:hint="eastAsia"/>
          <w:sz w:val="32"/>
          <w:szCs w:val="32"/>
          <w:lang w:eastAsia="zh-CN"/>
        </w:rPr>
        <w:t>至“金额单位：元</w:t>
      </w:r>
      <w:r>
        <w:rPr>
          <w:rFonts w:ascii="仿宋_GB2312" w:cs="仿宋_GB2312" w:eastAsia="仿宋_GB2312" w:hAnsi="仿宋_GB2312" w:hint="eastAsia"/>
          <w:sz w:val="32"/>
          <w:szCs w:val="32"/>
        </w:rPr>
        <w:t>”，而</w:t>
      </w:r>
      <w:r>
        <w:rPr>
          <w:rFonts w:ascii="仿宋_GB2312" w:cs="仿宋_GB2312" w:eastAsia="仿宋_GB2312" w:hAnsi="仿宋_GB2312" w:hint="eastAsia"/>
          <w:sz w:val="32"/>
          <w:szCs w:val="32"/>
          <w:lang w:eastAsia="zh-CN"/>
        </w:rPr>
        <w:t>本套部门决算文字说明</w:t>
      </w:r>
      <w:r>
        <w:rPr>
          <w:rFonts w:ascii="仿宋_GB2312" w:cs="仿宋_GB2312" w:eastAsia="仿宋_GB2312" w:hAnsi="仿宋_GB2312" w:hint="eastAsia"/>
          <w:sz w:val="32"/>
          <w:szCs w:val="32"/>
        </w:rPr>
        <w:t>和公开表格</w:t>
      </w:r>
      <w:r>
        <w:rPr>
          <w:rFonts w:ascii="仿宋_GB2312" w:cs="仿宋_GB2312" w:eastAsia="仿宋_GB2312" w:hAnsi="仿宋_GB2312" w:hint="eastAsia"/>
          <w:sz w:val="32"/>
          <w:szCs w:val="32"/>
          <w:lang w:eastAsia="zh-CN"/>
        </w:rPr>
        <w:t>数据</w:t>
      </w:r>
      <w:r>
        <w:rPr>
          <w:rFonts w:ascii="仿宋_GB2312" w:cs="仿宋_GB2312" w:eastAsia="仿宋_GB2312" w:hAnsi="仿宋_GB2312" w:hint="eastAsia"/>
          <w:sz w:val="32"/>
          <w:szCs w:val="32"/>
        </w:rPr>
        <w:t>取数</w:t>
      </w:r>
      <w:r>
        <w:rPr>
          <w:rFonts w:ascii="仿宋_GB2312" w:cs="仿宋_GB2312" w:eastAsia="仿宋_GB2312" w:hAnsi="仿宋_GB2312" w:hint="eastAsia"/>
          <w:sz w:val="32"/>
          <w:szCs w:val="32"/>
          <w:lang w:eastAsia="zh-CN"/>
        </w:rPr>
        <w:t>转换为</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金额单位：</w:t>
      </w:r>
      <w:r>
        <w:rPr>
          <w:rFonts w:ascii="仿宋_GB2312" w:cs="仿宋_GB2312" w:eastAsia="仿宋_GB2312" w:hAnsi="仿宋_GB2312" w:hint="eastAsia"/>
          <w:sz w:val="32"/>
          <w:szCs w:val="32"/>
        </w:rPr>
        <w:t>万元”，可能导致</w:t>
      </w:r>
      <w:r>
        <w:rPr>
          <w:rFonts w:ascii="仿宋_GB2312" w:cs="仿宋_GB2312" w:eastAsia="仿宋_GB2312" w:hAnsi="仿宋_GB2312" w:hint="eastAsia"/>
          <w:sz w:val="32"/>
          <w:szCs w:val="32"/>
          <w:lang w:eastAsia="zh-CN"/>
        </w:rPr>
        <w:t>以下文字说明中的各项数据取数以及公开</w:t>
      </w:r>
      <w:r>
        <w:rPr>
          <w:rFonts w:ascii="仿宋_GB2312" w:cs="仿宋_GB2312" w:eastAsia="仿宋_GB2312" w:hAnsi="仿宋_GB2312" w:hint="eastAsia"/>
          <w:sz w:val="32"/>
          <w:szCs w:val="32"/>
        </w:rPr>
        <w:t>表格</w:t>
      </w:r>
      <w:r>
        <w:rPr>
          <w:rFonts w:ascii="仿宋_GB2312" w:cs="仿宋_GB2312" w:eastAsia="仿宋_GB2312" w:hAnsi="仿宋_GB2312" w:hint="eastAsia"/>
          <w:sz w:val="32"/>
          <w:szCs w:val="32"/>
          <w:lang w:eastAsia="zh-CN"/>
        </w:rPr>
        <w:t>中的各项数据取数之间存在</w:t>
      </w:r>
      <w:r>
        <w:rPr>
          <w:rFonts w:ascii="仿宋_GB2312" w:cs="仿宋_GB2312" w:eastAsia="仿宋_GB2312" w:hAnsi="仿宋_GB2312" w:hint="eastAsia"/>
          <w:sz w:val="32"/>
          <w:szCs w:val="32"/>
        </w:rPr>
        <w:t>0.01的尾数差异。</w:t>
      </w:r>
      <w:r>
        <w:rPr>
          <w:rFonts w:ascii="仿宋_GB2312" w:cs="仿宋_GB2312" w:eastAsia="仿宋_GB2312" w:hAnsi="仿宋_GB2312" w:hint="eastAsia"/>
          <w:sz w:val="32"/>
          <w:szCs w:val="32"/>
          <w:lang w:val="en-US" w:eastAsia="zh-CN"/>
        </w:rPr>
        <w:t>2、以下文字说明中，部分科目由于预算数为0，无法计算完成年初预算的百分比，故未描述“</w:t>
      </w:r>
      <w:r>
        <w:rPr>
          <w:rFonts w:ascii="仿宋_GB2312" w:cs="仿宋_GB2312" w:eastAsia="仿宋_GB2312" w:hAnsi="仿宋_GB2312" w:hint="eastAsia"/>
          <w:sz w:val="32"/>
          <w:szCs w:val="32"/>
        </w:rPr>
        <w:t>完成年初预算的XX%</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eastAsia"/>
          <w:sz w:val="32"/>
          <w:szCs w:val="32"/>
        </w:rPr>
        <w:t>）</w:t>
      </w:r>
    </w:p>
    <w:p w14:paraId="691612F4">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一、收入支出决算总体情况说明</w:t>
      </w:r>
    </w:p>
    <w:p w14:paraId="24071AAB">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年度收、支总计</w:t>
      </w:r>
      <w:r>
        <w:rPr>
          <w:rFonts w:ascii="仿宋_GB2312" w:cs="仿宋_GB2312" w:eastAsia="仿宋_GB2312" w:hAnsi="仿宋_GB2312" w:hint="eastAsia"/>
          <w:sz w:val="32"/>
          <w:szCs w:val="32"/>
          <w:lang w:val="en-US" w:eastAsia="zh-CN"/>
        </w:rPr>
        <w:t>8743.96</w:t>
      </w:r>
      <w:r>
        <w:rPr>
          <w:rFonts w:ascii="仿宋_GB2312" w:cs="仿宋_GB2312" w:eastAsia="仿宋_GB2312" w:hAnsi="仿宋_GB2312" w:hint="eastAsia"/>
          <w:sz w:val="32"/>
          <w:szCs w:val="32"/>
        </w:rPr>
        <w:t>万元。与上年相比，</w:t>
      </w:r>
      <w:r>
        <w:rPr>
          <w:rFonts w:ascii="仿宋_GB2312" w:cs="仿宋_GB2312" w:eastAsia="仿宋_GB2312" w:hAnsi="仿宋_GB2312" w:hint="eastAsia"/>
          <w:sz w:val="32"/>
          <w:szCs w:val="32"/>
          <w:lang w:val="en-US" w:eastAsia="zh-CN"/>
        </w:rPr>
        <w:t>减少116.65</w:t>
      </w:r>
      <w:r>
        <w:rPr>
          <w:rFonts w:ascii="仿宋_GB2312" w:cs="仿宋_GB2312" w:eastAsia="仿宋_GB2312" w:hAnsi="仿宋_GB2312" w:hint="eastAsia"/>
          <w:sz w:val="32"/>
          <w:szCs w:val="32"/>
        </w:rPr>
        <w:t>万元，</w:t>
      </w:r>
      <w:r>
        <w:rPr>
          <w:rFonts w:ascii="仿宋_GB2312" w:cs="仿宋_GB2312" w:eastAsia="仿宋_GB2312" w:hAnsi="仿宋_GB2312" w:hint="eastAsia"/>
          <w:sz w:val="32"/>
          <w:szCs w:val="32"/>
          <w:lang w:val="en-US" w:eastAsia="zh-CN"/>
        </w:rPr>
        <w:t>减少1.32</w:t>
      </w:r>
      <w:r>
        <w:rPr>
          <w:rFonts w:ascii="仿宋_GB2312" w:cs="仿宋_GB2312" w:eastAsia="仿宋_GB2312" w:hAnsi="仿宋_GB2312" w:hint="eastAsia"/>
          <w:sz w:val="32"/>
          <w:szCs w:val="32"/>
        </w:rPr>
        <w:t>%，主要是</w:t>
      </w:r>
      <w:r>
        <w:rPr>
          <w:rFonts w:ascii="仿宋_GB2312" w:cs="仿宋_GB2312" w:eastAsia="仿宋_GB2312" w:hAnsi="仿宋_GB2312" w:hint="eastAsia"/>
          <w:sz w:val="32"/>
          <w:szCs w:val="32"/>
          <w:lang w:val="en-US" w:eastAsia="zh-CN"/>
        </w:rPr>
        <w:t>因为2022年度发放三次课后服务费，本年度发放一次课后服务费导致的其他资金差异。</w:t>
      </w:r>
    </w:p>
    <w:p w14:paraId="4E7FBC8D">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二、收入决算情况说明</w:t>
      </w:r>
    </w:p>
    <w:p w14:paraId="4A47B388">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lang w:val="en-US" w:bidi="ar-SA" w:eastAsia="zh-CN"/>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年度收入合计</w:t>
      </w:r>
      <w:r>
        <w:rPr>
          <w:rFonts w:ascii="仿宋_GB2312" w:cs="仿宋_GB2312" w:eastAsia="仿宋_GB2312" w:hAnsi="仿宋_GB2312" w:hint="eastAsia"/>
          <w:sz w:val="32"/>
          <w:szCs w:val="32"/>
          <w:lang w:val="en-US" w:eastAsia="zh-CN"/>
        </w:rPr>
        <w:t>8743.96</w:t>
      </w:r>
      <w:r>
        <w:rPr>
          <w:rFonts w:ascii="仿宋_GB2312" w:cs="仿宋_GB2312" w:eastAsia="仿宋_GB2312" w:hAnsi="仿宋_GB2312" w:hint="eastAsia"/>
          <w:sz w:val="32"/>
          <w:szCs w:val="32"/>
        </w:rPr>
        <w:t>万元，其中：财政拨款收入</w:t>
      </w:r>
      <w:r>
        <w:rPr>
          <w:rFonts w:ascii="仿宋_GB2312" w:cs="仿宋_GB2312" w:eastAsia="仿宋_GB2312" w:hAnsi="仿宋_GB2312" w:hint="eastAsia"/>
          <w:sz w:val="32"/>
          <w:szCs w:val="32"/>
          <w:lang w:val="en-US" w:eastAsia="zh-CN"/>
        </w:rPr>
        <w:t>7019.83</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80.28</w:t>
      </w:r>
      <w:r>
        <w:rPr>
          <w:rFonts w:ascii="仿宋_GB2312" w:cs="仿宋_GB2312" w:eastAsia="仿宋_GB2312" w:hAnsi="仿宋_GB2312" w:hint="eastAsia"/>
          <w:sz w:val="32"/>
          <w:szCs w:val="32"/>
        </w:rPr>
        <w:t>%；上级补助收入</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%；事业收入</w:t>
      </w:r>
      <w:r>
        <w:rPr>
          <w:rFonts w:ascii="仿宋_GB2312" w:cs="仿宋_GB2312" w:eastAsia="仿宋_GB2312" w:hAnsi="仿宋_GB2312" w:hint="eastAsia"/>
          <w:sz w:val="32"/>
          <w:szCs w:val="32"/>
          <w:lang w:val="en-US" w:eastAsia="zh-CN"/>
        </w:rPr>
        <w:t>527.9</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6.04</w:t>
      </w:r>
      <w:r>
        <w:rPr>
          <w:rFonts w:ascii="仿宋_GB2312" w:cs="仿宋_GB2312" w:eastAsia="仿宋_GB2312" w:hAnsi="仿宋_GB2312" w:hint="eastAsia"/>
          <w:sz w:val="32"/>
          <w:szCs w:val="32"/>
        </w:rPr>
        <w:t>%；经营收入</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%；附属单位上缴收入</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%；其他收入</w:t>
      </w:r>
      <w:r>
        <w:rPr>
          <w:rFonts w:ascii="仿宋_GB2312" w:cs="仿宋_GB2312" w:eastAsia="仿宋_GB2312" w:hAnsi="仿宋_GB2312" w:hint="eastAsia"/>
          <w:sz w:val="32"/>
          <w:szCs w:val="32"/>
          <w:lang w:val="en-US" w:eastAsia="zh-CN"/>
        </w:rPr>
        <w:t>1196.23</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13.68</w:t>
      </w:r>
      <w:r>
        <w:rPr>
          <w:rFonts w:ascii="仿宋_GB2312" w:cs="仿宋_GB2312" w:eastAsia="仿宋_GB2312" w:hAnsi="仿宋_GB2312" w:hint="eastAsia"/>
          <w:sz w:val="32"/>
          <w:szCs w:val="32"/>
        </w:rPr>
        <w:t>%。</w:t>
      </w:r>
    </w:p>
    <w:p w14:paraId="7ED126ED">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三、支出决算情况说明</w:t>
      </w:r>
    </w:p>
    <w:p w14:paraId="06F2D02F">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年度支出合计</w:t>
      </w:r>
      <w:r>
        <w:rPr>
          <w:rFonts w:ascii="仿宋_GB2312" w:cs="仿宋_GB2312" w:eastAsia="仿宋_GB2312" w:hAnsi="仿宋_GB2312" w:hint="eastAsia"/>
          <w:sz w:val="32"/>
          <w:szCs w:val="32"/>
          <w:lang w:val="en-US" w:eastAsia="zh-CN"/>
        </w:rPr>
        <w:t>8743.96</w:t>
      </w:r>
      <w:r>
        <w:rPr>
          <w:rFonts w:ascii="仿宋_GB2312" w:cs="仿宋_GB2312" w:eastAsia="仿宋_GB2312" w:hAnsi="仿宋_GB2312" w:hint="eastAsia"/>
          <w:sz w:val="32"/>
          <w:szCs w:val="32"/>
        </w:rPr>
        <w:t>万元，其中：基本支出</w:t>
      </w:r>
      <w:r>
        <w:rPr>
          <w:rFonts w:ascii="仿宋_GB2312" w:cs="仿宋_GB2312" w:eastAsia="仿宋_GB2312" w:hAnsi="仿宋_GB2312" w:hint="eastAsia"/>
          <w:sz w:val="32"/>
          <w:szCs w:val="32"/>
          <w:lang w:val="en-US" w:eastAsia="zh-CN"/>
        </w:rPr>
        <w:t>7218.34</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82.55</w:t>
      </w:r>
      <w:r>
        <w:rPr>
          <w:rFonts w:ascii="仿宋_GB2312" w:cs="仿宋_GB2312" w:eastAsia="仿宋_GB2312" w:hAnsi="仿宋_GB2312" w:hint="eastAsia"/>
          <w:sz w:val="32"/>
          <w:szCs w:val="32"/>
        </w:rPr>
        <w:t>%；项目支出</w:t>
      </w:r>
      <w:r>
        <w:rPr>
          <w:rFonts w:ascii="仿宋_GB2312" w:cs="仿宋_GB2312" w:eastAsia="仿宋_GB2312" w:hAnsi="仿宋_GB2312" w:hint="eastAsia"/>
          <w:sz w:val="32"/>
          <w:szCs w:val="32"/>
          <w:lang w:val="en-US" w:eastAsia="zh-CN"/>
        </w:rPr>
        <w:t>1525.64</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17.45</w:t>
      </w:r>
      <w:r>
        <w:rPr>
          <w:rFonts w:ascii="仿宋_GB2312" w:cs="仿宋_GB2312" w:eastAsia="仿宋_GB2312" w:hAnsi="仿宋_GB2312" w:hint="eastAsia"/>
          <w:sz w:val="32"/>
          <w:szCs w:val="32"/>
        </w:rPr>
        <w:t>%；上缴上级支出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%；经营支出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%；对附属单位补助支出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w:t>
      </w:r>
    </w:p>
    <w:p w14:paraId="51FFFC15">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四、财政拨款收入支出决算总体情况说明</w:t>
      </w:r>
    </w:p>
    <w:p w14:paraId="6F41578B">
      <w:pPr>
        <w:pStyle w:val="style4099"/>
        <w:keepNext w:val="false"/>
        <w:keepLines w:val="false"/>
        <w:pageBreakBefore w:val="false"/>
        <w:widowControl w:val="false"/>
        <w:kinsoku/>
        <w:wordWrap/>
        <w:overflowPunct/>
        <w:topLinePunct w:val="false"/>
        <w:bidi w:val="false"/>
        <w:snapToGrid/>
        <w:spacing w:lineRule="exact" w:line="600"/>
        <w:textAlignment w:val="auto"/>
        <w:rPr>
          <w:rFonts w:ascii="仿宋_GB2312" w:cs="仿宋_GB2312" w:eastAsia="仿宋_GB2312" w:hAnsi="仿宋_GB2312" w:hint="eastAsia"/>
          <w:sz w:val="32"/>
          <w:szCs w:val="32"/>
        </w:rPr>
      </w:pPr>
      <w:r>
        <w:rPr>
          <w:rFonts w:ascii="Times New Roman" w:eastAsia="仿宋_GB2312" w:hAnsi="Times New Roman" w:hint="eastAsia"/>
          <w:sz w:val="32"/>
          <w:szCs w:val="32"/>
        </w:rPr>
        <w:t xml:space="preserve">   </w:t>
      </w:r>
      <w:r>
        <w:rPr>
          <w:rFonts w:ascii="仿宋_GB2312" w:cs="仿宋_GB2312" w:eastAsia="仿宋_GB2312" w:hAnsi="仿宋_GB2312" w:hint="eastAsia"/>
          <w:sz w:val="32"/>
          <w:szCs w:val="32"/>
        </w:rPr>
        <w:t xml:space="preserve"> 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年度财政拨款收、支总计</w:t>
      </w:r>
      <w:r>
        <w:rPr>
          <w:rFonts w:ascii="仿宋_GB2312" w:cs="仿宋_GB2312" w:eastAsia="仿宋_GB2312" w:hAnsi="仿宋_GB2312" w:hint="eastAsia"/>
          <w:sz w:val="32"/>
          <w:szCs w:val="32"/>
          <w:lang w:val="en-US" w:eastAsia="zh-CN"/>
        </w:rPr>
        <w:t>7019.83</w:t>
      </w:r>
      <w:r>
        <w:rPr>
          <w:rFonts w:ascii="仿宋_GB2312" w:cs="仿宋_GB2312" w:eastAsia="仿宋_GB2312" w:hAnsi="仿宋_GB2312" w:hint="eastAsia"/>
          <w:sz w:val="32"/>
          <w:szCs w:val="32"/>
        </w:rPr>
        <w:t>万元，与上年相比，增加</w:t>
      </w:r>
      <w:r>
        <w:rPr>
          <w:rFonts w:ascii="仿宋_GB2312" w:cs="仿宋_GB2312" w:eastAsia="仿宋_GB2312" w:hAnsi="仿宋_GB2312" w:hint="eastAsia"/>
          <w:sz w:val="32"/>
          <w:szCs w:val="32"/>
          <w:lang w:val="en-US" w:eastAsia="zh-CN"/>
        </w:rPr>
        <w:t>68</w:t>
      </w:r>
      <w:r>
        <w:rPr>
          <w:rFonts w:ascii="仿宋_GB2312" w:cs="仿宋_GB2312" w:eastAsia="仿宋_GB2312" w:hAnsi="仿宋_GB2312" w:hint="eastAsia"/>
          <w:sz w:val="32"/>
          <w:szCs w:val="32"/>
        </w:rPr>
        <w:t>万元,增长</w:t>
      </w:r>
      <w:r>
        <w:rPr>
          <w:rFonts w:ascii="仿宋_GB2312" w:cs="仿宋_GB2312" w:eastAsia="仿宋_GB2312" w:hAnsi="仿宋_GB2312" w:hint="eastAsia"/>
          <w:sz w:val="32"/>
          <w:szCs w:val="32"/>
          <w:lang w:val="en-US" w:eastAsia="zh-CN"/>
        </w:rPr>
        <w:t>0.98</w:t>
      </w:r>
      <w:r>
        <w:rPr>
          <w:rFonts w:ascii="仿宋_GB2312" w:cs="仿宋_GB2312" w:eastAsia="仿宋_GB2312" w:hAnsi="仿宋_GB2312" w:hint="eastAsia"/>
          <w:sz w:val="32"/>
          <w:szCs w:val="32"/>
        </w:rPr>
        <w:t>%，主要是因为本年度财政增加了在职和离退休人员医疗补助项目，住房公积金缴费基数增加基础绩效奖。</w:t>
      </w:r>
    </w:p>
    <w:p w14:paraId="6F8F394B">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五、一般公共预算财政拨款支出决算情况说明</w:t>
      </w:r>
    </w:p>
    <w:p w14:paraId="7AA4A7DF">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b w:val="false"/>
          <w:bCs/>
          <w:sz w:val="32"/>
          <w:szCs w:val="32"/>
        </w:rPr>
      </w:pPr>
      <w:r>
        <w:rPr>
          <w:rFonts w:ascii="仿宋_GB2312" w:cs="仿宋_GB2312" w:eastAsia="仿宋_GB2312" w:hAnsi="仿宋_GB2312" w:hint="eastAsia"/>
          <w:b w:val="false"/>
          <w:bCs/>
          <w:sz w:val="32"/>
          <w:szCs w:val="32"/>
        </w:rPr>
        <w:t>（一）一般公共预算财政拨款支出决算总体情况</w:t>
      </w:r>
    </w:p>
    <w:p w14:paraId="39ACFAE5">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年度财政拨款支出</w:t>
      </w:r>
      <w:r>
        <w:rPr>
          <w:rFonts w:ascii="仿宋_GB2312" w:cs="仿宋_GB2312" w:eastAsia="仿宋_GB2312" w:hAnsi="仿宋_GB2312" w:hint="eastAsia"/>
          <w:sz w:val="32"/>
          <w:szCs w:val="32"/>
          <w:lang w:val="en-US" w:eastAsia="zh-CN"/>
        </w:rPr>
        <w:t>7019.83</w:t>
      </w:r>
      <w:r>
        <w:rPr>
          <w:rFonts w:ascii="仿宋_GB2312" w:cs="仿宋_GB2312" w:eastAsia="仿宋_GB2312" w:hAnsi="仿宋_GB2312" w:hint="eastAsia"/>
          <w:sz w:val="32"/>
          <w:szCs w:val="32"/>
        </w:rPr>
        <w:t>万元，占本年支出合计的</w:t>
      </w:r>
      <w:r>
        <w:rPr>
          <w:rFonts w:ascii="仿宋_GB2312" w:cs="仿宋_GB2312" w:eastAsia="仿宋_GB2312" w:hAnsi="仿宋_GB2312" w:hint="eastAsia"/>
          <w:sz w:val="32"/>
          <w:szCs w:val="32"/>
          <w:lang w:val="en-US" w:eastAsia="zh-CN"/>
        </w:rPr>
        <w:t>80.28</w:t>
      </w:r>
      <w:r>
        <w:rPr>
          <w:rFonts w:ascii="仿宋_GB2312" w:cs="仿宋_GB2312" w:eastAsia="仿宋_GB2312" w:hAnsi="仿宋_GB2312" w:hint="eastAsia"/>
          <w:sz w:val="32"/>
          <w:szCs w:val="32"/>
        </w:rPr>
        <w:t>%，与上年相比，财政拨款支出增加</w:t>
      </w:r>
      <w:r>
        <w:rPr>
          <w:rFonts w:ascii="仿宋_GB2312" w:cs="仿宋_GB2312" w:eastAsia="仿宋_GB2312" w:hAnsi="仿宋_GB2312" w:hint="eastAsia"/>
          <w:sz w:val="32"/>
          <w:szCs w:val="32"/>
          <w:lang w:val="en-US" w:eastAsia="zh-CN"/>
        </w:rPr>
        <w:t>68</w:t>
      </w:r>
      <w:r>
        <w:rPr>
          <w:rFonts w:ascii="仿宋_GB2312" w:cs="仿宋_GB2312" w:eastAsia="仿宋_GB2312" w:hAnsi="仿宋_GB2312" w:hint="eastAsia"/>
          <w:sz w:val="32"/>
          <w:szCs w:val="32"/>
        </w:rPr>
        <w:t>万元，增长</w:t>
      </w:r>
      <w:r>
        <w:rPr>
          <w:rFonts w:ascii="仿宋_GB2312" w:cs="仿宋_GB2312" w:eastAsia="仿宋_GB2312" w:hAnsi="仿宋_GB2312" w:hint="eastAsia"/>
          <w:sz w:val="32"/>
          <w:szCs w:val="32"/>
          <w:lang w:val="en-US" w:eastAsia="zh-CN"/>
        </w:rPr>
        <w:t>0.98</w:t>
      </w:r>
      <w:r>
        <w:rPr>
          <w:rFonts w:ascii="仿宋_GB2312" w:cs="仿宋_GB2312" w:eastAsia="仿宋_GB2312" w:hAnsi="仿宋_GB2312" w:hint="eastAsia"/>
          <w:sz w:val="32"/>
          <w:szCs w:val="32"/>
        </w:rPr>
        <w:t>%，主要是</w:t>
      </w:r>
      <w:r>
        <w:rPr>
          <w:rFonts w:ascii="仿宋_GB2312" w:cs="仿宋_GB2312" w:eastAsia="仿宋_GB2312" w:hAnsi="仿宋_GB2312" w:hint="eastAsia"/>
          <w:sz w:val="32"/>
          <w:szCs w:val="32"/>
          <w:lang w:val="en-US" w:eastAsia="zh-CN"/>
        </w:rPr>
        <w:t>因为本年度财政增加了在职和离退休人员医疗补助项目，住房公积金缴费基数增加基础绩效奖。</w:t>
      </w:r>
    </w:p>
    <w:p w14:paraId="4776F82B">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b w:val="false"/>
          <w:bCs/>
          <w:sz w:val="32"/>
          <w:szCs w:val="32"/>
        </w:rPr>
      </w:pPr>
      <w:r>
        <w:rPr>
          <w:rFonts w:ascii="仿宋_GB2312" w:cs="仿宋_GB2312" w:eastAsia="仿宋_GB2312" w:hAnsi="仿宋_GB2312" w:hint="eastAsia"/>
          <w:b w:val="false"/>
          <w:bCs/>
          <w:sz w:val="32"/>
          <w:szCs w:val="32"/>
        </w:rPr>
        <w:t>（二）一般公共预算财政拨款支出决算结构情况</w:t>
      </w:r>
    </w:p>
    <w:p w14:paraId="5B2701AB">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年度财政拨款支出</w:t>
      </w:r>
      <w:r>
        <w:rPr>
          <w:rFonts w:ascii="仿宋_GB2312" w:cs="仿宋_GB2312" w:eastAsia="仿宋_GB2312" w:hAnsi="仿宋_GB2312" w:hint="eastAsia"/>
          <w:sz w:val="32"/>
          <w:szCs w:val="32"/>
          <w:lang w:val="en-US" w:eastAsia="zh-CN"/>
        </w:rPr>
        <w:t>7019.83</w:t>
      </w:r>
      <w:r>
        <w:rPr>
          <w:rFonts w:ascii="仿宋_GB2312" w:cs="仿宋_GB2312" w:eastAsia="仿宋_GB2312" w:hAnsi="仿宋_GB2312" w:hint="eastAsia"/>
          <w:sz w:val="32"/>
          <w:szCs w:val="32"/>
        </w:rPr>
        <w:t>万元，主要用于以下方面：教育（类）支出</w:t>
      </w:r>
      <w:r>
        <w:rPr>
          <w:rFonts w:ascii="仿宋_GB2312" w:cs="仿宋_GB2312" w:eastAsia="仿宋_GB2312" w:hAnsi="仿宋_GB2312" w:hint="eastAsia"/>
          <w:sz w:val="32"/>
          <w:szCs w:val="32"/>
          <w:lang w:val="en-US" w:eastAsia="zh-CN"/>
        </w:rPr>
        <w:t>6039.58</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86.04</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社会保障和就业（类）支出627.24万元，占8.93%；住房保障（类）支出353.02万元，占5.03%。</w:t>
      </w:r>
    </w:p>
    <w:p w14:paraId="67D57A4A">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b w:val="false"/>
          <w:bCs/>
          <w:sz w:val="32"/>
          <w:szCs w:val="32"/>
        </w:rPr>
      </w:pPr>
      <w:r>
        <w:rPr>
          <w:rFonts w:ascii="仿宋_GB2312" w:cs="仿宋_GB2312" w:eastAsia="仿宋_GB2312" w:hAnsi="仿宋_GB2312" w:hint="eastAsia"/>
          <w:b w:val="false"/>
          <w:bCs/>
          <w:sz w:val="32"/>
          <w:szCs w:val="32"/>
        </w:rPr>
        <w:t>（三）一般公共预算财政拨款支出决算具体情况</w:t>
      </w:r>
    </w:p>
    <w:p w14:paraId="19A22F71">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年度财政拨款支出年初预算数为</w:t>
      </w:r>
      <w:r>
        <w:rPr>
          <w:rFonts w:ascii="仿宋_GB2312" w:cs="仿宋_GB2312" w:eastAsia="仿宋_GB2312" w:hAnsi="仿宋_GB2312" w:hint="eastAsia"/>
          <w:sz w:val="32"/>
          <w:szCs w:val="32"/>
          <w:lang w:val="en-US" w:eastAsia="zh-CN"/>
        </w:rPr>
        <w:t>5293.38</w:t>
      </w:r>
      <w:r>
        <w:rPr>
          <w:rFonts w:ascii="仿宋_GB2312" w:cs="仿宋_GB2312" w:eastAsia="仿宋_GB2312" w:hAnsi="仿宋_GB2312" w:hint="eastAsia"/>
          <w:sz w:val="32"/>
          <w:szCs w:val="32"/>
        </w:rPr>
        <w:t>万元，支出决算数为</w:t>
      </w:r>
      <w:r>
        <w:rPr>
          <w:rFonts w:ascii="仿宋_GB2312" w:cs="仿宋_GB2312" w:eastAsia="仿宋_GB2312" w:hAnsi="仿宋_GB2312" w:hint="eastAsia"/>
          <w:sz w:val="32"/>
          <w:szCs w:val="32"/>
          <w:lang w:val="en-US" w:eastAsia="zh-CN"/>
        </w:rPr>
        <w:t>7019.83</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132.62</w:t>
      </w:r>
      <w:r>
        <w:rPr>
          <w:rFonts w:ascii="仿宋_GB2312" w:cs="仿宋_GB2312" w:eastAsia="仿宋_GB2312" w:hAnsi="仿宋_GB2312" w:hint="eastAsia"/>
          <w:sz w:val="32"/>
          <w:szCs w:val="32"/>
        </w:rPr>
        <w:t>%，其中：</w:t>
      </w:r>
    </w:p>
    <w:p w14:paraId="0C2474FD">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教育</w:t>
      </w:r>
      <w:r>
        <w:rPr>
          <w:rFonts w:ascii="仿宋_GB2312" w:cs="仿宋_GB2312" w:eastAsia="仿宋_GB2312" w:hAnsi="仿宋_GB2312" w:hint="eastAsia"/>
          <w:sz w:val="32"/>
          <w:szCs w:val="32"/>
        </w:rPr>
        <w:t>（类）</w:t>
      </w:r>
      <w:r>
        <w:rPr>
          <w:rFonts w:ascii="仿宋_GB2312" w:cs="仿宋_GB2312" w:eastAsia="仿宋_GB2312" w:hAnsi="仿宋_GB2312" w:hint="eastAsia"/>
          <w:sz w:val="32"/>
          <w:szCs w:val="32"/>
          <w:lang w:val="en-US" w:eastAsia="zh-CN"/>
        </w:rPr>
        <w:t>教育管理事务</w:t>
      </w:r>
      <w:r>
        <w:rPr>
          <w:rFonts w:ascii="仿宋_GB2312" w:cs="仿宋_GB2312" w:eastAsia="仿宋_GB2312" w:hAnsi="仿宋_GB2312" w:hint="eastAsia"/>
          <w:sz w:val="32"/>
          <w:szCs w:val="32"/>
        </w:rPr>
        <w:t>（款）</w:t>
      </w:r>
      <w:r>
        <w:rPr>
          <w:rFonts w:ascii="仿宋_GB2312" w:cs="仿宋_GB2312" w:eastAsia="仿宋_GB2312" w:hAnsi="仿宋_GB2312" w:hint="eastAsia"/>
          <w:sz w:val="32"/>
          <w:szCs w:val="32"/>
          <w:lang w:val="en-US" w:eastAsia="zh-CN"/>
        </w:rPr>
        <w:t>行政运行</w:t>
      </w:r>
      <w:r>
        <w:rPr>
          <w:rFonts w:ascii="仿宋_GB2312" w:cs="仿宋_GB2312" w:eastAsia="仿宋_GB2312" w:hAnsi="仿宋_GB2312" w:hint="eastAsia"/>
          <w:sz w:val="32"/>
          <w:szCs w:val="32"/>
        </w:rPr>
        <w:t>（项）。</w:t>
      </w:r>
    </w:p>
    <w:p w14:paraId="395F9EEE">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302.20</w:t>
      </w:r>
      <w:r>
        <w:rPr>
          <w:rFonts w:ascii="仿宋_GB2312" w:cs="仿宋_GB2312" w:eastAsia="仿宋_GB2312" w:hAnsi="仿宋_GB2312" w:hint="eastAsia"/>
          <w:sz w:val="32"/>
          <w:szCs w:val="32"/>
        </w:rPr>
        <w:t>万元，决算数大于年初预算数的主要原因是：</w:t>
      </w:r>
      <w:r>
        <w:rPr>
          <w:rFonts w:ascii="仿宋_GB2312" w:cs="仿宋_GB2312" w:eastAsia="仿宋_GB2312" w:hAnsi="仿宋_GB2312" w:hint="eastAsia"/>
          <w:sz w:val="32"/>
          <w:szCs w:val="32"/>
          <w:lang w:val="en-US" w:eastAsia="zh-CN"/>
        </w:rPr>
        <w:t>市财政下拨2022年绩效考核奖。</w:t>
      </w:r>
    </w:p>
    <w:p w14:paraId="5BB78EEC">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w:t>
      </w:r>
      <w:r>
        <w:rPr>
          <w:rFonts w:ascii="仿宋_GB2312" w:cs="仿宋_GB2312" w:eastAsia="仿宋_GB2312" w:hAnsi="仿宋_GB2312" w:hint="eastAsia"/>
          <w:sz w:val="32"/>
          <w:szCs w:val="32"/>
          <w:lang w:val="en-US" w:eastAsia="zh-CN"/>
        </w:rPr>
        <w:t>教育</w:t>
      </w:r>
      <w:r>
        <w:rPr>
          <w:rFonts w:ascii="仿宋_GB2312" w:cs="仿宋_GB2312" w:eastAsia="仿宋_GB2312" w:hAnsi="仿宋_GB2312" w:hint="eastAsia"/>
          <w:sz w:val="32"/>
          <w:szCs w:val="32"/>
        </w:rPr>
        <w:t>（类）</w:t>
      </w:r>
      <w:r>
        <w:rPr>
          <w:rFonts w:ascii="仿宋_GB2312" w:cs="仿宋_GB2312" w:eastAsia="仿宋_GB2312" w:hAnsi="仿宋_GB2312" w:hint="eastAsia"/>
          <w:sz w:val="32"/>
          <w:szCs w:val="32"/>
          <w:lang w:val="en-US" w:eastAsia="zh-CN"/>
        </w:rPr>
        <w:t>教育管理事务</w:t>
      </w:r>
      <w:r>
        <w:rPr>
          <w:rFonts w:ascii="仿宋_GB2312" w:cs="仿宋_GB2312" w:eastAsia="仿宋_GB2312" w:hAnsi="仿宋_GB2312" w:hint="eastAsia"/>
          <w:sz w:val="32"/>
          <w:szCs w:val="32"/>
        </w:rPr>
        <w:t>（款）</w:t>
      </w:r>
      <w:r>
        <w:rPr>
          <w:rFonts w:ascii="仿宋_GB2312" w:cs="仿宋_GB2312" w:eastAsia="仿宋_GB2312" w:hAnsi="仿宋_GB2312" w:hint="eastAsia"/>
          <w:sz w:val="32"/>
          <w:szCs w:val="32"/>
          <w:lang w:val="en-US" w:eastAsia="zh-CN"/>
        </w:rPr>
        <w:t>一般行政管理事务</w:t>
      </w:r>
      <w:r>
        <w:rPr>
          <w:rFonts w:ascii="仿宋_GB2312" w:cs="仿宋_GB2312" w:eastAsia="仿宋_GB2312" w:hAnsi="仿宋_GB2312" w:hint="eastAsia"/>
          <w:sz w:val="32"/>
          <w:szCs w:val="32"/>
        </w:rPr>
        <w:t>（项）。</w:t>
      </w:r>
    </w:p>
    <w:p w14:paraId="7AF60048">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36.87</w:t>
      </w:r>
      <w:r>
        <w:rPr>
          <w:rFonts w:ascii="仿宋_GB2312" w:cs="仿宋_GB2312" w:eastAsia="仿宋_GB2312" w:hAnsi="仿宋_GB2312" w:hint="eastAsia"/>
          <w:sz w:val="32"/>
          <w:szCs w:val="32"/>
        </w:rPr>
        <w:t>万元，决算数大于年初预算数的主要原因是：</w:t>
      </w:r>
      <w:r>
        <w:rPr>
          <w:rFonts w:ascii="仿宋_GB2312" w:cs="仿宋_GB2312" w:eastAsia="仿宋_GB2312" w:hAnsi="仿宋_GB2312" w:hint="eastAsia"/>
          <w:sz w:val="32"/>
          <w:szCs w:val="32"/>
          <w:lang w:val="en-US" w:eastAsia="zh-CN"/>
        </w:rPr>
        <w:t>市财政下拨2023年退休教师第十三个月绩效工资。</w:t>
      </w:r>
    </w:p>
    <w:p w14:paraId="0D288406">
      <w:pPr>
        <w:pStyle w:val="style4099"/>
        <w:keepNext w:val="false"/>
        <w:keepLines w:val="false"/>
        <w:pageBreakBefore w:val="false"/>
        <w:widowControl w:val="false"/>
        <w:numPr>
          <w:ilvl w:val="0"/>
          <w:numId w:val="2"/>
        </w:numPr>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教育</w:t>
      </w:r>
      <w:r>
        <w:rPr>
          <w:rFonts w:ascii="仿宋_GB2312" w:cs="仿宋_GB2312" w:eastAsia="仿宋_GB2312" w:hAnsi="仿宋_GB2312" w:hint="eastAsia"/>
          <w:sz w:val="32"/>
          <w:szCs w:val="32"/>
        </w:rPr>
        <w:t>（类）</w:t>
      </w:r>
      <w:r>
        <w:rPr>
          <w:rFonts w:ascii="仿宋_GB2312" w:cs="仿宋_GB2312" w:eastAsia="仿宋_GB2312" w:hAnsi="仿宋_GB2312" w:hint="eastAsia"/>
          <w:sz w:val="32"/>
          <w:szCs w:val="32"/>
          <w:lang w:val="en-US" w:eastAsia="zh-CN"/>
        </w:rPr>
        <w:t>普通教育（款）高中教育（项）</w:t>
      </w:r>
    </w:p>
    <w:p w14:paraId="4134B252">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4272.63</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4844.43</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113.38</w:t>
      </w:r>
      <w:r>
        <w:rPr>
          <w:rFonts w:ascii="仿宋_GB2312" w:cs="仿宋_GB2312" w:eastAsia="仿宋_GB2312" w:hAnsi="仿宋_GB2312" w:hint="eastAsia"/>
          <w:sz w:val="32"/>
          <w:szCs w:val="32"/>
        </w:rPr>
        <w:t>%，决算数大于年初预算数的主要原因是：</w:t>
      </w:r>
      <w:r>
        <w:rPr>
          <w:rFonts w:ascii="仿宋_GB2312" w:cs="仿宋_GB2312" w:eastAsia="仿宋_GB2312" w:hAnsi="仿宋_GB2312" w:hint="eastAsia"/>
          <w:sz w:val="32"/>
          <w:szCs w:val="32"/>
          <w:lang w:val="en-US" w:eastAsia="zh-CN"/>
        </w:rPr>
        <w:t>省财政年中下拨教育综合发展专项资金、铸牢中华民族共同体意识专项资金、三区教师选派计划补助等资金。</w:t>
      </w:r>
    </w:p>
    <w:p w14:paraId="338333D5">
      <w:pPr>
        <w:pStyle w:val="style4099"/>
        <w:keepNext w:val="false"/>
        <w:keepLines w:val="false"/>
        <w:pageBreakBefore w:val="false"/>
        <w:widowControl w:val="false"/>
        <w:numPr>
          <w:ilvl w:val="0"/>
          <w:numId w:val="2"/>
        </w:numPr>
        <w:kinsoku/>
        <w:wordWrap/>
        <w:overflowPunct/>
        <w:topLinePunct w:val="false"/>
        <w:bidi w:val="false"/>
        <w:snapToGrid/>
        <w:spacing w:lineRule="exact" w:line="600"/>
        <w:ind w:left="0" w:leftChars="0" w:firstLine="800" w:firstLineChars="25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教育</w:t>
      </w:r>
      <w:r>
        <w:rPr>
          <w:rFonts w:ascii="仿宋_GB2312" w:cs="仿宋_GB2312" w:eastAsia="仿宋_GB2312" w:hAnsi="仿宋_GB2312" w:hint="eastAsia"/>
          <w:sz w:val="32"/>
          <w:szCs w:val="32"/>
        </w:rPr>
        <w:t>（类）</w:t>
      </w:r>
      <w:r>
        <w:rPr>
          <w:rFonts w:ascii="仿宋_GB2312" w:cs="仿宋_GB2312" w:eastAsia="仿宋_GB2312" w:hAnsi="仿宋_GB2312" w:hint="eastAsia"/>
          <w:sz w:val="32"/>
          <w:szCs w:val="32"/>
          <w:lang w:val="en-US" w:eastAsia="zh-CN"/>
        </w:rPr>
        <w:t>普通教育（款）其他普通教育支出（项）</w:t>
      </w:r>
    </w:p>
    <w:p w14:paraId="03818F03">
      <w:pPr>
        <w:pStyle w:val="style4099"/>
        <w:keepNext w:val="false"/>
        <w:keepLines w:val="false"/>
        <w:pageBreakBefore w:val="false"/>
        <w:widowControl w:val="false"/>
        <w:numPr>
          <w:ilvl w:val="0"/>
          <w:numId w:val="0"/>
        </w:numPr>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199.81</w:t>
      </w:r>
      <w:r>
        <w:rPr>
          <w:rFonts w:ascii="仿宋_GB2312" w:cs="仿宋_GB2312" w:eastAsia="仿宋_GB2312" w:hAnsi="仿宋_GB2312" w:hint="eastAsia"/>
          <w:sz w:val="32"/>
          <w:szCs w:val="32"/>
        </w:rPr>
        <w:t>万元</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决算数大于年初预算数的主要原因是：</w:t>
      </w:r>
      <w:r>
        <w:rPr>
          <w:rFonts w:ascii="仿宋_GB2312" w:cs="仿宋_GB2312" w:eastAsia="仿宋_GB2312" w:hAnsi="仿宋_GB2312" w:hint="eastAsia"/>
          <w:sz w:val="32"/>
          <w:szCs w:val="32"/>
          <w:lang w:val="en-US" w:eastAsia="zh-CN"/>
        </w:rPr>
        <w:t>市财政11月下拨人员经费补差。</w:t>
      </w:r>
    </w:p>
    <w:p w14:paraId="05687278">
      <w:pPr>
        <w:pStyle w:val="style4099"/>
        <w:keepNext w:val="false"/>
        <w:keepLines w:val="false"/>
        <w:pageBreakBefore w:val="false"/>
        <w:widowControl w:val="false"/>
        <w:numPr>
          <w:ilvl w:val="0"/>
          <w:numId w:val="2"/>
        </w:numPr>
        <w:kinsoku/>
        <w:wordWrap/>
        <w:overflowPunct/>
        <w:topLinePunct w:val="false"/>
        <w:bidi w:val="false"/>
        <w:snapToGrid/>
        <w:spacing w:lineRule="exact" w:line="600"/>
        <w:ind w:left="0" w:leftChars="0" w:firstLine="800" w:firstLineChars="25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教育</w:t>
      </w:r>
      <w:r>
        <w:rPr>
          <w:rFonts w:ascii="仿宋_GB2312" w:cs="仿宋_GB2312" w:eastAsia="仿宋_GB2312" w:hAnsi="仿宋_GB2312" w:hint="eastAsia"/>
          <w:sz w:val="32"/>
          <w:szCs w:val="32"/>
        </w:rPr>
        <w:t>（类）</w:t>
      </w:r>
      <w:r>
        <w:rPr>
          <w:rFonts w:ascii="仿宋_GB2312" w:cs="仿宋_GB2312" w:eastAsia="仿宋_GB2312" w:hAnsi="仿宋_GB2312" w:hint="eastAsia"/>
          <w:sz w:val="32"/>
          <w:szCs w:val="32"/>
          <w:lang w:val="en-US" w:eastAsia="zh-CN"/>
        </w:rPr>
        <w:t>教育费附加安排的支出（款）其他教育费附加安排的支出（项）</w:t>
      </w:r>
    </w:p>
    <w:p w14:paraId="1A2B787F">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182.00</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656.27</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360.59</w:t>
      </w:r>
      <w:r>
        <w:rPr>
          <w:rFonts w:ascii="仿宋_GB2312" w:cs="仿宋_GB2312" w:eastAsia="仿宋_GB2312" w:hAnsi="仿宋_GB2312" w:hint="eastAsia"/>
          <w:sz w:val="32"/>
          <w:szCs w:val="32"/>
        </w:rPr>
        <w:t>%，决算数大于年初预算数的主要原因是：</w:t>
      </w:r>
      <w:r>
        <w:rPr>
          <w:rFonts w:ascii="仿宋_GB2312" w:cs="仿宋_GB2312" w:eastAsia="仿宋_GB2312" w:hAnsi="仿宋_GB2312" w:hint="eastAsia"/>
          <w:sz w:val="32"/>
          <w:szCs w:val="32"/>
          <w:lang w:val="en-US" w:eastAsia="zh-CN"/>
        </w:rPr>
        <w:t>市财政下拨高中生均经费、从教30年教师一次性退休经费补贴、西藏班特殊岗位津贴等资金。</w:t>
      </w:r>
    </w:p>
    <w:p w14:paraId="498399B5">
      <w:pPr>
        <w:pStyle w:val="style4099"/>
        <w:keepNext w:val="false"/>
        <w:keepLines w:val="false"/>
        <w:pageBreakBefore w:val="false"/>
        <w:widowControl w:val="false"/>
        <w:numPr>
          <w:ilvl w:val="0"/>
          <w:numId w:val="2"/>
        </w:numPr>
        <w:kinsoku/>
        <w:wordWrap/>
        <w:overflowPunct/>
        <w:topLinePunct w:val="false"/>
        <w:bidi w:val="false"/>
        <w:snapToGrid/>
        <w:spacing w:lineRule="exact" w:line="600"/>
        <w:ind w:left="0" w:leftChars="0" w:firstLine="800" w:firstLineChars="25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社会保障和就业（类）行政事业单位养老支出（款）事业单位离退休（项）</w:t>
      </w:r>
    </w:p>
    <w:p w14:paraId="0BF2BC9F">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135.75</w:t>
      </w:r>
      <w:r>
        <w:rPr>
          <w:rFonts w:ascii="仿宋_GB2312" w:cs="仿宋_GB2312" w:eastAsia="仿宋_GB2312" w:hAnsi="仿宋_GB2312" w:hint="eastAsia"/>
          <w:sz w:val="32"/>
          <w:szCs w:val="32"/>
        </w:rPr>
        <w:t>万元，决算数大于年初预算数的主要原因是：</w:t>
      </w:r>
      <w:r>
        <w:rPr>
          <w:rFonts w:ascii="仿宋_GB2312" w:cs="仿宋_GB2312" w:eastAsia="仿宋_GB2312" w:hAnsi="仿宋_GB2312" w:hint="eastAsia"/>
          <w:sz w:val="32"/>
          <w:szCs w:val="32"/>
          <w:lang w:val="en-US" w:eastAsia="zh-CN"/>
        </w:rPr>
        <w:t>市财政下拨离退休人员综合绩效奖和平安岳阳建设奖。</w:t>
      </w:r>
    </w:p>
    <w:p w14:paraId="75B05CEA">
      <w:pPr>
        <w:pStyle w:val="style4099"/>
        <w:keepNext w:val="false"/>
        <w:keepLines w:val="false"/>
        <w:pageBreakBefore w:val="false"/>
        <w:widowControl w:val="false"/>
        <w:numPr>
          <w:ilvl w:val="0"/>
          <w:numId w:val="2"/>
        </w:numPr>
        <w:kinsoku/>
        <w:wordWrap/>
        <w:overflowPunct/>
        <w:topLinePunct w:val="false"/>
        <w:bidi w:val="false"/>
        <w:snapToGrid/>
        <w:spacing w:lineRule="exact" w:line="600"/>
        <w:ind w:left="0" w:leftChars="0" w:firstLine="800" w:firstLineChars="25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社会保障和就业（类）行政事业单位养老支出（款）机关事业单位基本养老保险缴费支出（项）</w:t>
      </w:r>
    </w:p>
    <w:p w14:paraId="30AB6E80">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372.68</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372.68</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100</w:t>
      </w:r>
      <w:r>
        <w:rPr>
          <w:rFonts w:ascii="仿宋_GB2312" w:cs="仿宋_GB2312" w:eastAsia="仿宋_GB2312" w:hAnsi="仿宋_GB2312" w:hint="eastAsia"/>
          <w:sz w:val="32"/>
          <w:szCs w:val="32"/>
        </w:rPr>
        <w:t>%，决算数</w:t>
      </w:r>
      <w:r>
        <w:rPr>
          <w:rFonts w:ascii="仿宋_GB2312" w:cs="仿宋_GB2312" w:eastAsia="仿宋_GB2312" w:hAnsi="仿宋_GB2312" w:hint="eastAsia"/>
          <w:sz w:val="32"/>
          <w:szCs w:val="32"/>
          <w:lang w:val="en-US" w:eastAsia="zh-CN"/>
        </w:rPr>
        <w:t>等于</w:t>
      </w:r>
      <w:r>
        <w:rPr>
          <w:rFonts w:ascii="仿宋_GB2312" w:cs="仿宋_GB2312" w:eastAsia="仿宋_GB2312" w:hAnsi="仿宋_GB2312" w:hint="eastAsia"/>
          <w:sz w:val="32"/>
          <w:szCs w:val="32"/>
        </w:rPr>
        <w:t>年初预算数</w:t>
      </w:r>
      <w:r>
        <w:rPr>
          <w:rFonts w:ascii="仿宋_GB2312" w:cs="仿宋_GB2312" w:eastAsia="仿宋_GB2312" w:hAnsi="仿宋_GB2312" w:hint="eastAsia"/>
          <w:sz w:val="32"/>
          <w:szCs w:val="32"/>
          <w:lang w:eastAsia="zh-CN"/>
        </w:rPr>
        <w:t>，主要原因是我单位严格按预算执行决算。</w:t>
      </w:r>
    </w:p>
    <w:p w14:paraId="7463D413">
      <w:pPr>
        <w:pStyle w:val="style4099"/>
        <w:keepNext w:val="false"/>
        <w:keepLines w:val="false"/>
        <w:pageBreakBefore w:val="false"/>
        <w:widowControl w:val="false"/>
        <w:numPr>
          <w:ilvl w:val="0"/>
          <w:numId w:val="2"/>
        </w:numPr>
        <w:kinsoku/>
        <w:wordWrap/>
        <w:overflowPunct/>
        <w:topLinePunct w:val="false"/>
        <w:bidi w:val="false"/>
        <w:snapToGrid/>
        <w:spacing w:lineRule="exact" w:line="600"/>
        <w:ind w:left="0" w:leftChars="0" w:firstLine="800" w:firstLineChars="25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社会保障和就业（类）抚恤（款）其他优抚支出（项）</w:t>
      </w:r>
    </w:p>
    <w:p w14:paraId="70F598BB">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69.33</w:t>
      </w:r>
      <w:r>
        <w:rPr>
          <w:rFonts w:ascii="仿宋_GB2312" w:cs="仿宋_GB2312" w:eastAsia="仿宋_GB2312" w:hAnsi="仿宋_GB2312" w:hint="eastAsia"/>
          <w:sz w:val="32"/>
          <w:szCs w:val="32"/>
        </w:rPr>
        <w:t>万元，决算数大于年初预算数的主要原因是：</w:t>
      </w:r>
      <w:r>
        <w:rPr>
          <w:rFonts w:ascii="仿宋_GB2312" w:cs="仿宋_GB2312" w:eastAsia="仿宋_GB2312" w:hAnsi="仿宋_GB2312" w:hint="eastAsia"/>
          <w:sz w:val="32"/>
          <w:szCs w:val="32"/>
          <w:lang w:val="en-US" w:eastAsia="zh-CN"/>
        </w:rPr>
        <w:t>市财政下拨一次性抚恤及遗嘱费。</w:t>
      </w:r>
    </w:p>
    <w:p w14:paraId="0FBD67CA">
      <w:pPr>
        <w:pStyle w:val="style4099"/>
        <w:keepNext w:val="false"/>
        <w:keepLines w:val="false"/>
        <w:pageBreakBefore w:val="false"/>
        <w:widowControl w:val="false"/>
        <w:numPr>
          <w:ilvl w:val="0"/>
          <w:numId w:val="2"/>
        </w:numPr>
        <w:kinsoku/>
        <w:wordWrap/>
        <w:overflowPunct/>
        <w:topLinePunct w:val="false"/>
        <w:bidi w:val="false"/>
        <w:snapToGrid/>
        <w:spacing w:lineRule="exact" w:line="600"/>
        <w:ind w:left="0" w:leftChars="0" w:firstLine="800" w:firstLineChars="25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社会保障和就业（类）其他社会保障和就业支出（款）其他社会保障和就业支出（项）</w:t>
      </w:r>
    </w:p>
    <w:p w14:paraId="4E9DF75C">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11.49</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49.48</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430.64</w:t>
      </w:r>
      <w:r>
        <w:rPr>
          <w:rFonts w:ascii="仿宋_GB2312" w:cs="仿宋_GB2312" w:eastAsia="仿宋_GB2312" w:hAnsi="仿宋_GB2312" w:hint="eastAsia"/>
          <w:sz w:val="32"/>
          <w:szCs w:val="32"/>
        </w:rPr>
        <w:t>%，决算数大于年初预算数的主要原因是：</w:t>
      </w:r>
      <w:r>
        <w:rPr>
          <w:rFonts w:ascii="仿宋_GB2312" w:cs="仿宋_GB2312" w:eastAsia="仿宋_GB2312" w:hAnsi="仿宋_GB2312" w:hint="eastAsia"/>
          <w:sz w:val="32"/>
          <w:szCs w:val="32"/>
          <w:lang w:val="en-US" w:eastAsia="zh-CN"/>
        </w:rPr>
        <w:t>市财政下拨第二批绩效奖补差资金。</w:t>
      </w:r>
    </w:p>
    <w:p w14:paraId="45DBBC70">
      <w:pPr>
        <w:pStyle w:val="style4099"/>
        <w:keepNext w:val="false"/>
        <w:keepLines w:val="false"/>
        <w:pageBreakBefore w:val="false"/>
        <w:widowControl w:val="false"/>
        <w:numPr>
          <w:ilvl w:val="0"/>
          <w:numId w:val="2"/>
        </w:numPr>
        <w:kinsoku/>
        <w:wordWrap/>
        <w:overflowPunct/>
        <w:topLinePunct w:val="false"/>
        <w:bidi w:val="false"/>
        <w:snapToGrid/>
        <w:spacing w:lineRule="exact" w:line="600"/>
        <w:ind w:left="0" w:leftChars="0" w:firstLine="800" w:firstLineChars="25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住房保障支出（类）住房改革支出（款）住房公积金（项）</w:t>
      </w:r>
    </w:p>
    <w:p w14:paraId="2F3EB3A6">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353.02</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353.02</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100</w:t>
      </w:r>
      <w:r>
        <w:rPr>
          <w:rFonts w:ascii="仿宋_GB2312" w:cs="仿宋_GB2312" w:eastAsia="仿宋_GB2312" w:hAnsi="仿宋_GB2312" w:hint="eastAsia"/>
          <w:sz w:val="32"/>
          <w:szCs w:val="32"/>
        </w:rPr>
        <w:t>%，决算数</w:t>
      </w:r>
      <w:r>
        <w:rPr>
          <w:rFonts w:ascii="仿宋_GB2312" w:cs="仿宋_GB2312" w:eastAsia="仿宋_GB2312" w:hAnsi="仿宋_GB2312" w:hint="eastAsia"/>
          <w:sz w:val="32"/>
          <w:szCs w:val="32"/>
          <w:lang w:val="en-US" w:eastAsia="zh-CN"/>
        </w:rPr>
        <w:t>等于</w:t>
      </w:r>
      <w:r>
        <w:rPr>
          <w:rFonts w:ascii="仿宋_GB2312" w:cs="仿宋_GB2312" w:eastAsia="仿宋_GB2312" w:hAnsi="仿宋_GB2312" w:hint="eastAsia"/>
          <w:sz w:val="32"/>
          <w:szCs w:val="32"/>
        </w:rPr>
        <w:t>年初预算数</w:t>
      </w:r>
      <w:r>
        <w:rPr>
          <w:rFonts w:ascii="仿宋_GB2312" w:cs="仿宋_GB2312" w:eastAsia="仿宋_GB2312" w:hAnsi="仿宋_GB2312" w:hint="eastAsia"/>
          <w:sz w:val="32"/>
          <w:szCs w:val="32"/>
          <w:lang w:eastAsia="zh-CN"/>
        </w:rPr>
        <w:t>，主要原因是我单位严格按预算执行决算。</w:t>
      </w:r>
    </w:p>
    <w:p w14:paraId="017F5F08">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六、一般公共预算财政拨款基本支出决算情况说明</w:t>
      </w:r>
    </w:p>
    <w:p w14:paraId="28839481">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年度财政拨款基本支出</w:t>
      </w:r>
      <w:r>
        <w:rPr>
          <w:rFonts w:ascii="仿宋_GB2312" w:cs="仿宋_GB2312" w:eastAsia="仿宋_GB2312" w:hAnsi="仿宋_GB2312" w:hint="eastAsia"/>
          <w:sz w:val="32"/>
          <w:szCs w:val="32"/>
          <w:lang w:val="en-US" w:eastAsia="zh-CN"/>
        </w:rPr>
        <w:t>5776.12</w:t>
      </w:r>
      <w:r>
        <w:rPr>
          <w:rFonts w:ascii="仿宋_GB2312" w:cs="仿宋_GB2312" w:eastAsia="仿宋_GB2312" w:hAnsi="仿宋_GB2312" w:hint="eastAsia"/>
          <w:sz w:val="32"/>
          <w:szCs w:val="32"/>
        </w:rPr>
        <w:t>万元，其中：</w:t>
      </w:r>
    </w:p>
    <w:p w14:paraId="59720766">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color w:val="ff0000"/>
          <w:sz w:val="32"/>
          <w:szCs w:val="32"/>
          <w:lang w:eastAsia="zh-CN"/>
        </w:rPr>
      </w:pPr>
      <w:r>
        <w:rPr>
          <w:rFonts w:ascii="仿宋_GB2312" w:cs="仿宋_GB2312" w:eastAsia="仿宋_GB2312" w:hAnsi="仿宋_GB2312" w:hint="eastAsia"/>
          <w:sz w:val="32"/>
          <w:szCs w:val="32"/>
          <w:lang w:val="en-US" w:eastAsia="zh-CN"/>
        </w:rPr>
        <w:t>人员经费5608.33万元</w:t>
      </w:r>
      <w:r>
        <w:rPr>
          <w:rFonts w:ascii="仿宋_GB2312" w:cs="仿宋_GB2312" w:eastAsia="仿宋_GB2312" w:hAnsi="仿宋_GB2312" w:hint="eastAsia"/>
          <w:sz w:val="32"/>
          <w:szCs w:val="32"/>
        </w:rPr>
        <w:t>，占基本支出的</w:t>
      </w:r>
      <w:r>
        <w:rPr>
          <w:rFonts w:ascii="仿宋_GB2312" w:cs="仿宋_GB2312" w:eastAsia="仿宋_GB2312" w:hAnsi="仿宋_GB2312" w:hint="eastAsia"/>
          <w:sz w:val="32"/>
          <w:szCs w:val="32"/>
          <w:lang w:val="en-US" w:eastAsia="zh-CN"/>
        </w:rPr>
        <w:t>97.10</w:t>
      </w:r>
      <w:r>
        <w:rPr>
          <w:rFonts w:ascii="仿宋_GB2312" w:cs="仿宋_GB2312" w:eastAsia="仿宋_GB2312" w:hAnsi="仿宋_GB2312" w:hint="eastAsia"/>
          <w:sz w:val="32"/>
          <w:szCs w:val="32"/>
        </w:rPr>
        <w:t>%,主要包括基本工资、津贴补贴、奖金、伙食补助费</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绩效工资、机关事业单位基本养老保险缴费、职工基本医疗保险缴费、其他社会保障缴费、住房公积金、退休费、抚恤金、医疗费补助、其他对个人和家庭的补助</w:t>
      </w:r>
      <w:r>
        <w:rPr>
          <w:rFonts w:ascii="仿宋_GB2312" w:cs="仿宋_GB2312" w:eastAsia="仿宋_GB2312" w:hAnsi="仿宋_GB2312" w:hint="eastAsia"/>
          <w:sz w:val="32"/>
          <w:szCs w:val="32"/>
          <w:lang w:eastAsia="zh-CN"/>
        </w:rPr>
        <w:t>。</w:t>
      </w:r>
    </w:p>
    <w:p w14:paraId="5CCB0487">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b/>
          <w:sz w:val="32"/>
          <w:szCs w:val="32"/>
        </w:rPr>
      </w:pPr>
      <w:r>
        <w:rPr>
          <w:rFonts w:ascii="仿宋_GB2312" w:cs="仿宋_GB2312" w:eastAsia="仿宋_GB2312" w:hAnsi="仿宋_GB2312" w:hint="eastAsia"/>
          <w:sz w:val="32"/>
          <w:szCs w:val="32"/>
          <w:lang w:val="en-US" w:eastAsia="zh-CN"/>
        </w:rPr>
        <w:t>公用经费167.79万</w:t>
      </w:r>
      <w:r>
        <w:rPr>
          <w:rFonts w:ascii="仿宋_GB2312" w:cs="仿宋_GB2312" w:eastAsia="仿宋_GB2312" w:hAnsi="仿宋_GB2312" w:hint="eastAsia"/>
          <w:sz w:val="32"/>
          <w:szCs w:val="32"/>
        </w:rPr>
        <w:t>元，占基本支出的</w:t>
      </w:r>
      <w:r>
        <w:rPr>
          <w:rFonts w:ascii="仿宋_GB2312" w:cs="仿宋_GB2312" w:eastAsia="仿宋_GB2312" w:hAnsi="仿宋_GB2312" w:hint="eastAsia"/>
          <w:sz w:val="32"/>
          <w:szCs w:val="32"/>
          <w:lang w:val="en-US" w:eastAsia="zh-CN"/>
        </w:rPr>
        <w:t>2.90</w:t>
      </w:r>
      <w:r>
        <w:rPr>
          <w:rFonts w:ascii="仿宋_GB2312" w:cs="仿宋_GB2312" w:eastAsia="仿宋_GB2312" w:hAnsi="仿宋_GB2312" w:hint="eastAsia"/>
          <w:sz w:val="32"/>
          <w:szCs w:val="32"/>
        </w:rPr>
        <w:t>%，主要包括</w:t>
      </w:r>
      <w:r>
        <w:rPr>
          <w:rFonts w:ascii="仿宋_GB2312" w:cs="仿宋_GB2312" w:eastAsia="仿宋_GB2312" w:hAnsi="仿宋_GB2312" w:hint="eastAsia"/>
          <w:sz w:val="32"/>
          <w:szCs w:val="32"/>
          <w:lang w:val="en-US" w:eastAsia="zh-CN"/>
        </w:rPr>
        <w:t>工会经费、福利费、其他交通费用、专用设备购置</w:t>
      </w:r>
      <w:r>
        <w:rPr>
          <w:rFonts w:ascii="仿宋_GB2312" w:cs="仿宋_GB2312" w:eastAsia="仿宋_GB2312" w:hAnsi="仿宋_GB2312" w:hint="eastAsia"/>
          <w:sz w:val="32"/>
          <w:szCs w:val="32"/>
        </w:rPr>
        <w:t>。</w:t>
      </w:r>
    </w:p>
    <w:p w14:paraId="0163FA58">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七、政府性基金预算收入支出决算情况</w:t>
      </w:r>
    </w:p>
    <w:p w14:paraId="2FB3448E">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年度政府性基金预算财政拨款收入</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万元；年初结转和结余</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万元，其中基本支出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万元，项目支出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万元；年末结转和结余</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w:t>
      </w:r>
    </w:p>
    <w:p w14:paraId="491F8E1C">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黑体" w:cs="黑体" w:eastAsia="黑体" w:hAnsi="黑体" w:hint="eastAsia"/>
          <w:b w:val="false"/>
          <w:bCs/>
          <w:color w:val="000000"/>
          <w:kern w:val="0"/>
          <w:sz w:val="32"/>
          <w:szCs w:val="32"/>
          <w:lang w:val="en-US" w:bidi="ar-SA" w:eastAsia="zh-CN"/>
        </w:rPr>
      </w:pPr>
      <w:r>
        <w:rPr>
          <w:rFonts w:ascii="黑体" w:cs="黑体" w:eastAsia="黑体" w:hAnsi="黑体" w:hint="eastAsia"/>
          <w:b w:val="false"/>
          <w:bCs/>
          <w:color w:val="000000"/>
          <w:kern w:val="0"/>
          <w:sz w:val="32"/>
          <w:szCs w:val="32"/>
          <w:lang w:val="en-US" w:bidi="ar-SA" w:eastAsia="zh-CN"/>
        </w:rPr>
        <w:t>八、国有资本经营预算财政拨款支出决算情况</w:t>
      </w:r>
    </w:p>
    <w:p w14:paraId="61E5DA7E">
      <w:pPr>
        <w:pStyle w:val="style0"/>
        <w:widowControl w:val="false"/>
        <w:autoSpaceDE w:val="false"/>
        <w:autoSpaceDN w:val="false"/>
        <w:adjustRightInd w:val="false"/>
        <w:ind w:firstLine="640" w:firstLineChars="200"/>
        <w:rPr>
          <w:rFonts w:ascii="黑体" w:cs="黑体" w:eastAsia="黑体" w:hAnsi="黑体" w:hint="eastAsia"/>
          <w:b w:val="false"/>
          <w:bCs/>
          <w:sz w:val="32"/>
          <w:szCs w:val="32"/>
        </w:rPr>
      </w:pPr>
      <w:r>
        <w:rPr>
          <w:rFonts w:ascii="仿宋_GB2312" w:cs="仿宋_GB2312" w:eastAsia="仿宋_GB2312" w:hAnsi="仿宋_GB2312" w:hint="eastAsia"/>
          <w:color w:val="000000"/>
          <w:kern w:val="0"/>
          <w:sz w:val="32"/>
          <w:szCs w:val="32"/>
          <w:lang w:val="en-US" w:bidi="ar-SA" w:eastAsia="zh-CN"/>
        </w:rPr>
        <w:t>2023年度国有资本经营预算财政拨款收入0万元；年初结转和结余0万；支出0万元；年末结转和结余0万元。</w:t>
      </w:r>
    </w:p>
    <w:p w14:paraId="2CB23D98">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Times New Roman" w:eastAsia="仿宋_GB2312" w:hAnsi="Times New Roman"/>
          <w:b/>
          <w:sz w:val="32"/>
          <w:szCs w:val="32"/>
        </w:rPr>
      </w:pPr>
      <w:r>
        <w:rPr>
          <w:rFonts w:cs="黑体" w:hAnsi="黑体" w:hint="eastAsia"/>
          <w:b w:val="false"/>
          <w:bCs/>
          <w:sz w:val="32"/>
          <w:szCs w:val="32"/>
          <w:lang w:eastAsia="zh-CN"/>
        </w:rPr>
        <w:t>九、</w:t>
      </w:r>
      <w:r>
        <w:rPr>
          <w:rFonts w:ascii="黑体" w:cs="黑体" w:eastAsia="黑体" w:hAnsi="黑体" w:hint="eastAsia"/>
          <w:b w:val="false"/>
          <w:bCs/>
          <w:sz w:val="32"/>
          <w:szCs w:val="32"/>
        </w:rPr>
        <w:t>财政拨款三公经费支出决算情况说明</w:t>
      </w:r>
    </w:p>
    <w:p w14:paraId="063FFE56">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楷体" w:cs="楷体" w:eastAsia="楷体" w:hAnsi="楷体" w:hint="eastAsia"/>
          <w:b/>
          <w:bCs w:val="false"/>
          <w:sz w:val="32"/>
          <w:szCs w:val="32"/>
        </w:rPr>
      </w:pPr>
      <w:r>
        <w:rPr>
          <w:rFonts w:ascii="楷体" w:cs="楷体" w:eastAsia="楷体" w:hAnsi="楷体" w:hint="eastAsia"/>
          <w:b/>
          <w:bCs w:val="false"/>
          <w:sz w:val="32"/>
          <w:szCs w:val="32"/>
        </w:rPr>
        <w:t>（一）“三公”经费财政拨款支出决算总体情况说明</w:t>
      </w:r>
    </w:p>
    <w:p w14:paraId="1C405B3D">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“三公”经费财政拨款支出预算为</w:t>
      </w:r>
      <w:r>
        <w:rPr>
          <w:rFonts w:ascii="仿宋_GB2312" w:cs="仿宋_GB2312" w:eastAsia="仿宋_GB2312" w:hAnsi="仿宋_GB2312" w:hint="eastAsia"/>
          <w:sz w:val="32"/>
          <w:szCs w:val="32"/>
          <w:lang w:val="en-US" w:eastAsia="zh-CN"/>
        </w:rPr>
        <w:t>0.15</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0.15</w:t>
      </w:r>
      <w:r>
        <w:rPr>
          <w:rFonts w:ascii="仿宋_GB2312" w:cs="仿宋_GB2312" w:eastAsia="仿宋_GB2312" w:hAnsi="仿宋_GB2312" w:hint="eastAsia"/>
          <w:sz w:val="32"/>
          <w:szCs w:val="32"/>
        </w:rPr>
        <w:t>万元</w:t>
      </w:r>
      <w:r>
        <w:rPr>
          <w:rFonts w:ascii="仿宋_GB2312" w:cs="仿宋_GB2312" w:eastAsia="仿宋_GB2312" w:hAnsi="仿宋_GB2312" w:hint="default"/>
          <w:sz w:val="32"/>
          <w:szCs w:val="32"/>
          <w:lang w:val="en-US" w:eastAsia="zh-CN"/>
        </w:rPr>
        <w:t>，完成预算的100%</w:t>
      </w:r>
      <w:r>
        <w:rPr>
          <w:rFonts w:ascii="仿宋_GB2312" w:cs="仿宋_GB2312" w:eastAsia="仿宋_GB2312" w:hAnsi="仿宋_GB2312" w:hint="eastAsia"/>
          <w:sz w:val="32"/>
          <w:szCs w:val="32"/>
        </w:rPr>
        <w:t>。其中：</w:t>
      </w:r>
    </w:p>
    <w:p w14:paraId="6F839608">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因公出国（境）费支出预算为0万元，支出决算为0万元，决算数等于预算数，主要原因是我单位严格按预算执行决算；与上年一致，无增减变动，主要原因是未安排因公出国（境）活动。</w:t>
      </w:r>
    </w:p>
    <w:p w14:paraId="5854D9E8">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公务接待费支出预算为</w:t>
      </w:r>
      <w:r>
        <w:rPr>
          <w:rFonts w:ascii="仿宋_GB2312" w:cs="仿宋_GB2312" w:eastAsia="仿宋_GB2312" w:hAnsi="仿宋_GB2312" w:hint="eastAsia"/>
          <w:sz w:val="32"/>
          <w:szCs w:val="32"/>
          <w:lang w:val="en-US" w:eastAsia="zh-CN"/>
        </w:rPr>
        <w:t>0.15</w:t>
      </w:r>
      <w:r>
        <w:rPr>
          <w:rFonts w:ascii="仿宋_GB2312" w:cs="仿宋_GB2312" w:eastAsia="仿宋_GB2312" w:hAnsi="仿宋_GB2312" w:hint="eastAsia"/>
          <w:sz w:val="32"/>
          <w:szCs w:val="32"/>
        </w:rPr>
        <w:t>万元，支出决算为0</w:t>
      </w:r>
      <w:r>
        <w:rPr>
          <w:rFonts w:ascii="仿宋_GB2312" w:cs="仿宋_GB2312" w:eastAsia="仿宋_GB2312" w:hAnsi="仿宋_GB2312" w:hint="eastAsia"/>
          <w:sz w:val="32"/>
          <w:szCs w:val="32"/>
          <w:lang w:val="en-US" w:eastAsia="zh-CN"/>
        </w:rPr>
        <w:t>.15</w:t>
      </w:r>
      <w:r>
        <w:rPr>
          <w:rFonts w:ascii="仿宋_GB2312" w:cs="仿宋_GB2312" w:eastAsia="仿宋_GB2312" w:hAnsi="仿宋_GB2312" w:hint="eastAsia"/>
          <w:sz w:val="32"/>
          <w:szCs w:val="32"/>
        </w:rPr>
        <w:t>万元，</w:t>
      </w:r>
      <w:r>
        <w:rPr>
          <w:rFonts w:ascii="仿宋_GB2312" w:cs="仿宋_GB2312" w:eastAsia="仿宋_GB2312" w:hAnsi="仿宋_GB2312" w:hint="default"/>
          <w:sz w:val="32"/>
          <w:szCs w:val="32"/>
          <w:lang w:val="en-US"/>
        </w:rPr>
        <w:t>完成预算的100%，</w:t>
      </w:r>
      <w:r>
        <w:rPr>
          <w:rFonts w:ascii="仿宋_GB2312" w:cs="仿宋_GB2312" w:eastAsia="仿宋_GB2312" w:hAnsi="仿宋_GB2312" w:hint="eastAsia"/>
          <w:sz w:val="32"/>
          <w:szCs w:val="32"/>
        </w:rPr>
        <w:t>主要原因是严格执行中央八项规定；与上年相比增加</w:t>
      </w:r>
      <w:r>
        <w:rPr>
          <w:rFonts w:ascii="仿宋_GB2312" w:cs="仿宋_GB2312" w:eastAsia="仿宋_GB2312" w:hAnsi="仿宋_GB2312" w:hint="eastAsia"/>
          <w:sz w:val="32"/>
          <w:szCs w:val="32"/>
          <w:lang w:val="en-US" w:eastAsia="zh-CN"/>
        </w:rPr>
        <w:t>0.04</w:t>
      </w:r>
      <w:r>
        <w:rPr>
          <w:rFonts w:ascii="仿宋_GB2312" w:cs="仿宋_GB2312" w:eastAsia="仿宋_GB2312" w:hAnsi="仿宋_GB2312" w:hint="eastAsia"/>
          <w:sz w:val="32"/>
          <w:szCs w:val="32"/>
        </w:rPr>
        <w:t>万元，增长</w:t>
      </w:r>
      <w:r>
        <w:rPr>
          <w:rFonts w:ascii="仿宋_GB2312" w:cs="仿宋_GB2312" w:eastAsia="仿宋_GB2312" w:hAnsi="仿宋_GB2312" w:hint="eastAsia"/>
          <w:sz w:val="32"/>
          <w:szCs w:val="32"/>
          <w:lang w:val="en-US" w:eastAsia="zh-CN"/>
        </w:rPr>
        <w:t>36.36</w:t>
      </w:r>
      <w:r>
        <w:rPr>
          <w:rFonts w:ascii="仿宋_GB2312" w:cs="仿宋_GB2312" w:eastAsia="仿宋_GB2312" w:hAnsi="仿宋_GB2312" w:hint="eastAsia"/>
          <w:sz w:val="32"/>
          <w:szCs w:val="32"/>
        </w:rPr>
        <w:t>%,增长的主要原因是按</w:t>
      </w:r>
      <w:r>
        <w:rPr>
          <w:rFonts w:ascii="仿宋_GB2312" w:cs="仿宋_GB2312" w:eastAsia="仿宋_GB2312" w:hAnsi="仿宋_GB2312" w:hint="eastAsia"/>
          <w:sz w:val="32"/>
          <w:szCs w:val="32"/>
          <w:lang w:val="en-US" w:eastAsia="zh-CN"/>
        </w:rPr>
        <w:t>严格</w:t>
      </w:r>
      <w:r>
        <w:rPr>
          <w:rFonts w:ascii="仿宋_GB2312" w:cs="仿宋_GB2312" w:eastAsia="仿宋_GB2312" w:hAnsi="仿宋_GB2312" w:hint="eastAsia"/>
          <w:sz w:val="32"/>
          <w:szCs w:val="32"/>
        </w:rPr>
        <w:t>有关政策</w:t>
      </w:r>
      <w:r>
        <w:rPr>
          <w:rFonts w:ascii="仿宋_GB2312" w:cs="仿宋_GB2312" w:eastAsia="仿宋_GB2312" w:hAnsi="仿宋_GB2312" w:hint="eastAsia"/>
          <w:sz w:val="32"/>
          <w:szCs w:val="32"/>
          <w:lang w:val="en-US" w:eastAsia="zh-CN"/>
        </w:rPr>
        <w:t>标准执行</w:t>
      </w:r>
      <w:r>
        <w:rPr>
          <w:rFonts w:ascii="仿宋_GB2312" w:cs="仿宋_GB2312" w:eastAsia="仿宋_GB2312" w:hAnsi="仿宋_GB2312" w:hint="eastAsia"/>
          <w:sz w:val="32"/>
          <w:szCs w:val="32"/>
        </w:rPr>
        <w:t>公务接待支出。</w:t>
      </w:r>
    </w:p>
    <w:p w14:paraId="663907D0">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 xml:space="preserve">公务用车购置费支出预算为0万元，支出决算为0万元，决算数等于预算数，主要原因是我单位严格按预算执行决算；与上年一致，无增减变动，主要原因是两年均未购置公务用车。 </w:t>
      </w:r>
    </w:p>
    <w:p w14:paraId="3771FEEB">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公务用车运行维护费支出预算为0万元，支出决算为0万元，决算数等于预算数，主要原因是我单位严格按预算执行决算；与上年一致，无增减变动，主要原因是两年均无公务用车需要运行维护。</w:t>
      </w:r>
    </w:p>
    <w:p w14:paraId="30CFD563">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楷体" w:cs="楷体" w:eastAsia="楷体" w:hAnsi="楷体" w:hint="eastAsia"/>
          <w:b/>
          <w:bCs w:val="false"/>
          <w:sz w:val="32"/>
          <w:szCs w:val="32"/>
        </w:rPr>
      </w:pPr>
      <w:r>
        <w:rPr>
          <w:rFonts w:ascii="楷体" w:cs="楷体" w:eastAsia="楷体" w:hAnsi="楷体" w:hint="eastAsia"/>
          <w:b/>
          <w:bCs w:val="false"/>
          <w:sz w:val="32"/>
          <w:szCs w:val="32"/>
        </w:rPr>
        <w:t>（二）“三公”经费财政拨款支出决算具体情况说明</w:t>
      </w:r>
    </w:p>
    <w:p w14:paraId="5BEE71BD">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Times New Roman" w:eastAsia="仿宋_GB2312" w:hAnsi="Times New Roman" w:hint="eastAsia"/>
          <w:sz w:val="32"/>
          <w:szCs w:val="32"/>
        </w:rPr>
        <w:t>2</w:t>
      </w:r>
      <w:r>
        <w:rPr>
          <w:rFonts w:ascii="仿宋_GB2312" w:cs="仿宋_GB2312" w:eastAsia="仿宋_GB2312" w:hAnsi="仿宋_GB2312" w:hint="eastAsia"/>
          <w:sz w:val="32"/>
          <w:szCs w:val="32"/>
        </w:rPr>
        <w:t>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年度“三公”经费财政拨款支出决算中，公务接待费支出决算</w:t>
      </w:r>
      <w:r>
        <w:rPr>
          <w:rFonts w:ascii="仿宋_GB2312" w:cs="仿宋_GB2312" w:eastAsia="仿宋_GB2312" w:hAnsi="仿宋_GB2312" w:hint="eastAsia"/>
          <w:sz w:val="32"/>
          <w:szCs w:val="32"/>
          <w:lang w:val="en-US" w:eastAsia="zh-CN"/>
        </w:rPr>
        <w:t>0.15</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100</w:t>
      </w:r>
      <w:r>
        <w:rPr>
          <w:rFonts w:ascii="仿宋_GB2312" w:cs="仿宋_GB2312" w:eastAsia="仿宋_GB2312" w:hAnsi="仿宋_GB2312" w:hint="eastAsia"/>
          <w:sz w:val="32"/>
          <w:szCs w:val="32"/>
        </w:rPr>
        <w:t>%,因公出国（境）费支出决算</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%,公务用车购置费及运行维护费支出决算</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%。其中：</w:t>
      </w:r>
    </w:p>
    <w:p w14:paraId="4C24FD56">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b/>
          <w:bCs/>
          <w:i/>
          <w:color w:val="auto"/>
          <w:sz w:val="32"/>
          <w:szCs w:val="32"/>
        </w:rPr>
      </w:pP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因公出国（境）费支出决算为0万元，全年安排因公出国（境）团组0个，累计0人次，我单位2023年度无因公出国（境）费支出。</w:t>
      </w:r>
    </w:p>
    <w:p w14:paraId="36859ACF">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2、公务接待费支出决算为</w:t>
      </w:r>
      <w:r>
        <w:rPr>
          <w:rFonts w:ascii="仿宋_GB2312" w:cs="仿宋_GB2312" w:eastAsia="仿宋_GB2312" w:hAnsi="仿宋_GB2312" w:hint="eastAsia"/>
          <w:sz w:val="32"/>
          <w:szCs w:val="32"/>
          <w:lang w:val="en-US" w:eastAsia="zh-CN"/>
        </w:rPr>
        <w:t>0.15</w:t>
      </w:r>
      <w:r>
        <w:rPr>
          <w:rFonts w:ascii="仿宋_GB2312" w:cs="仿宋_GB2312" w:eastAsia="仿宋_GB2312" w:hAnsi="仿宋_GB2312" w:hint="eastAsia"/>
          <w:sz w:val="32"/>
          <w:szCs w:val="32"/>
        </w:rPr>
        <w:t>万元，全年共接待来访团组</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个、来宾</w:t>
      </w:r>
      <w:r>
        <w:rPr>
          <w:rFonts w:ascii="仿宋_GB2312" w:cs="仿宋_GB2312" w:eastAsia="仿宋_GB2312" w:hAnsi="仿宋_GB2312" w:hint="eastAsia"/>
          <w:sz w:val="32"/>
          <w:szCs w:val="32"/>
          <w:lang w:val="en-US" w:eastAsia="zh-CN"/>
        </w:rPr>
        <w:t>8</w:t>
      </w:r>
      <w:r>
        <w:rPr>
          <w:rFonts w:ascii="仿宋_GB2312" w:cs="仿宋_GB2312" w:eastAsia="仿宋_GB2312" w:hAnsi="仿宋_GB2312" w:hint="eastAsia"/>
          <w:sz w:val="32"/>
          <w:szCs w:val="32"/>
        </w:rPr>
        <w:t>人次，主要</w:t>
      </w:r>
      <w:r>
        <w:rPr>
          <w:rFonts w:ascii="仿宋_GB2312" w:cs="仿宋_GB2312" w:eastAsia="仿宋_GB2312" w:hAnsi="仿宋_GB2312" w:hint="eastAsia"/>
          <w:sz w:val="32"/>
          <w:szCs w:val="32"/>
          <w:lang w:val="en-US" w:eastAsia="zh-CN"/>
        </w:rPr>
        <w:t>是衡阳市第八中学创新教育中心人员来我单位交流学科竞赛方面的组织、管理工作</w:t>
      </w:r>
      <w:r>
        <w:rPr>
          <w:rFonts w:ascii="仿宋_GB2312" w:cs="仿宋_GB2312" w:eastAsia="仿宋_GB2312" w:hAnsi="仿宋_GB2312" w:hint="eastAsia"/>
          <w:sz w:val="32"/>
          <w:szCs w:val="32"/>
        </w:rPr>
        <w:t>发生的接待支出。</w:t>
      </w:r>
    </w:p>
    <w:p w14:paraId="4FBAD6B5">
      <w:pPr>
        <w:pStyle w:val="style0"/>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b/>
          <w:bCs/>
          <w:i/>
          <w:color w:val="auto"/>
          <w:kern w:val="0"/>
          <w:sz w:val="32"/>
          <w:szCs w:val="32"/>
          <w:lang w:val="en-US" w:bidi="ar-SA" w:eastAsia="zh-CN"/>
        </w:rPr>
      </w:pPr>
      <w:r>
        <w:rPr>
          <w:rFonts w:ascii="仿宋_GB2312" w:cs="仿宋_GB2312" w:eastAsia="仿宋_GB2312" w:hAnsi="仿宋_GB2312" w:hint="eastAsia"/>
          <w:sz w:val="32"/>
          <w:szCs w:val="32"/>
        </w:rPr>
        <w:t>3、公务用车购置费及运行维护费支出决算为0万元，其中：公务用车购置费0万元，当年没有购置公务用车。公务用车运行维护费0万元，截至2023年12月31日，我单位开支财政拨款的公务用车保有量为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辆。</w:t>
      </w:r>
    </w:p>
    <w:p w14:paraId="0132B6C8">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Times New Roman" w:eastAsia="仿宋_GB2312" w:hAnsi="Times New Roman"/>
          <w:b/>
          <w:color w:val="auto"/>
          <w:sz w:val="32"/>
          <w:szCs w:val="32"/>
        </w:rPr>
      </w:pPr>
      <w:r>
        <w:rPr>
          <w:rFonts w:ascii="Times New Roman" w:eastAsia="仿宋_GB2312" w:hAnsi="Times New Roman" w:hint="eastAsia"/>
          <w:b/>
          <w:color w:val="auto"/>
          <w:sz w:val="32"/>
          <w:szCs w:val="32"/>
          <w:lang w:eastAsia="zh-CN"/>
        </w:rPr>
        <w:t>十</w:t>
      </w:r>
      <w:r>
        <w:rPr>
          <w:rFonts w:ascii="Times New Roman" w:eastAsia="仿宋_GB2312" w:hAnsi="Times New Roman" w:hint="eastAsia"/>
          <w:b/>
          <w:color w:val="auto"/>
          <w:sz w:val="32"/>
          <w:szCs w:val="32"/>
        </w:rPr>
        <w:t>、关于机关运行经费支出说明</w:t>
      </w:r>
    </w:p>
    <w:p w14:paraId="58BF1EAA">
      <w:pPr>
        <w:pStyle w:val="style4099"/>
        <w:ind w:firstLine="640" w:firstLineChars="200"/>
        <w:rPr>
          <w:rFonts w:ascii="Times New Roman" w:eastAsia="仿宋_GB2312" w:hAnsi="Times New Roman"/>
          <w:sz w:val="32"/>
          <w:szCs w:val="32"/>
        </w:rPr>
      </w:pPr>
      <w:r>
        <w:rPr>
          <w:rFonts w:ascii="仿宋_GB2312" w:cs="仿宋_GB2312" w:eastAsia="仿宋_GB2312" w:hAnsi="仿宋_GB2312" w:hint="eastAsia"/>
          <w:sz w:val="32"/>
          <w:szCs w:val="32"/>
        </w:rPr>
        <w:t>本级和所属单位均为事业单位，按照机关运行经费的口径，本年度机关运行经费为0</w:t>
      </w:r>
      <w:r>
        <w:rPr>
          <w:rFonts w:ascii="楷体" w:cs="楷体" w:eastAsia="楷体" w:hAnsi="楷体" w:hint="eastAsia"/>
          <w:sz w:val="32"/>
          <w:szCs w:val="32"/>
        </w:rPr>
        <w:t>。</w:t>
      </w:r>
    </w:p>
    <w:p w14:paraId="65A6AB8F">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十</w:t>
      </w:r>
      <w:r>
        <w:rPr>
          <w:rFonts w:cs="黑体" w:hAnsi="黑体" w:hint="eastAsia"/>
          <w:b w:val="false"/>
          <w:bCs/>
          <w:sz w:val="32"/>
          <w:szCs w:val="32"/>
          <w:lang w:eastAsia="zh-CN"/>
        </w:rPr>
        <w:t>一</w:t>
      </w:r>
      <w:r>
        <w:rPr>
          <w:rFonts w:ascii="黑体" w:cs="黑体" w:eastAsia="黑体" w:hAnsi="黑体" w:hint="eastAsia"/>
          <w:b w:val="false"/>
          <w:bCs/>
          <w:sz w:val="32"/>
          <w:szCs w:val="32"/>
        </w:rPr>
        <w:t>、一般性支出情况说明</w:t>
      </w:r>
    </w:p>
    <w:p w14:paraId="18D10B74">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本单位无会议费的预算和支出决算数；本单位无培训费的预算和支出决算数；本单位无举办节庆、晚会、论坛、赛事等活动的预算和支出决算数。</w:t>
      </w:r>
    </w:p>
    <w:p w14:paraId="61D54CB4">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十</w:t>
      </w:r>
      <w:r>
        <w:rPr>
          <w:rFonts w:cs="黑体" w:hAnsi="黑体" w:hint="eastAsia"/>
          <w:b w:val="false"/>
          <w:bCs/>
          <w:sz w:val="32"/>
          <w:szCs w:val="32"/>
          <w:lang w:eastAsia="zh-CN"/>
        </w:rPr>
        <w:t>二</w:t>
      </w:r>
      <w:r>
        <w:rPr>
          <w:rFonts w:ascii="黑体" w:cs="黑体" w:eastAsia="黑体" w:hAnsi="黑体" w:hint="eastAsia"/>
          <w:b w:val="false"/>
          <w:bCs/>
          <w:sz w:val="32"/>
          <w:szCs w:val="32"/>
        </w:rPr>
        <w:t>、关于政府采购支出说明</w:t>
      </w:r>
    </w:p>
    <w:p w14:paraId="141E6424">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宋体" w:eastAsia="宋体" w:hAnsi="宋体" w:hint="eastAsia"/>
          <w:i/>
          <w:color w:val="ff0000"/>
          <w:sz w:val="32"/>
          <w:szCs w:val="32"/>
          <w:lang w:val="en-US" w:eastAsia="zh-CN"/>
        </w:rPr>
      </w:pPr>
      <w:r>
        <w:rPr>
          <w:rFonts w:ascii="仿宋_GB2312" w:cs="仿宋_GB2312" w:eastAsia="仿宋_GB2312" w:hAnsi="仿宋_GB2312" w:hint="eastAsia"/>
          <w:sz w:val="32"/>
          <w:szCs w:val="32"/>
        </w:rPr>
        <w:t>本部门202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年度政府采购支出总额</w:t>
      </w:r>
      <w:r>
        <w:rPr>
          <w:rFonts w:ascii="仿宋_GB2312" w:cs="仿宋_GB2312" w:eastAsia="仿宋_GB2312" w:hAnsi="仿宋_GB2312" w:hint="eastAsia"/>
          <w:sz w:val="32"/>
          <w:szCs w:val="32"/>
          <w:lang w:val="en-US" w:eastAsia="zh-CN"/>
        </w:rPr>
        <w:t>387.49</w:t>
      </w:r>
      <w:r>
        <w:rPr>
          <w:rFonts w:ascii="仿宋_GB2312" w:cs="仿宋_GB2312" w:eastAsia="仿宋_GB2312" w:hAnsi="仿宋_GB2312" w:hint="eastAsia"/>
          <w:sz w:val="32"/>
          <w:szCs w:val="32"/>
        </w:rPr>
        <w:t>万元，其中：政府采购货物支出</w:t>
      </w:r>
      <w:r>
        <w:rPr>
          <w:rFonts w:ascii="仿宋_GB2312" w:cs="仿宋_GB2312" w:eastAsia="仿宋_GB2312" w:hAnsi="仿宋_GB2312" w:hint="eastAsia"/>
          <w:sz w:val="32"/>
          <w:szCs w:val="32"/>
          <w:lang w:val="en-US" w:eastAsia="zh-CN"/>
        </w:rPr>
        <w:t>387.49</w:t>
      </w:r>
      <w:r>
        <w:rPr>
          <w:rFonts w:ascii="仿宋_GB2312" w:cs="仿宋_GB2312" w:eastAsia="仿宋_GB2312" w:hAnsi="仿宋_GB2312" w:hint="eastAsia"/>
          <w:sz w:val="32"/>
          <w:szCs w:val="32"/>
        </w:rPr>
        <w:t>万元、政府采购工程支出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万元、政府采购服务支出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万元。授予中小企业合同金额</w:t>
      </w:r>
      <w:r>
        <w:rPr>
          <w:rFonts w:ascii="仿宋_GB2312" w:cs="仿宋_GB2312" w:eastAsia="仿宋_GB2312" w:hAnsi="仿宋_GB2312" w:hint="eastAsia"/>
          <w:sz w:val="32"/>
          <w:szCs w:val="32"/>
          <w:lang w:val="en-US" w:eastAsia="zh-CN"/>
        </w:rPr>
        <w:t>387.49</w:t>
      </w:r>
      <w:r>
        <w:rPr>
          <w:rFonts w:ascii="仿宋_GB2312" w:cs="仿宋_GB2312" w:eastAsia="仿宋_GB2312" w:hAnsi="仿宋_GB2312" w:hint="eastAsia"/>
          <w:sz w:val="32"/>
          <w:szCs w:val="32"/>
        </w:rPr>
        <w:t>万元，占政府采购支出总额的</w:t>
      </w:r>
      <w:r>
        <w:rPr>
          <w:rFonts w:ascii="仿宋_GB2312" w:cs="仿宋_GB2312" w:eastAsia="仿宋_GB2312" w:hAnsi="仿宋_GB2312" w:hint="eastAsia"/>
          <w:sz w:val="32"/>
          <w:szCs w:val="32"/>
          <w:lang w:val="en-US" w:eastAsia="zh-CN"/>
        </w:rPr>
        <w:t>100</w:t>
      </w:r>
      <w:r>
        <w:rPr>
          <w:rFonts w:ascii="仿宋_GB2312" w:cs="仿宋_GB2312" w:eastAsia="仿宋_GB2312" w:hAnsi="仿宋_GB2312" w:hint="eastAsia"/>
          <w:sz w:val="32"/>
          <w:szCs w:val="32"/>
        </w:rPr>
        <w:t>%，其中：授予小微企业合同金额</w:t>
      </w:r>
      <w:r>
        <w:rPr>
          <w:rFonts w:ascii="仿宋_GB2312" w:cs="仿宋_GB2312" w:eastAsia="仿宋_GB2312" w:hAnsi="仿宋_GB2312" w:hint="eastAsia"/>
          <w:sz w:val="32"/>
          <w:szCs w:val="32"/>
          <w:lang w:val="en-US" w:eastAsia="zh-CN"/>
        </w:rPr>
        <w:t>387.49</w:t>
      </w:r>
      <w:r>
        <w:rPr>
          <w:rFonts w:ascii="仿宋_GB2312" w:cs="仿宋_GB2312" w:eastAsia="仿宋_GB2312" w:hAnsi="仿宋_GB2312" w:hint="eastAsia"/>
          <w:sz w:val="32"/>
          <w:szCs w:val="32"/>
        </w:rPr>
        <w:t>万元，</w:t>
      </w:r>
      <w:r>
        <w:rPr>
          <w:rFonts w:ascii="仿宋_GB2312" w:cs="仿宋_GB2312" w:eastAsia="仿宋_GB2312" w:hAnsi="仿宋_GB2312" w:hint="eastAsia"/>
          <w:color w:val="auto"/>
          <w:sz w:val="32"/>
          <w:szCs w:val="32"/>
        </w:rPr>
        <w:t>占</w:t>
      </w:r>
      <w:r>
        <w:rPr>
          <w:rFonts w:ascii="仿宋_GB2312" w:cs="仿宋_GB2312" w:eastAsia="仿宋_GB2312" w:hAnsi="仿宋_GB2312" w:hint="eastAsia"/>
          <w:color w:val="auto"/>
          <w:sz w:val="32"/>
          <w:szCs w:val="32"/>
          <w:lang w:eastAsia="zh-CN"/>
        </w:rPr>
        <w:t>授予中小企业合同金额</w:t>
      </w:r>
      <w:r>
        <w:rPr>
          <w:rFonts w:ascii="仿宋_GB2312" w:cs="仿宋_GB2312" w:eastAsia="仿宋_GB2312" w:hAnsi="仿宋_GB2312" w:hint="eastAsia"/>
          <w:color w:val="auto"/>
          <w:sz w:val="32"/>
          <w:szCs w:val="32"/>
        </w:rPr>
        <w:t>的</w:t>
      </w:r>
      <w:r>
        <w:rPr>
          <w:rFonts w:ascii="仿宋_GB2312" w:cs="仿宋_GB2312" w:eastAsia="仿宋_GB2312" w:hAnsi="仿宋_GB2312" w:hint="eastAsia"/>
          <w:color w:val="auto"/>
          <w:sz w:val="32"/>
          <w:szCs w:val="32"/>
          <w:lang w:val="en-US" w:eastAsia="zh-CN"/>
        </w:rPr>
        <w:t>100</w:t>
      </w:r>
      <w:r>
        <w:rPr>
          <w:rFonts w:ascii="仿宋_GB2312" w:cs="仿宋_GB2312" w:eastAsia="仿宋_GB2312" w:hAnsi="仿宋_GB2312" w:hint="eastAsia"/>
          <w:color w:val="auto"/>
          <w:sz w:val="32"/>
          <w:szCs w:val="32"/>
        </w:rPr>
        <w:t>%。货物采购授予中小</w:t>
      </w:r>
      <w:r>
        <w:rPr>
          <w:rFonts w:ascii="Times New Roman" w:eastAsia="仿宋_GB2312" w:hAnsi="Times New Roman" w:hint="eastAsia"/>
          <w:color w:val="auto"/>
          <w:sz w:val="32"/>
          <w:szCs w:val="32"/>
        </w:rPr>
        <w:t>企业合同金</w:t>
      </w:r>
      <w:r>
        <w:rPr>
          <w:rFonts w:ascii="仿宋_GB2312" w:cs="仿宋_GB2312" w:eastAsia="仿宋_GB2312" w:hAnsi="仿宋_GB2312" w:hint="eastAsia"/>
          <w:color w:val="auto"/>
          <w:sz w:val="32"/>
          <w:szCs w:val="32"/>
        </w:rPr>
        <w:t>额占货物支出金额的</w:t>
      </w:r>
      <w:r>
        <w:rPr>
          <w:rFonts w:ascii="仿宋_GB2312" w:cs="仿宋_GB2312" w:eastAsia="仿宋_GB2312" w:hAnsi="仿宋_GB2312" w:hint="eastAsia"/>
          <w:color w:val="auto"/>
          <w:sz w:val="32"/>
          <w:szCs w:val="32"/>
          <w:lang w:val="en-US" w:eastAsia="zh-CN"/>
        </w:rPr>
        <w:t>100</w:t>
      </w:r>
      <w:r>
        <w:rPr>
          <w:rFonts w:ascii="仿宋_GB2312" w:cs="仿宋_GB2312" w:eastAsia="仿宋_GB2312" w:hAnsi="仿宋_GB2312" w:hint="eastAsia"/>
          <w:color w:val="auto"/>
          <w:sz w:val="32"/>
          <w:szCs w:val="32"/>
        </w:rPr>
        <w:t>%，工程采购授予中小企业合同金额占工程支出金额的</w:t>
      </w:r>
      <w:r>
        <w:rPr>
          <w:rFonts w:ascii="仿宋_GB2312" w:cs="仿宋_GB2312" w:eastAsia="仿宋_GB2312" w:hAnsi="仿宋_GB2312" w:hint="eastAsia"/>
          <w:color w:val="auto"/>
          <w:sz w:val="32"/>
          <w:szCs w:val="32"/>
          <w:lang w:val="en-US" w:eastAsia="zh-CN"/>
        </w:rPr>
        <w:t>比重</w:t>
      </w:r>
      <w:r>
        <w:rPr>
          <w:rFonts w:ascii="仿宋_GB2312" w:cs="仿宋_GB2312" w:eastAsia="仿宋_GB2312" w:hAnsi="仿宋_GB2312" w:hint="eastAsia"/>
          <w:color w:val="auto"/>
          <w:sz w:val="32"/>
          <w:szCs w:val="32"/>
        </w:rPr>
        <w:t>，服务采购授予中小企业合同金额占服务支出金额的</w:t>
      </w:r>
      <w:r>
        <w:rPr>
          <w:rFonts w:ascii="仿宋_GB2312" w:cs="仿宋_GB2312" w:eastAsia="仿宋_GB2312" w:hAnsi="仿宋_GB2312" w:hint="eastAsia"/>
          <w:color w:val="auto"/>
          <w:sz w:val="32"/>
          <w:szCs w:val="32"/>
          <w:lang w:val="en-US" w:eastAsia="zh-CN"/>
        </w:rPr>
        <w:t>比重，由于以上各项合同金额为0，故无法计算各项占比</w:t>
      </w:r>
      <w:r>
        <w:rPr>
          <w:rFonts w:ascii="仿宋_GB2312" w:cs="仿宋_GB2312" w:eastAsia="仿宋_GB2312" w:hAnsi="仿宋_GB2312" w:hint="eastAsia"/>
          <w:color w:val="auto"/>
          <w:sz w:val="32"/>
          <w:szCs w:val="32"/>
        </w:rPr>
        <w:t>。</w:t>
      </w:r>
    </w:p>
    <w:p w14:paraId="5AABB9AB">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textAlignment w:val="auto"/>
        <w:rPr>
          <w:rFonts w:ascii="黑体" w:cs="黑体" w:eastAsia="黑体" w:hAnsi="黑体" w:hint="eastAsia"/>
          <w:b w:val="false"/>
          <w:bCs/>
          <w:color w:val="auto"/>
          <w:sz w:val="32"/>
          <w:szCs w:val="32"/>
        </w:rPr>
      </w:pPr>
      <w:r>
        <w:rPr>
          <w:rFonts w:ascii="黑体" w:cs="黑体" w:eastAsia="黑体" w:hAnsi="黑体" w:hint="eastAsia"/>
          <w:b w:val="false"/>
          <w:bCs/>
          <w:color w:val="auto"/>
          <w:sz w:val="32"/>
          <w:szCs w:val="32"/>
        </w:rPr>
        <w:t>十</w:t>
      </w:r>
      <w:r>
        <w:rPr>
          <w:rFonts w:cs="黑体" w:hAnsi="黑体" w:hint="eastAsia"/>
          <w:b w:val="false"/>
          <w:bCs/>
          <w:color w:val="auto"/>
          <w:sz w:val="32"/>
          <w:szCs w:val="32"/>
          <w:lang w:eastAsia="zh-CN"/>
        </w:rPr>
        <w:t>三</w:t>
      </w:r>
      <w:r>
        <w:rPr>
          <w:rFonts w:ascii="黑体" w:cs="黑体" w:eastAsia="黑体" w:hAnsi="黑体" w:hint="eastAsia"/>
          <w:b w:val="false"/>
          <w:bCs/>
          <w:color w:val="auto"/>
          <w:sz w:val="32"/>
          <w:szCs w:val="32"/>
        </w:rPr>
        <w:t>、关于国有资产占用情况说明</w:t>
      </w:r>
    </w:p>
    <w:p w14:paraId="27F073B1">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rPr>
        <w:t>截至2023年12月31日，本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77390AC0">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textAlignment w:val="auto"/>
        <w:rPr>
          <w:rFonts w:ascii="黑体" w:cs="黑体" w:eastAsia="黑体" w:hAnsi="黑体" w:hint="eastAsia"/>
          <w:b w:val="false"/>
          <w:bCs/>
          <w:color w:val="auto"/>
          <w:sz w:val="32"/>
          <w:szCs w:val="32"/>
        </w:rPr>
      </w:pPr>
      <w:r>
        <w:rPr>
          <w:rFonts w:ascii="黑体" w:cs="黑体" w:eastAsia="黑体" w:hAnsi="黑体" w:hint="eastAsia"/>
          <w:b w:val="false"/>
          <w:bCs/>
          <w:color w:val="auto"/>
          <w:sz w:val="32"/>
          <w:szCs w:val="32"/>
        </w:rPr>
        <w:t>十</w:t>
      </w:r>
      <w:r>
        <w:rPr>
          <w:rFonts w:cs="黑体" w:hAnsi="黑体" w:hint="eastAsia"/>
          <w:b w:val="false"/>
          <w:bCs/>
          <w:color w:val="auto"/>
          <w:sz w:val="32"/>
          <w:szCs w:val="32"/>
          <w:lang w:eastAsia="zh-CN"/>
        </w:rPr>
        <w:t>四</w:t>
      </w:r>
      <w:r>
        <w:rPr>
          <w:rFonts w:ascii="黑体" w:cs="黑体" w:eastAsia="黑体" w:hAnsi="黑体" w:hint="eastAsia"/>
          <w:b w:val="false"/>
          <w:bCs/>
          <w:color w:val="auto"/>
          <w:sz w:val="32"/>
          <w:szCs w:val="32"/>
        </w:rPr>
        <w:t>、关于</w:t>
      </w:r>
      <w:r>
        <w:rPr>
          <w:rFonts w:ascii="Times New Roman" w:eastAsia="仿宋_GB2312" w:hAnsi="Times New Roman" w:hint="eastAsia"/>
          <w:color w:val="auto"/>
          <w:sz w:val="32"/>
          <w:szCs w:val="32"/>
        </w:rPr>
        <w:t>202</w:t>
      </w:r>
      <w:r>
        <w:rPr>
          <w:rFonts w:ascii="Times New Roman" w:eastAsia="仿宋_GB2312" w:hAnsi="Times New Roman" w:hint="eastAsia"/>
          <w:color w:val="auto"/>
          <w:sz w:val="32"/>
          <w:szCs w:val="32"/>
          <w:lang w:val="en-US" w:eastAsia="zh-CN"/>
        </w:rPr>
        <w:t>3</w:t>
      </w:r>
      <w:r>
        <w:rPr>
          <w:rFonts w:ascii="黑体" w:cs="黑体" w:eastAsia="黑体" w:hAnsi="黑体" w:hint="eastAsia"/>
          <w:b w:val="false"/>
          <w:bCs/>
          <w:color w:val="auto"/>
          <w:sz w:val="32"/>
          <w:szCs w:val="32"/>
        </w:rPr>
        <w:t>年度</w:t>
      </w:r>
      <w:r>
        <w:rPr>
          <w:rFonts w:cs="黑体" w:hAnsi="黑体" w:hint="eastAsia"/>
          <w:b w:val="false"/>
          <w:bCs/>
          <w:color w:val="auto"/>
          <w:sz w:val="32"/>
          <w:szCs w:val="32"/>
          <w:lang w:eastAsia="zh-CN"/>
        </w:rPr>
        <w:t>预算</w:t>
      </w:r>
      <w:r>
        <w:rPr>
          <w:rFonts w:ascii="黑体" w:cs="黑体" w:eastAsia="黑体" w:hAnsi="黑体" w:hint="eastAsia"/>
          <w:b w:val="false"/>
          <w:bCs/>
          <w:color w:val="auto"/>
          <w:sz w:val="32"/>
          <w:szCs w:val="32"/>
        </w:rPr>
        <w:t>绩效情况的说明</w:t>
      </w:r>
    </w:p>
    <w:p w14:paraId="6EB175B2">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jc w:val="left"/>
        <w:textAlignment w:val="auto"/>
        <w:rPr>
          <w:rFonts w:ascii="楷体" w:cs="楷体" w:eastAsia="楷体" w:hAnsi="楷体" w:hint="eastAsia"/>
          <w:b/>
          <w:bCs/>
          <w:sz w:val="32"/>
          <w:szCs w:val="32"/>
          <w:lang w:eastAsia="zh-CN"/>
        </w:rPr>
      </w:pPr>
      <w:r>
        <w:rPr>
          <w:rFonts w:ascii="楷体" w:cs="楷体" w:eastAsia="楷体" w:hAnsi="楷体" w:hint="eastAsia"/>
          <w:b/>
          <w:bCs/>
          <w:sz w:val="32"/>
          <w:szCs w:val="32"/>
          <w:lang w:eastAsia="zh-CN"/>
        </w:rPr>
        <w:t>（一）绩效管理工作开展情况</w:t>
      </w:r>
    </w:p>
    <w:p w14:paraId="7B3738A0">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jc w:val="left"/>
        <w:textAlignment w:val="auto"/>
        <w:rPr>
          <w:rFonts w:ascii="仿宋_GB2312" w:cs="仿宋_GB2312" w:eastAsia="仿宋_GB2312" w:hAnsi="仿宋_GB2312" w:hint="eastAsia"/>
          <w:b w:val="false"/>
          <w:bCs w:val="false"/>
          <w:color w:val="000000"/>
          <w:kern w:val="0"/>
          <w:sz w:val="32"/>
          <w:szCs w:val="32"/>
          <w:lang w:val="en-US" w:bidi="ar-SA" w:eastAsia="zh-CN"/>
        </w:rPr>
      </w:pPr>
      <w:r>
        <w:rPr>
          <w:rFonts w:ascii="仿宋_GB2312" w:cs="仿宋_GB2312" w:eastAsia="仿宋_GB2312" w:hAnsi="仿宋_GB2312" w:hint="eastAsia"/>
          <w:b w:val="false"/>
          <w:bCs w:val="false"/>
          <w:color w:val="000000"/>
          <w:kern w:val="0"/>
          <w:sz w:val="32"/>
          <w:szCs w:val="32"/>
          <w:lang w:val="en-US" w:bidi="ar-SA" w:eastAsia="zh-CN"/>
        </w:rPr>
        <w:t>根据预算绩效管理要求，我们组织对2023年度整体支出和项目资金实施了全覆盖性的绩效评价，撰写了绩效自评报告。</w:t>
      </w:r>
    </w:p>
    <w:p w14:paraId="282C0A32">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jc w:val="left"/>
        <w:textAlignment w:val="auto"/>
        <w:rPr>
          <w:rFonts w:ascii="仿宋_GB2312" w:cs="仿宋_GB2312" w:eastAsia="仿宋_GB2312" w:hAnsi="仿宋_GB2312" w:hint="eastAsia"/>
          <w:b w:val="false"/>
          <w:bCs w:val="false"/>
          <w:color w:val="000000"/>
          <w:kern w:val="0"/>
          <w:sz w:val="32"/>
          <w:szCs w:val="32"/>
          <w:lang w:val="en-US" w:bidi="ar-SA" w:eastAsia="zh-CN"/>
        </w:rPr>
      </w:pPr>
      <w:r>
        <w:rPr>
          <w:rFonts w:ascii="仿宋_GB2312" w:cs="仿宋_GB2312" w:eastAsia="仿宋_GB2312" w:hAnsi="仿宋_GB2312" w:hint="eastAsia"/>
          <w:b w:val="false"/>
          <w:bCs w:val="false"/>
          <w:color w:val="000000"/>
          <w:kern w:val="0"/>
          <w:sz w:val="32"/>
          <w:szCs w:val="32"/>
          <w:lang w:val="en-US" w:bidi="ar-SA" w:eastAsia="zh-CN"/>
        </w:rPr>
        <w:t>组织开展整体支出绩效评价，涉及一般公共预算支出7019.83万元，政府性基金预算支出0万元，国有资本经营预算支出0万元。从评价情况来看，整体支出绩效评价中，2023年整体支出</w:t>
      </w:r>
      <w:r>
        <w:rPr>
          <w:rFonts w:ascii="仿宋_GB2312" w:cs="仿宋_GB2312" w:eastAsia="仿宋_GB2312" w:hAnsi="仿宋_GB2312" w:hint="default"/>
          <w:b w:val="false"/>
          <w:bCs w:val="false"/>
          <w:color w:val="000000"/>
          <w:kern w:val="0"/>
          <w:sz w:val="32"/>
          <w:szCs w:val="32"/>
          <w:lang w:val="en-US" w:bidi="ar-SA" w:eastAsia="zh-CN"/>
        </w:rPr>
        <w:t>8743.96</w:t>
      </w:r>
      <w:r>
        <w:rPr>
          <w:rFonts w:ascii="仿宋_GB2312" w:cs="仿宋_GB2312" w:eastAsia="仿宋_GB2312" w:hAnsi="仿宋_GB2312" w:hint="eastAsia"/>
          <w:b w:val="false"/>
          <w:bCs w:val="false"/>
          <w:color w:val="000000"/>
          <w:kern w:val="0"/>
          <w:sz w:val="32"/>
          <w:szCs w:val="32"/>
          <w:lang w:val="en-US" w:bidi="ar-SA" w:eastAsia="zh-CN"/>
        </w:rPr>
        <w:t>万元，其中：基本支出</w:t>
      </w:r>
      <w:r>
        <w:rPr>
          <w:rFonts w:ascii="仿宋_GB2312" w:cs="仿宋_GB2312" w:eastAsia="仿宋_GB2312" w:hAnsi="仿宋_GB2312" w:hint="default"/>
          <w:b w:val="false"/>
          <w:bCs w:val="false"/>
          <w:color w:val="000000"/>
          <w:kern w:val="0"/>
          <w:sz w:val="32"/>
          <w:szCs w:val="32"/>
          <w:lang w:val="en-US" w:bidi="ar-SA" w:eastAsia="zh-CN"/>
        </w:rPr>
        <w:t>7218.34</w:t>
      </w:r>
      <w:r>
        <w:rPr>
          <w:rFonts w:ascii="仿宋_GB2312" w:cs="仿宋_GB2312" w:eastAsia="仿宋_GB2312" w:hAnsi="仿宋_GB2312" w:hint="eastAsia"/>
          <w:b w:val="false"/>
          <w:bCs w:val="false"/>
          <w:color w:val="000000"/>
          <w:kern w:val="0"/>
          <w:sz w:val="32"/>
          <w:szCs w:val="32"/>
          <w:lang w:val="en-US" w:bidi="ar-SA" w:eastAsia="zh-CN"/>
        </w:rPr>
        <w:t>万元，项目支出</w:t>
      </w:r>
      <w:r>
        <w:rPr>
          <w:rFonts w:ascii="仿宋_GB2312" w:cs="仿宋_GB2312" w:eastAsia="仿宋_GB2312" w:hAnsi="仿宋_GB2312" w:hint="default"/>
          <w:b w:val="false"/>
          <w:bCs w:val="false"/>
          <w:color w:val="000000"/>
          <w:kern w:val="0"/>
          <w:sz w:val="32"/>
          <w:szCs w:val="32"/>
          <w:lang w:val="en-US" w:bidi="ar-SA" w:eastAsia="zh-CN"/>
        </w:rPr>
        <w:t>1525.64</w:t>
      </w:r>
      <w:r>
        <w:rPr>
          <w:rFonts w:ascii="仿宋_GB2312" w:cs="仿宋_GB2312" w:eastAsia="仿宋_GB2312" w:hAnsi="仿宋_GB2312" w:hint="eastAsia"/>
          <w:b w:val="false"/>
          <w:bCs w:val="false"/>
          <w:color w:val="000000"/>
          <w:kern w:val="0"/>
          <w:sz w:val="32"/>
          <w:szCs w:val="32"/>
          <w:lang w:val="en-US" w:bidi="ar-SA" w:eastAsia="zh-CN"/>
        </w:rPr>
        <w:t>万元，本单位整体支出绩效自评综合评分97分，评价结果等次为优秀。</w:t>
      </w:r>
    </w:p>
    <w:p w14:paraId="6DED8DB7">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jc w:val="left"/>
        <w:textAlignment w:val="auto"/>
        <w:rPr>
          <w:rFonts w:ascii="仿宋_GB2312" w:cs="仿宋_GB2312" w:eastAsia="仿宋_GB2312" w:hAnsi="仿宋_GB2312" w:hint="eastAsia"/>
          <w:b/>
          <w:bCs/>
          <w:sz w:val="32"/>
          <w:szCs w:val="32"/>
          <w:lang w:eastAsia="zh-CN"/>
        </w:rPr>
      </w:pPr>
      <w:r>
        <w:rPr>
          <w:rFonts w:ascii="仿宋_GB2312" w:cs="仿宋_GB2312" w:eastAsia="仿宋_GB2312" w:hAnsi="仿宋_GB2312" w:hint="eastAsia"/>
          <w:b w:val="false"/>
          <w:bCs w:val="false"/>
          <w:color w:val="000000"/>
          <w:kern w:val="0"/>
          <w:sz w:val="32"/>
          <w:szCs w:val="32"/>
          <w:lang w:val="en-US" w:bidi="ar-SA" w:eastAsia="zh-CN"/>
        </w:rPr>
        <w:t>组织对一般公共预算项目支出全面开展绩效自评，项目10个，共涉及资金824.63万元，占一般公共预算项目支出总额的66.30%。组织对政府性基金预算项目支出开展绩效自评，项目0个，共涉及资金0万元，占政府性基金预算项目支出总额的0%。组织对国有资本经营预算项目支出开展绩效自评，项目0个，共涉及资金0万元，占国有资本经营预算项目支出总额的0%。从评价情况来看，项目绩效自评得分均在90分以上，评价结果等次为优秀。</w:t>
      </w:r>
    </w:p>
    <w:p w14:paraId="3C137BC7">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jc w:val="left"/>
        <w:textAlignment w:val="auto"/>
        <w:rPr>
          <w:rFonts w:ascii="楷体" w:cs="楷体" w:eastAsia="楷体" w:hAnsi="楷体" w:hint="eastAsia"/>
          <w:b/>
          <w:bCs/>
          <w:sz w:val="32"/>
          <w:szCs w:val="32"/>
        </w:rPr>
      </w:pPr>
      <w:r>
        <w:rPr>
          <w:rFonts w:ascii="楷体" w:cs="楷体" w:eastAsia="楷体" w:hAnsi="楷体" w:hint="eastAsia"/>
          <w:b/>
          <w:bCs/>
          <w:sz w:val="32"/>
          <w:szCs w:val="32"/>
          <w:lang w:eastAsia="zh-CN"/>
        </w:rPr>
        <w:t>（二）</w:t>
      </w:r>
      <w:r>
        <w:rPr>
          <w:rFonts w:ascii="楷体" w:cs="楷体" w:eastAsia="楷体" w:hAnsi="楷体" w:hint="eastAsia"/>
          <w:b/>
          <w:bCs/>
          <w:sz w:val="32"/>
          <w:szCs w:val="32"/>
        </w:rPr>
        <w:t>部门</w:t>
      </w:r>
      <w:r>
        <w:rPr>
          <w:rFonts w:ascii="楷体" w:cs="楷体" w:eastAsia="楷体" w:hAnsi="楷体" w:hint="eastAsia"/>
          <w:b/>
          <w:bCs/>
          <w:sz w:val="32"/>
          <w:szCs w:val="32"/>
          <w:lang w:eastAsia="zh-CN"/>
        </w:rPr>
        <w:t>（单位）</w:t>
      </w:r>
      <w:r>
        <w:rPr>
          <w:rFonts w:ascii="楷体" w:cs="楷体" w:eastAsia="楷体" w:hAnsi="楷体" w:hint="eastAsia"/>
          <w:b/>
          <w:bCs/>
          <w:sz w:val="32"/>
          <w:szCs w:val="32"/>
        </w:rPr>
        <w:t>整体支出绩效情况</w:t>
      </w:r>
    </w:p>
    <w:p w14:paraId="72FFFA02">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val="false"/>
          <w:bCs w:val="false"/>
          <w:color w:val="000000"/>
          <w:kern w:val="0"/>
          <w:sz w:val="32"/>
          <w:szCs w:val="32"/>
          <w:lang w:val="en-US" w:bidi="ar-SA" w:eastAsia="zh-CN"/>
        </w:rPr>
        <w:t>根据年初设定的绩效目标，绩效自评得分为97分。全年预算数为5283.38万元，执行数为</w:t>
      </w:r>
      <w:r>
        <w:rPr>
          <w:rFonts w:ascii="仿宋_GB2312" w:cs="仿宋_GB2312" w:eastAsia="仿宋_GB2312" w:hAnsi="仿宋_GB2312" w:hint="default"/>
          <w:b w:val="false"/>
          <w:bCs w:val="false"/>
          <w:color w:val="000000"/>
          <w:kern w:val="0"/>
          <w:sz w:val="32"/>
          <w:szCs w:val="32"/>
          <w:lang w:val="en-US" w:bidi="ar-SA" w:eastAsia="zh-CN"/>
        </w:rPr>
        <w:t>8743.96</w:t>
      </w:r>
      <w:r>
        <w:rPr>
          <w:rFonts w:ascii="仿宋_GB2312" w:cs="仿宋_GB2312" w:eastAsia="仿宋_GB2312" w:hAnsi="仿宋_GB2312" w:hint="eastAsia"/>
          <w:b w:val="false"/>
          <w:bCs w:val="false"/>
          <w:color w:val="000000"/>
          <w:kern w:val="0"/>
          <w:sz w:val="32"/>
          <w:szCs w:val="32"/>
          <w:lang w:val="en-US" w:bidi="ar-SA" w:eastAsia="zh-CN"/>
        </w:rPr>
        <w:t>万元，完成预算的1</w:t>
      </w:r>
      <w:r>
        <w:rPr>
          <w:rFonts w:ascii="仿宋_GB2312" w:cs="仿宋_GB2312" w:eastAsia="仿宋_GB2312" w:hAnsi="仿宋_GB2312" w:hint="default"/>
          <w:b w:val="false"/>
          <w:bCs w:val="false"/>
          <w:color w:val="000000"/>
          <w:kern w:val="0"/>
          <w:sz w:val="32"/>
          <w:szCs w:val="32"/>
          <w:lang w:val="en-US" w:bidi="ar-SA" w:eastAsia="zh-CN"/>
        </w:rPr>
        <w:t>65.50</w:t>
      </w:r>
      <w:r>
        <w:rPr>
          <w:rFonts w:ascii="仿宋_GB2312" w:cs="仿宋_GB2312" w:eastAsia="仿宋_GB2312" w:hAnsi="仿宋_GB2312" w:hint="eastAsia"/>
          <w:b w:val="false"/>
          <w:bCs w:val="false"/>
          <w:color w:val="000000"/>
          <w:kern w:val="0"/>
          <w:sz w:val="32"/>
          <w:szCs w:val="32"/>
          <w:lang w:val="en-US" w:bidi="ar-SA" w:eastAsia="zh-CN"/>
        </w:rPr>
        <w:t>%。绩效目标完成情况：一是确保了单位的正常运转，各项工作任务顺利完成。在人员经费支出、公共支出上，本单位严格执行财政的各项制度；在项目经费的使用上，各项资金本着专款专用的原则，严格执行资金批准的使用计划和批复内容，不擅自调项、扩项、缩项，不拆借、挪用、挤占，资金拨付动向按不同资金的要求执行。同时对每笔资金的支付，严格执行财务制度，落实资金审核程序。在保证各项任务顺利完成的同时，严格落实厉行节约的原则；三公经费的使用严格控制在预算申报的范围内。；二是确保了学校教育教学正常开展，包括民族教育在内的教学质量稳步提升。</w:t>
      </w:r>
    </w:p>
    <w:p w14:paraId="60E91063">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jc w:val="left"/>
        <w:textAlignment w:val="auto"/>
        <w:rPr>
          <w:rFonts w:ascii="楷体" w:cs="楷体" w:eastAsia="楷体" w:hAnsi="楷体" w:hint="eastAsia"/>
          <w:b/>
          <w:bCs/>
          <w:sz w:val="32"/>
          <w:szCs w:val="32"/>
        </w:rPr>
      </w:pPr>
      <w:r>
        <w:rPr>
          <w:rFonts w:ascii="楷体" w:cs="楷体" w:eastAsia="楷体" w:hAnsi="楷体" w:hint="eastAsia"/>
          <w:b/>
          <w:bCs/>
          <w:sz w:val="32"/>
          <w:szCs w:val="32"/>
          <w:lang w:eastAsia="zh-CN"/>
        </w:rPr>
        <w:t>（三）</w:t>
      </w:r>
      <w:r>
        <w:rPr>
          <w:rFonts w:ascii="楷体" w:cs="楷体" w:eastAsia="楷体" w:hAnsi="楷体" w:hint="eastAsia"/>
          <w:b/>
          <w:bCs/>
          <w:sz w:val="32"/>
          <w:szCs w:val="32"/>
        </w:rPr>
        <w:t>存在的问题及原因分析</w:t>
      </w:r>
    </w:p>
    <w:p w14:paraId="74A08FA8">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jc w:val="left"/>
        <w:textAlignment w:val="auto"/>
        <w:rPr>
          <w:rFonts w:ascii="仿宋_GB2312" w:cs="仿宋_GB2312" w:eastAsia="仿宋_GB2312" w:hAnsi="仿宋_GB2312" w:hint="default"/>
          <w:b w:val="false"/>
          <w:bCs w:val="false"/>
          <w:sz w:val="32"/>
          <w:szCs w:val="32"/>
          <w:lang w:val="en-US" w:eastAsia="zh-CN"/>
        </w:rPr>
      </w:pPr>
      <w:r>
        <w:rPr>
          <w:rFonts w:ascii="仿宋_GB2312" w:cs="仿宋_GB2312" w:eastAsia="仿宋_GB2312" w:hAnsi="仿宋_GB2312" w:hint="eastAsia"/>
          <w:b w:val="false"/>
          <w:bCs w:val="false"/>
          <w:color w:val="000000"/>
          <w:kern w:val="0"/>
          <w:sz w:val="32"/>
          <w:szCs w:val="32"/>
          <w:lang w:val="en-US" w:bidi="ar-SA" w:eastAsia="zh-CN"/>
        </w:rPr>
        <w:t>存在的主要问题及原因：</w:t>
      </w:r>
      <w:r>
        <w:rPr>
          <w:rFonts w:ascii="仿宋_GB2312" w:cs="仿宋_GB2312" w:eastAsia="仿宋_GB2312" w:hAnsi="仿宋_GB2312" w:hint="eastAsia"/>
          <w:b w:val="false"/>
          <w:bCs w:val="false"/>
          <w:sz w:val="32"/>
          <w:szCs w:val="32"/>
          <w:lang w:val="en-US" w:eastAsia="zh-CN"/>
        </w:rPr>
        <w:t>一是在预算及预算绩效管理方面，绩效管理意识有待加强，部分绩效目标设置不够完备。对于项目支出，虽然设立了项目资金绩效目标，单部分目标不够明确，可量化性有待提高。二是在财务和资产管理方面，固定资产的管理有待加强。对固定资产的定期盘点清查工作落实还不到位。三是在资金分配、使用和管理方面，部分项目执行率较低，主要是因为部分项目资金下达时间较晚，一定程度上影响了资金的计划统筹和使用。下一步改进措施：一是进一步规范绩效目标编制。绩效目标设置要结合本单位职能职责和年度总体工作目标，提高各项指标的科学性、合理性，可实施性、可考核性。二是完善固定资产管理相关制度，定期开展盘点工作。三是合理安排项目资金，年初下达的基本支出预算按进度及时用款，足额保障单位正常运转。四是进一步强化绩效管理意识。加强部门绩效管理的培训力度，切实提高经办人员业务素质，增强工作能力。</w:t>
      </w:r>
    </w:p>
    <w:p w14:paraId="0FB43527">
      <w:pPr>
        <w:pStyle w:val="style0"/>
        <w:autoSpaceDE w:val="false"/>
        <w:autoSpaceDN w:val="false"/>
        <w:adjustRightInd w:val="false"/>
        <w:ind w:firstLine="640" w:firstLineChars="200"/>
        <w:jc w:val="left"/>
        <w:rPr>
          <w:rFonts w:ascii="仿宋_GB2312" w:cs="仿宋_GB2312" w:eastAsia="仿宋_GB2312" w:hAnsi="仿宋_GB2312" w:hint="eastAsia"/>
          <w:b w:val="false"/>
          <w:bCs w:val="false"/>
          <w:sz w:val="32"/>
          <w:szCs w:val="32"/>
          <w:lang w:val="en-US" w:eastAsia="zh-CN"/>
        </w:rPr>
      </w:pPr>
      <w:r>
        <w:rPr>
          <w:rFonts w:ascii="仿宋_GB2312" w:cs="仿宋_GB2312" w:eastAsia="仿宋_GB2312" w:hAnsi="仿宋_GB2312" w:hint="eastAsia"/>
          <w:b w:val="false"/>
          <w:bCs w:val="false"/>
          <w:sz w:val="32"/>
          <w:szCs w:val="32"/>
          <w:lang w:val="en-US" w:eastAsia="zh-CN"/>
        </w:rPr>
        <w:t>预算绩效管理开展情况、绩效目标和绩效评价报告等，已在市政府部门财政预决算公开平台上向社会公开，详见附件。</w:t>
      </w:r>
    </w:p>
    <w:p w14:paraId="55721E1C">
      <w:pPr>
        <w:pStyle w:val="style0"/>
        <w:numPr>
          <w:ilvl w:val="0"/>
          <w:numId w:val="0"/>
        </w:numPr>
        <w:autoSpaceDE w:val="false"/>
        <w:autoSpaceDN w:val="false"/>
        <w:adjustRightInd w:val="false"/>
        <w:jc w:val="left"/>
        <w:rPr>
          <w:rFonts w:ascii="楷体" w:cs="楷体" w:eastAsia="楷体" w:hAnsi="楷体" w:hint="eastAsia"/>
          <w:b/>
          <w:bCs/>
          <w:i w:val="false"/>
          <w:iCs w:val="false"/>
          <w:color w:val="ff0000"/>
          <w:kern w:val="0"/>
          <w:sz w:val="36"/>
          <w:szCs w:val="36"/>
          <w:lang w:val="en-US" w:eastAsia="zh-CN"/>
        </w:rPr>
      </w:pPr>
    </w:p>
    <w:p w14:paraId="248446EC">
      <w:pPr>
        <w:pStyle w:val="style4099"/>
        <w:jc w:val="both"/>
        <w:rPr>
          <w:sz w:val="72"/>
          <w:szCs w:val="72"/>
        </w:rPr>
      </w:pPr>
    </w:p>
    <w:p w14:paraId="0202B53E">
      <w:pPr>
        <w:pStyle w:val="style4099"/>
        <w:jc w:val="center"/>
        <w:rPr>
          <w:sz w:val="72"/>
          <w:szCs w:val="72"/>
        </w:rPr>
      </w:pPr>
    </w:p>
    <w:p w14:paraId="7420DC5C">
      <w:pPr>
        <w:pStyle w:val="style4099"/>
        <w:jc w:val="center"/>
        <w:rPr>
          <w:rFonts w:ascii="方正小标宋_GBK" w:cs="方正小标宋_GBK" w:eastAsia="方正小标宋_GBK" w:hAnsi="方正小标宋_GBK" w:hint="eastAsia"/>
          <w:sz w:val="70"/>
          <w:szCs w:val="70"/>
          <w:lang w:eastAsia="zh-CN"/>
        </w:rPr>
      </w:pPr>
    </w:p>
    <w:p w14:paraId="7A6C4978">
      <w:pPr>
        <w:pStyle w:val="style4099"/>
        <w:jc w:val="center"/>
        <w:rPr>
          <w:rFonts w:ascii="方正小标宋_GBK" w:cs="方正小标宋_GBK" w:eastAsia="方正小标宋_GBK" w:hAnsi="方正小标宋_GBK" w:hint="eastAsia"/>
          <w:sz w:val="70"/>
          <w:szCs w:val="70"/>
          <w:lang w:eastAsia="zh-CN"/>
        </w:rPr>
      </w:pPr>
    </w:p>
    <w:p w14:paraId="041C76FB">
      <w:pPr>
        <w:pStyle w:val="style4099"/>
        <w:jc w:val="center"/>
        <w:rPr>
          <w:rFonts w:ascii="方正小标宋_GBK" w:cs="方正小标宋_GBK" w:eastAsia="方正小标宋_GBK" w:hAnsi="方正小标宋_GBK" w:hint="eastAsia"/>
          <w:sz w:val="72"/>
          <w:szCs w:val="72"/>
        </w:rPr>
      </w:pPr>
    </w:p>
    <w:p w14:paraId="4DFC239E">
      <w:pPr>
        <w:pStyle w:val="style4099"/>
        <w:jc w:val="center"/>
        <w:rPr>
          <w:rFonts w:ascii="方正小标宋_GBK" w:cs="方正小标宋_GBK" w:eastAsia="方正小标宋_GBK" w:hAnsi="方正小标宋_GBK" w:hint="eastAsia"/>
          <w:sz w:val="72"/>
          <w:szCs w:val="72"/>
        </w:rPr>
      </w:pPr>
    </w:p>
    <w:p w14:paraId="21778EF5">
      <w:pPr>
        <w:pStyle w:val="style4099"/>
        <w:jc w:val="center"/>
        <w:rPr>
          <w:rFonts w:ascii="方正小标宋_GBK" w:cs="方正小标宋_GBK" w:eastAsia="方正小标宋_GBK" w:hAnsi="方正小标宋_GBK" w:hint="eastAsia"/>
          <w:sz w:val="72"/>
          <w:szCs w:val="72"/>
        </w:rPr>
      </w:pPr>
      <w:r>
        <w:rPr>
          <w:rFonts w:ascii="方正小标宋_GBK" w:cs="方正小标宋_GBK" w:eastAsia="方正小标宋_GBK" w:hAnsi="方正小标宋_GBK" w:hint="eastAsia"/>
          <w:sz w:val="72"/>
          <w:szCs w:val="72"/>
        </w:rPr>
        <w:t>第四部分</w:t>
      </w:r>
    </w:p>
    <w:p w14:paraId="228A73A8">
      <w:pPr>
        <w:pStyle w:val="style0"/>
        <w:jc w:val="center"/>
        <w:rPr>
          <w:rFonts w:ascii="方正小标宋_GBK" w:cs="方正小标宋_GBK" w:eastAsia="方正小标宋_GBK" w:hAnsi="方正小标宋_GBK" w:hint="eastAsia"/>
          <w:color w:val="000000"/>
          <w:kern w:val="0"/>
          <w:sz w:val="70"/>
          <w:szCs w:val="70"/>
        </w:rPr>
      </w:pPr>
    </w:p>
    <w:p w14:paraId="6FD51714">
      <w:pPr>
        <w:pStyle w:val="style4099"/>
        <w:jc w:val="center"/>
        <w:rPr>
          <w:rFonts w:ascii="方正小标宋_GBK" w:cs="方正小标宋_GBK" w:eastAsia="方正小标宋_GBK" w:hAnsi="方正小标宋_GBK" w:hint="eastAsia"/>
          <w:sz w:val="70"/>
          <w:szCs w:val="70"/>
          <w:lang w:eastAsia="zh-CN"/>
        </w:rPr>
      </w:pPr>
      <w:r>
        <w:rPr>
          <w:rFonts w:ascii="方正小标宋_GBK" w:cs="方正小标宋_GBK" w:eastAsia="方正小标宋_GBK" w:hAnsi="方正小标宋_GBK" w:hint="eastAsia"/>
          <w:color w:val="000000"/>
          <w:kern w:val="0"/>
          <w:sz w:val="70"/>
          <w:szCs w:val="70"/>
        </w:rPr>
        <w:t>名词解释</w:t>
      </w:r>
    </w:p>
    <w:p w14:paraId="0705B0EF">
      <w:pPr>
        <w:pStyle w:val="style29"/>
        <w:rPr/>
      </w:pPr>
    </w:p>
    <w:p w14:paraId="3BC9609A">
      <w:pPr>
        <w:pStyle w:val="style78"/>
        <w:rPr/>
      </w:pPr>
    </w:p>
    <w:p w14:paraId="17840617">
      <w:pPr>
        <w:pStyle w:val="style0"/>
        <w:rPr/>
      </w:pPr>
    </w:p>
    <w:p w14:paraId="5C7B1C01">
      <w:pPr>
        <w:pStyle w:val="style29"/>
        <w:rPr/>
      </w:pPr>
    </w:p>
    <w:p w14:paraId="7862A836">
      <w:pPr>
        <w:pStyle w:val="style78"/>
        <w:rPr/>
      </w:pPr>
    </w:p>
    <w:p w14:paraId="2513FE18">
      <w:pPr>
        <w:pStyle w:val="style0"/>
        <w:rPr/>
      </w:pPr>
    </w:p>
    <w:p w14:paraId="1583BADD">
      <w:pPr>
        <w:pStyle w:val="style29"/>
        <w:rPr/>
      </w:pPr>
    </w:p>
    <w:p w14:paraId="2DD7467B">
      <w:pPr>
        <w:pStyle w:val="style78"/>
        <w:rPr/>
      </w:pPr>
    </w:p>
    <w:p w14:paraId="1518AC7A">
      <w:pPr>
        <w:pStyle w:val="style0"/>
        <w:rPr/>
      </w:pPr>
    </w:p>
    <w:p w14:paraId="4495B3AF">
      <w:pPr>
        <w:pStyle w:val="style29"/>
        <w:rPr/>
      </w:pPr>
    </w:p>
    <w:p w14:paraId="3B562393">
      <w:pPr>
        <w:pStyle w:val="style78"/>
        <w:rPr/>
      </w:pPr>
    </w:p>
    <w:p w14:paraId="028AD4D0">
      <w:pPr>
        <w:pStyle w:val="style0"/>
        <w:ind w:firstLine="640" w:firstLineChars="200"/>
        <w:jc w:val="left"/>
        <w:rPr>
          <w:rFonts w:ascii="仿宋_GB2312" w:cs="仿宋_GB2312" w:eastAsia="仿宋_GB2312" w:hAnsi="仿宋_GB2312" w:hint="eastAsia"/>
          <w:color w:val="000000"/>
          <w:kern w:val="0"/>
          <w:sz w:val="32"/>
          <w:szCs w:val="32"/>
        </w:rPr>
      </w:pPr>
    </w:p>
    <w:bookmarkStart w:id="0" w:name="_GoBack"/>
    <w:bookmarkEnd w:id="0"/>
    <w:p w14:paraId="3E62FB47">
      <w:pPr>
        <w:pStyle w:val="style0"/>
        <w:ind w:firstLine="640" w:firstLineChars="200"/>
        <w:jc w:val="left"/>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E8189B8">
      <w:pPr>
        <w:pStyle w:val="style0"/>
        <w:ind w:firstLine="640" w:firstLineChars="200"/>
        <w:jc w:val="left"/>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二、机关运行经费</w:t>
      </w:r>
      <w:r>
        <w:rPr>
          <w:rFonts w:ascii="仿宋_GB2312" w:cs="仿宋_GB2312" w:eastAsia="仿宋_GB2312" w:hAnsi="仿宋_GB2312" w:hint="eastAsia"/>
          <w:color w:val="000000"/>
          <w:kern w:val="0"/>
          <w:sz w:val="32"/>
          <w:szCs w:val="32"/>
          <w:lang w:eastAsia="zh-CN"/>
        </w:rPr>
        <w:t>，指为保障行政单位（包括参照公务员法管理的事业单位）运行用于购买货物和服务的各项资金</w:t>
      </w:r>
      <w:r>
        <w:rPr>
          <w:rFonts w:ascii="仿宋_GB2312" w:cs="仿宋_GB2312" w:eastAsia="仿宋_GB2312" w:hAnsi="仿宋_GB2312" w:hint="eastAsia"/>
          <w:color w:val="000000"/>
          <w:kern w:val="0"/>
          <w:sz w:val="32"/>
          <w:szCs w:val="32"/>
        </w:rPr>
        <w:t>，包括办公</w:t>
      </w:r>
      <w:r>
        <w:rPr>
          <w:rFonts w:ascii="仿宋_GB2312" w:cs="仿宋_GB2312" w:eastAsia="仿宋_GB2312" w:hAnsi="仿宋_GB2312" w:hint="eastAsia"/>
          <w:color w:val="000000"/>
          <w:kern w:val="0"/>
          <w:sz w:val="32"/>
          <w:szCs w:val="32"/>
          <w:lang w:eastAsia="zh-CN"/>
        </w:rPr>
        <w:t>费、</w:t>
      </w:r>
      <w:r>
        <w:rPr>
          <w:rFonts w:ascii="仿宋_GB2312" w:cs="仿宋_GB2312" w:eastAsia="仿宋_GB2312" w:hAnsi="仿宋_GB2312" w:hint="eastAsia"/>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27EA8449">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三、一般预算财政拨款(补助)收入:指财政部门拨入的各类经费。</w:t>
      </w:r>
    </w:p>
    <w:p w14:paraId="55D47F42">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四、财政拨款收入:指本级财政当年拨付的资金。</w:t>
      </w:r>
    </w:p>
    <w:p w14:paraId="0D992F1B">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五、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A596E6F">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六、预算绩效:即政府预算资金实施所产生的效益、效率和效果。</w:t>
      </w:r>
    </w:p>
    <w:p w14:paraId="16CDAA56">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七、基本支出:指保障机构正常运转、完成日常工作任务而发生的人员支出和公用支出。</w:t>
      </w:r>
    </w:p>
    <w:p w14:paraId="65B23891">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八、项目支出:指在基本支出之外为完成特定行政任务和事业发展目标所发生的支出。</w:t>
      </w:r>
    </w:p>
    <w:p w14:paraId="4FF57D26">
      <w:pPr>
        <w:pStyle w:val="style29"/>
        <w:rPr>
          <w:rFonts w:hint="eastAsia"/>
          <w:lang w:val="en-US" w:eastAsia="zh-CN"/>
        </w:rPr>
      </w:pPr>
    </w:p>
    <w:p w14:paraId="7B18D808">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b/>
          <w:bCs/>
          <w:i/>
          <w:color w:val="ff0000"/>
          <w:kern w:val="0"/>
          <w:sz w:val="32"/>
          <w:szCs w:val="32"/>
          <w:lang w:val="en-US" w:bidi="ar-SA" w:eastAsia="zh-CN"/>
        </w:rPr>
      </w:pPr>
    </w:p>
    <w:p w14:paraId="08213391">
      <w:pPr>
        <w:pStyle w:val="style4099"/>
        <w:jc w:val="center"/>
        <w:rPr>
          <w:rFonts w:ascii="仿宋_GB2312" w:cs="仿宋_GB2312" w:eastAsia="仿宋_GB2312" w:hAnsi="仿宋_GB2312" w:hint="eastAsia"/>
          <w:sz w:val="32"/>
          <w:szCs w:val="32"/>
        </w:rPr>
      </w:pPr>
    </w:p>
    <w:p w14:paraId="68E38D52">
      <w:pPr>
        <w:pStyle w:val="style78"/>
        <w:rPr/>
      </w:pPr>
    </w:p>
    <w:p w14:paraId="1D52F15B">
      <w:pPr>
        <w:pStyle w:val="style0"/>
        <w:rPr/>
      </w:pPr>
    </w:p>
    <w:p w14:paraId="20819952">
      <w:pPr>
        <w:pStyle w:val="style29"/>
        <w:rPr/>
      </w:pPr>
    </w:p>
    <w:p w14:paraId="19BAFD69">
      <w:pPr>
        <w:pStyle w:val="style78"/>
        <w:rPr/>
      </w:pPr>
    </w:p>
    <w:p w14:paraId="629D4A6B">
      <w:pPr>
        <w:pStyle w:val="style0"/>
        <w:rPr/>
      </w:pPr>
    </w:p>
    <w:p w14:paraId="5B45B925">
      <w:pPr>
        <w:pStyle w:val="style29"/>
        <w:rPr/>
      </w:pPr>
    </w:p>
    <w:p w14:paraId="3B982A95">
      <w:pPr>
        <w:pStyle w:val="style78"/>
        <w:rPr/>
      </w:pPr>
    </w:p>
    <w:p w14:paraId="6E68302B">
      <w:pPr>
        <w:pStyle w:val="style0"/>
        <w:rPr/>
      </w:pPr>
    </w:p>
    <w:p w14:paraId="60547913">
      <w:pPr>
        <w:pStyle w:val="style29"/>
        <w:rPr/>
      </w:pPr>
    </w:p>
    <w:p w14:paraId="60192D11">
      <w:pPr>
        <w:pStyle w:val="style78"/>
        <w:rPr/>
      </w:pPr>
    </w:p>
    <w:p w14:paraId="34140C8C">
      <w:pPr>
        <w:pStyle w:val="style0"/>
        <w:rPr/>
      </w:pPr>
    </w:p>
    <w:p w14:paraId="6A8C1F7A">
      <w:pPr>
        <w:pStyle w:val="style29"/>
        <w:rPr/>
      </w:pPr>
    </w:p>
    <w:p w14:paraId="5370313C">
      <w:pPr>
        <w:pStyle w:val="style78"/>
        <w:rPr/>
      </w:pPr>
    </w:p>
    <w:p w14:paraId="47713D7C">
      <w:pPr>
        <w:pStyle w:val="style0"/>
        <w:rPr/>
      </w:pPr>
    </w:p>
    <w:p w14:paraId="29C2FCF6">
      <w:pPr>
        <w:pStyle w:val="style29"/>
        <w:rPr/>
      </w:pPr>
    </w:p>
    <w:p w14:paraId="66DA5F8B">
      <w:pPr>
        <w:pStyle w:val="style78"/>
        <w:rPr/>
      </w:pPr>
    </w:p>
    <w:p w14:paraId="40CE94AC">
      <w:pPr>
        <w:pStyle w:val="style4099"/>
        <w:jc w:val="center"/>
        <w:rPr>
          <w:rFonts w:ascii="方正小标宋_GBK" w:cs="方正小标宋_GBK" w:eastAsia="方正小标宋_GBK" w:hAnsi="方正小标宋_GBK" w:hint="eastAsia"/>
          <w:sz w:val="70"/>
          <w:szCs w:val="70"/>
        </w:rPr>
      </w:pPr>
      <w:r>
        <w:rPr>
          <w:rFonts w:ascii="方正小标宋_GBK" w:cs="方正小标宋_GBK" w:eastAsia="方正小标宋_GBK" w:hAnsi="方正小标宋_GBK" w:hint="eastAsia"/>
          <w:sz w:val="72"/>
          <w:szCs w:val="72"/>
        </w:rPr>
        <w:t>第</w:t>
      </w:r>
      <w:r>
        <w:rPr>
          <w:rFonts w:ascii="方正小标宋_GBK" w:cs="方正小标宋_GBK" w:eastAsia="方正小标宋_GBK" w:hAnsi="方正小标宋_GBK" w:hint="eastAsia"/>
          <w:sz w:val="72"/>
          <w:szCs w:val="72"/>
          <w:lang w:eastAsia="zh-CN"/>
        </w:rPr>
        <w:t>五</w:t>
      </w:r>
      <w:r>
        <w:rPr>
          <w:rFonts w:ascii="方正小标宋_GBK" w:cs="方正小标宋_GBK" w:eastAsia="方正小标宋_GBK" w:hAnsi="方正小标宋_GBK" w:hint="eastAsia"/>
          <w:sz w:val="72"/>
          <w:szCs w:val="72"/>
        </w:rPr>
        <w:t>部分</w:t>
      </w:r>
    </w:p>
    <w:p w14:paraId="41712857">
      <w:pPr>
        <w:pStyle w:val="style4099"/>
        <w:jc w:val="both"/>
        <w:rPr>
          <w:rFonts w:ascii="方正小标宋_GBK" w:cs="方正小标宋_GBK" w:eastAsia="方正小标宋_GBK" w:hAnsi="方正小标宋_GBK" w:hint="eastAsia"/>
          <w:sz w:val="70"/>
          <w:szCs w:val="70"/>
          <w:lang w:eastAsia="zh-CN"/>
        </w:rPr>
      </w:pPr>
    </w:p>
    <w:p w14:paraId="4EA283C4">
      <w:pPr>
        <w:pStyle w:val="style4099"/>
        <w:jc w:val="center"/>
        <w:rPr>
          <w:rFonts w:ascii="方正小标宋_GBK" w:cs="方正小标宋_GBK" w:eastAsia="方正小标宋_GBK" w:hAnsi="方正小标宋_GBK" w:hint="eastAsia"/>
          <w:sz w:val="70"/>
          <w:szCs w:val="70"/>
          <w:lang w:eastAsia="zh-CN"/>
        </w:rPr>
      </w:pPr>
      <w:r>
        <w:rPr>
          <w:rFonts w:ascii="方正小标宋_GBK" w:cs="方正小标宋_GBK" w:eastAsia="方正小标宋_GBK" w:hAnsi="方正小标宋_GBK" w:hint="eastAsia"/>
          <w:sz w:val="70"/>
          <w:szCs w:val="70"/>
          <w:lang w:eastAsia="zh-CN"/>
        </w:rPr>
        <w:t>附</w:t>
      </w:r>
      <w:r>
        <w:rPr>
          <w:rFonts w:ascii="方正小标宋_GBK" w:cs="方正小标宋_GBK" w:eastAsia="方正小标宋_GBK" w:hAnsi="方正小标宋_GBK" w:hint="eastAsia"/>
          <w:sz w:val="70"/>
          <w:szCs w:val="70"/>
          <w:lang w:val="en-US" w:eastAsia="zh-CN"/>
        </w:rPr>
        <w:t xml:space="preserve"> </w:t>
      </w:r>
      <w:r>
        <w:rPr>
          <w:rFonts w:ascii="方正小标宋_GBK" w:cs="方正小标宋_GBK" w:eastAsia="方正小标宋_GBK" w:hAnsi="方正小标宋_GBK" w:hint="eastAsia"/>
          <w:sz w:val="70"/>
          <w:szCs w:val="70"/>
          <w:lang w:eastAsia="zh-CN"/>
        </w:rPr>
        <w:t>件</w:t>
      </w:r>
    </w:p>
    <w:p w14:paraId="6624F9A5">
      <w:pPr>
        <w:pStyle w:val="style0"/>
        <w:ind w:firstLine="640" w:firstLineChars="200"/>
        <w:jc w:val="left"/>
        <w:rPr>
          <w:rFonts w:ascii="宋体" w:cs="黑体" w:eastAsia="宋体" w:hAnsi="宋体" w:hint="eastAsia"/>
          <w:b/>
          <w:color w:val="000000"/>
          <w:kern w:val="0"/>
          <w:sz w:val="32"/>
          <w:szCs w:val="32"/>
          <w:lang w:val="en-US" w:eastAsia="zh-CN"/>
        </w:rPr>
      </w:pPr>
    </w:p>
    <w:p w14:paraId="077714C7">
      <w:pPr>
        <w:pStyle w:val="style0"/>
        <w:ind w:firstLine="640" w:firstLineChars="200"/>
        <w:jc w:val="left"/>
        <w:rPr>
          <w:rFonts w:ascii="宋体" w:cs="黑体" w:eastAsia="宋体" w:hAnsi="宋体" w:hint="eastAsia"/>
          <w:b/>
          <w:color w:val="000000"/>
          <w:kern w:val="0"/>
          <w:sz w:val="32"/>
          <w:szCs w:val="32"/>
          <w:lang w:val="en-US" w:eastAsia="zh-CN"/>
        </w:rPr>
      </w:pPr>
      <w:r>
        <w:rPr>
          <w:rFonts w:ascii="宋体" w:cs="黑体" w:eastAsia="宋体" w:hAnsi="宋体" w:hint="eastAsia"/>
          <w:b/>
          <w:color w:val="000000"/>
          <w:kern w:val="0"/>
          <w:sz w:val="32"/>
          <w:szCs w:val="32"/>
          <w:lang w:val="en-US" w:eastAsia="zh-CN"/>
        </w:rPr>
        <w:t>1、2023年部门决算公开表格</w:t>
      </w:r>
    </w:p>
    <w:p w14:paraId="619235ED">
      <w:pPr>
        <w:pStyle w:val="style0"/>
        <w:ind w:firstLine="640" w:firstLineChars="200"/>
        <w:jc w:val="left"/>
        <w:rPr>
          <w:rFonts w:ascii="宋体" w:cs="黑体" w:eastAsia="宋体" w:hAnsi="宋体"/>
          <w:color w:val="000000"/>
          <w:kern w:val="0"/>
          <w:sz w:val="32"/>
          <w:szCs w:val="32"/>
        </w:rPr>
      </w:pPr>
      <w:r>
        <w:rPr>
          <w:rFonts w:ascii="宋体" w:cs="黑体" w:eastAsia="宋体" w:hAnsi="宋体" w:hint="eastAsia"/>
          <w:b/>
          <w:color w:val="000000"/>
          <w:kern w:val="0"/>
          <w:sz w:val="32"/>
          <w:szCs w:val="32"/>
          <w:lang w:val="en-US" w:eastAsia="zh-CN"/>
        </w:rPr>
        <w:t>2、</w:t>
      </w:r>
      <w:r>
        <w:rPr>
          <w:rFonts w:ascii="宋体" w:cs="黑体" w:eastAsia="宋体" w:hAnsi="宋体" w:hint="eastAsia"/>
          <w:b/>
          <w:color w:val="000000"/>
          <w:kern w:val="0"/>
          <w:sz w:val="32"/>
          <w:szCs w:val="32"/>
        </w:rPr>
        <w:t>202</w:t>
      </w:r>
      <w:r>
        <w:rPr>
          <w:rFonts w:ascii="宋体" w:cs="黑体" w:eastAsia="宋体" w:hAnsi="宋体" w:hint="eastAsia"/>
          <w:b/>
          <w:color w:val="000000"/>
          <w:kern w:val="0"/>
          <w:sz w:val="32"/>
          <w:szCs w:val="32"/>
          <w:lang w:val="en-US" w:eastAsia="zh-CN"/>
        </w:rPr>
        <w:t>3</w:t>
      </w:r>
      <w:r>
        <w:rPr>
          <w:rFonts w:ascii="宋体" w:cs="黑体" w:eastAsia="宋体" w:hAnsi="宋体" w:hint="eastAsia"/>
          <w:b/>
          <w:color w:val="000000"/>
          <w:kern w:val="0"/>
          <w:sz w:val="32"/>
          <w:szCs w:val="32"/>
        </w:rPr>
        <w:t>年度部门整体支出绩效评价报告</w:t>
      </w:r>
    </w:p>
    <w:p w14:paraId="21725737">
      <w:pPr>
        <w:pStyle w:val="style0"/>
        <w:rPr/>
      </w:pPr>
    </w:p>
    <w:sectPr>
      <w:pgSz w:w="11906" w:h="16838" w:orient="portrait"/>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EFF" w:usb1="C000785B" w:usb2="00000009" w:usb3="00000000" w:csb0="400001FF" w:csb1="FFFF0000"/>
  </w:font>
  <w:font w:name="宋体">
    <w:altName w:val="宋体"/>
    <w:panose1 w:val="02010600030000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000010101"/>
    <w:charset w:val="86"/>
    <w:family w:val="modern"/>
    <w:pitch w:val="default"/>
    <w:sig w:usb0="00000000" w:usb1="00000000" w:usb2="00000000" w:usb3="00000000" w:csb0="00040000" w:csb1="00000000"/>
  </w:font>
  <w:font w:name="楷体">
    <w:altName w:val="楷体"/>
    <w:panose1 w:val="02010609060000010101"/>
    <w:charset w:val="86"/>
    <w:family w:val="auto"/>
    <w:pitch w:val="default"/>
    <w:sig w:usb0="800002BF" w:usb1="38CF7CFA" w:usb2="00000016" w:usb3="00000000" w:csb0="00040001" w:csb1="00000000"/>
  </w:font>
  <w:font w:name="微软雅黑">
    <w:altName w:val="微软雅黑"/>
    <w:panose1 w:val="020b0503020000020204"/>
    <w:charset w:val="86"/>
    <w:family w:val="auto"/>
    <w:pitch w:val="default"/>
    <w:sig w:usb0="80000287" w:usb1="2ACF3C50" w:usb2="00000016" w:usb3="00000000" w:csb0="0004001F" w:csb1="00000000"/>
  </w:font>
  <w:font w:name="仿宋">
    <w:altName w:val="仿宋"/>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A42C997"/>
    <w:lvl w:ilvl="0">
      <w:start w:val="3"/>
      <w:numFmt w:val="decimal"/>
      <w:lvlText w:val="%1."/>
      <w:lvlJc w:val="left"/>
      <w:pPr>
        <w:tabs>
          <w:tab w:val="left" w:leader="none" w:pos="312"/>
        </w:tabs>
      </w:pPr>
    </w:lvl>
  </w:abstractNum>
  <w:abstractNum w:abstractNumId="1">
    <w:nsid w:val="0000000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29"/>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29">
    <w:name w:val="footnote text"/>
    <w:basedOn w:val="style0"/>
    <w:next w:val="style78"/>
    <w:qFormat/>
    <w:uiPriority w:val="0"/>
    <w:pPr>
      <w:snapToGrid w:val="false"/>
      <w:jc w:val="left"/>
    </w:pPr>
    <w:rPr>
      <w:sz w:val="18"/>
      <w:szCs w:val="18"/>
    </w:rPr>
  </w:style>
  <w:style w:type="paragraph" w:styleId="style78">
    <w:name w:val="Body Text First Indent 2"/>
    <w:basedOn w:val="style67"/>
    <w:next w:val="style0"/>
    <w:qFormat/>
    <w:uiPriority w:val="99"/>
    <w:pPr>
      <w:ind w:firstLine="420" w:firstLineChars="200"/>
    </w:pPr>
    <w:rPr/>
  </w:style>
  <w:style w:type="paragraph" w:styleId="style67">
    <w:name w:val="Body Text Indent"/>
    <w:basedOn w:val="style0"/>
    <w:next w:val="style78"/>
    <w:qFormat/>
    <w:uiPriority w:val="99"/>
    <w:pPr>
      <w:widowControl/>
      <w:spacing w:after="120"/>
      <w:ind w:left="420" w:leftChars="200"/>
      <w:jc w:val="left"/>
    </w:pPr>
    <w:rPr>
      <w:rFonts w:ascii="宋体" w:cs="宋体" w:eastAsia="宋体" w:hAnsi="宋体"/>
      <w:kern w:val="0"/>
      <w:sz w:val="24"/>
    </w:rPr>
  </w:style>
  <w:style w:type="paragraph" w:styleId="style153">
    <w:name w:val="Balloon Text"/>
    <w:basedOn w:val="style0"/>
    <w:next w:val="style153"/>
    <w:link w:val="style4100"/>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 w:type="paragraph" w:customStyle="1" w:styleId="style4099">
    <w:name w:val="Default"/>
    <w:next w:val="style4099"/>
    <w:qFormat/>
    <w:uiPriority w:val="0"/>
    <w:pPr>
      <w:widowControl w:val="false"/>
      <w:autoSpaceDE w:val="false"/>
      <w:autoSpaceDN w:val="false"/>
      <w:adjustRightInd w:val="false"/>
    </w:pPr>
    <w:rPr>
      <w:rFonts w:ascii="黑体" w:cs="黑体" w:eastAsia="黑体" w:hAnsi="Calibri"/>
      <w:color w:val="000000"/>
      <w:kern w:val="0"/>
      <w:sz w:val="24"/>
      <w:szCs w:val="24"/>
      <w:lang w:val="en-US" w:bidi="ar-SA" w:eastAsia="zh-CN"/>
    </w:rPr>
  </w:style>
  <w:style w:type="paragraph" w:styleId="style179">
    <w:name w:val="List Paragraph"/>
    <w:basedOn w:val="style0"/>
    <w:next w:val="style179"/>
    <w:qFormat/>
    <w:uiPriority w:val="34"/>
    <w:pPr>
      <w:ind w:firstLine="420" w:firstLineChars="200"/>
    </w:pPr>
    <w:rPr/>
  </w:style>
  <w:style w:type="character" w:customStyle="1" w:styleId="style4100">
    <w:name w:val="批注框文本 Char"/>
    <w:basedOn w:val="style65"/>
    <w:next w:val="style4100"/>
    <w:link w:val="style153"/>
    <w:qFormat/>
    <w:uiPriority w:val="99"/>
    <w:rPr>
      <w:sz w:val="18"/>
      <w:szCs w:val="18"/>
    </w:rPr>
  </w:style>
  <w:style w:type="character" w:customStyle="1" w:styleId="style4101">
    <w:name w:val="font01"/>
    <w:basedOn w:val="style65"/>
    <w:next w:val="style4101"/>
    <w:qFormat/>
    <w:uiPriority w:val="0"/>
    <w:rPr>
      <w:rFonts w:ascii="宋体" w:cs="宋体" w:eastAsia="宋体" w:hAnsi="宋体" w:hint="eastAsia"/>
      <w:color w:val="000000"/>
      <w:sz w:val="22"/>
      <w:szCs w:val="22"/>
      <w:u w:val="none"/>
    </w:rPr>
  </w:style>
  <w:style w:type="character" w:customStyle="1" w:styleId="style4102">
    <w:name w:val="font21"/>
    <w:basedOn w:val="style65"/>
    <w:next w:val="style4102"/>
    <w:qFormat/>
    <w:uiPriority w:val="0"/>
    <w:rPr>
      <w:rFonts w:ascii="宋体" w:cs="宋体" w:eastAsia="宋体" w:hAnsi="宋体" w:hint="eastAsia"/>
      <w:color w:val="000000"/>
      <w:sz w:val="24"/>
      <w:szCs w:val="24"/>
      <w:u w:val="none"/>
    </w:rPr>
  </w:style>
  <w:style w:type="character" w:customStyle="1" w:styleId="style4103">
    <w:name w:val="font11"/>
    <w:basedOn w:val="style65"/>
    <w:next w:val="style4103"/>
    <w:qFormat/>
    <w:uiPriority w:val="0"/>
    <w:rPr>
      <w:rFonts w:ascii="宋体" w:cs="宋体" w:eastAsia="宋体" w:hAnsi="宋体" w:hint="eastAsia"/>
      <w:color w:val="000000"/>
      <w:sz w:val="24"/>
      <w:szCs w:val="24"/>
      <w:u w: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5860</Words>
  <Pages>16</Pages>
  <Characters>6378</Characters>
  <Application>WPS Office</Application>
  <DocSecurity>0</DocSecurity>
  <Paragraphs>248</Paragraphs>
  <ScaleCrop>false</ScaleCrop>
  <Company>Microsoft</Company>
  <LinksUpToDate>false</LinksUpToDate>
  <CharactersWithSpaces>6390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2025-07-25T08:04:42Z</dcterms:created>
  <dc:creator>李航 null</dc:creator>
  <lastModifiedBy>BKY-W10</lastModifiedBy>
  <lastPrinted>2024-08-08T10:20:00Z</lastPrinted>
  <dcterms:modified xsi:type="dcterms:W3CDTF">2025-07-25T08:13:35Z</dcterms:modified>
  <revision>67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fbaa7a6d04fc47b69fa04381768e795c_23</vt:lpwstr>
  </property>
</Properties>
</file>