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3E29DB">
      <w:pPr>
        <w:pStyle w:val="15"/>
        <w:jc w:val="center"/>
        <w:rPr>
          <w:sz w:val="56"/>
          <w:szCs w:val="56"/>
        </w:rPr>
      </w:pPr>
    </w:p>
    <w:p w14:paraId="1B3CF779">
      <w:pPr>
        <w:pStyle w:val="15"/>
        <w:jc w:val="center"/>
        <w:rPr>
          <w:sz w:val="56"/>
          <w:szCs w:val="56"/>
        </w:rPr>
      </w:pPr>
    </w:p>
    <w:p w14:paraId="23CE65BD">
      <w:pPr>
        <w:pStyle w:val="15"/>
        <w:jc w:val="center"/>
        <w:rPr>
          <w:sz w:val="84"/>
          <w:szCs w:val="84"/>
        </w:rPr>
      </w:pPr>
    </w:p>
    <w:p w14:paraId="7162ADFA">
      <w:pPr>
        <w:pStyle w:val="15"/>
        <w:jc w:val="center"/>
        <w:rPr>
          <w:sz w:val="84"/>
          <w:szCs w:val="84"/>
        </w:rPr>
      </w:pPr>
    </w:p>
    <w:p w14:paraId="55836822">
      <w:pPr>
        <w:pStyle w:val="15"/>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3</w:t>
      </w:r>
      <w:r>
        <w:rPr>
          <w:rFonts w:hint="eastAsia" w:ascii="方正小标宋_GBK" w:hAnsi="方正小标宋_GBK" w:eastAsia="方正小标宋_GBK" w:cs="方正小标宋_GBK"/>
          <w:sz w:val="84"/>
          <w:szCs w:val="84"/>
        </w:rPr>
        <w:t>年度</w:t>
      </w:r>
    </w:p>
    <w:p w14:paraId="1916ACE6">
      <w:pPr>
        <w:pStyle w:val="15"/>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eastAsia="zh-CN"/>
        </w:rPr>
        <w:t>湖南东洞庭湖国家级自然保护区管理局</w:t>
      </w:r>
      <w:r>
        <w:rPr>
          <w:rFonts w:hint="eastAsia" w:ascii="方正小标宋_GBK" w:hAnsi="方正小标宋_GBK" w:eastAsia="方正小标宋_GBK" w:cs="方正小标宋_GBK"/>
          <w:sz w:val="84"/>
          <w:szCs w:val="84"/>
        </w:rPr>
        <w:t>部门决算</w:t>
      </w:r>
    </w:p>
    <w:p w14:paraId="0EFF5A4D">
      <w:pPr>
        <w:pStyle w:val="15"/>
        <w:jc w:val="center"/>
        <w:rPr>
          <w:rFonts w:hint="eastAsia" w:ascii="方正小标宋_GBK" w:hAnsi="方正小标宋_GBK" w:eastAsia="方正小标宋_GBK" w:cs="方正小标宋_GBK"/>
          <w:sz w:val="56"/>
          <w:szCs w:val="56"/>
        </w:rPr>
      </w:pPr>
    </w:p>
    <w:p w14:paraId="73900B9B">
      <w:pPr>
        <w:pStyle w:val="15"/>
        <w:jc w:val="center"/>
        <w:rPr>
          <w:sz w:val="56"/>
          <w:szCs w:val="56"/>
        </w:rPr>
      </w:pPr>
    </w:p>
    <w:p w14:paraId="26832B1E">
      <w:pPr>
        <w:pStyle w:val="15"/>
        <w:jc w:val="center"/>
        <w:rPr>
          <w:sz w:val="56"/>
          <w:szCs w:val="56"/>
        </w:rPr>
      </w:pPr>
    </w:p>
    <w:p w14:paraId="486DCF7F">
      <w:pPr>
        <w:pStyle w:val="15"/>
        <w:jc w:val="center"/>
        <w:rPr>
          <w:sz w:val="56"/>
          <w:szCs w:val="56"/>
        </w:rPr>
      </w:pPr>
    </w:p>
    <w:p w14:paraId="55F4F08D">
      <w:pPr>
        <w:pStyle w:val="15"/>
        <w:jc w:val="center"/>
        <w:rPr>
          <w:sz w:val="32"/>
          <w:szCs w:val="32"/>
        </w:rPr>
      </w:pPr>
    </w:p>
    <w:p w14:paraId="27E9C34E">
      <w:pPr>
        <w:pStyle w:val="15"/>
        <w:jc w:val="center"/>
        <w:rPr>
          <w:sz w:val="32"/>
          <w:szCs w:val="32"/>
        </w:rPr>
      </w:pPr>
    </w:p>
    <w:p w14:paraId="1ECCA3FC">
      <w:pPr>
        <w:pStyle w:val="15"/>
        <w:jc w:val="center"/>
        <w:rPr>
          <w:sz w:val="32"/>
          <w:szCs w:val="32"/>
        </w:rPr>
      </w:pPr>
    </w:p>
    <w:p w14:paraId="5E570A30">
      <w:pPr>
        <w:pStyle w:val="15"/>
        <w:jc w:val="center"/>
        <w:rPr>
          <w:sz w:val="32"/>
          <w:szCs w:val="32"/>
        </w:rPr>
      </w:pPr>
    </w:p>
    <w:p w14:paraId="455E2765">
      <w:pPr>
        <w:pStyle w:val="15"/>
        <w:jc w:val="center"/>
        <w:rPr>
          <w:sz w:val="32"/>
          <w:szCs w:val="32"/>
        </w:rPr>
      </w:pPr>
    </w:p>
    <w:p w14:paraId="1D9A3186">
      <w:pPr>
        <w:pStyle w:val="15"/>
        <w:spacing w:line="540" w:lineRule="exact"/>
        <w:jc w:val="center"/>
        <w:rPr>
          <w:sz w:val="56"/>
          <w:szCs w:val="56"/>
        </w:rPr>
      </w:pPr>
    </w:p>
    <w:p w14:paraId="6C70FDF3">
      <w:pPr>
        <w:pStyle w:val="15"/>
        <w:spacing w:line="500" w:lineRule="exact"/>
        <w:jc w:val="both"/>
        <w:rPr>
          <w:b/>
          <w:sz w:val="36"/>
          <w:szCs w:val="28"/>
        </w:rPr>
      </w:pPr>
    </w:p>
    <w:p w14:paraId="26F7AF2C">
      <w:pPr>
        <w:pStyle w:val="15"/>
        <w:spacing w:line="500" w:lineRule="exact"/>
        <w:jc w:val="center"/>
        <w:rPr>
          <w:b/>
          <w:sz w:val="36"/>
          <w:szCs w:val="28"/>
        </w:rPr>
      </w:pPr>
      <w:r>
        <w:rPr>
          <w:rFonts w:hint="eastAsia"/>
          <w:b/>
          <w:sz w:val="36"/>
          <w:szCs w:val="28"/>
        </w:rPr>
        <w:t>目录</w:t>
      </w:r>
    </w:p>
    <w:p w14:paraId="333DA6E9">
      <w:pPr>
        <w:pStyle w:val="15"/>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hAnsi="黑体" w:cs="黑体"/>
          <w:b w:val="0"/>
          <w:bCs/>
          <w:sz w:val="28"/>
          <w:szCs w:val="28"/>
          <w:lang w:val="en-US" w:eastAsia="zh-CN"/>
        </w:rPr>
        <w:t xml:space="preserve"> </w:t>
      </w:r>
      <w:r>
        <w:rPr>
          <w:rFonts w:hint="eastAsia" w:hAnsi="黑体" w:cs="黑体"/>
          <w:b w:val="0"/>
          <w:bCs/>
          <w:sz w:val="28"/>
          <w:szCs w:val="28"/>
          <w:lang w:eastAsia="zh-CN"/>
        </w:rPr>
        <w:t>湖南东洞庭湖国家级自然保护区管理局</w:t>
      </w:r>
      <w:r>
        <w:rPr>
          <w:rFonts w:hint="eastAsia" w:ascii="黑体" w:hAnsi="黑体" w:eastAsia="黑体" w:cs="黑体"/>
          <w:b w:val="0"/>
          <w:bCs/>
          <w:sz w:val="28"/>
          <w:szCs w:val="28"/>
        </w:rPr>
        <w:t>单位概况</w:t>
      </w:r>
    </w:p>
    <w:p w14:paraId="21B57626">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14:paraId="18E7F984">
      <w:pPr>
        <w:pStyle w:val="15"/>
        <w:spacing w:line="500" w:lineRule="exact"/>
        <w:ind w:firstLine="700" w:firstLineChars="25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二、机构设置</w:t>
      </w:r>
      <w:r>
        <w:rPr>
          <w:rFonts w:hint="eastAsia" w:ascii="仿宋_GB2312" w:hAnsi="仿宋_GB2312" w:eastAsia="仿宋_GB2312" w:cs="仿宋_GB2312"/>
          <w:sz w:val="28"/>
          <w:szCs w:val="28"/>
          <w:lang w:eastAsia="zh-CN"/>
        </w:rPr>
        <w:t>及决算单位构成</w:t>
      </w:r>
    </w:p>
    <w:p w14:paraId="26CD3F8A">
      <w:pPr>
        <w:pStyle w:val="15"/>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14:paraId="193AC0A1">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14:paraId="6CB406E4">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14:paraId="2785A5C6">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14:paraId="3FC84EAA">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14:paraId="50EBB715">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14:paraId="3887A25F">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14:paraId="77AECA11">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14:paraId="09777AF4">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14:paraId="6A0B37D8">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14:paraId="68A86D02">
      <w:pPr>
        <w:pStyle w:val="15"/>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14:paraId="571148FE">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14:paraId="19B9E88D">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14:paraId="2632A803">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14:paraId="4B438791">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14:paraId="26C9D3B3">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14:paraId="7058EE40">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14:paraId="7CACA361">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七、政府性基金预算收入支出决算情况</w:t>
      </w:r>
    </w:p>
    <w:p w14:paraId="6D69FB3C">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w:t>
      </w:r>
      <w:r>
        <w:rPr>
          <w:rFonts w:hint="eastAsia" w:ascii="仿宋_GB2312" w:hAnsi="仿宋_GB2312" w:eastAsia="仿宋_GB2312" w:cs="仿宋_GB2312"/>
          <w:sz w:val="28"/>
          <w:szCs w:val="28"/>
        </w:rPr>
        <w:t>国有资本经营预算财政拨款支出决算</w:t>
      </w:r>
      <w:r>
        <w:rPr>
          <w:rFonts w:hint="eastAsia" w:ascii="仿宋_GB2312" w:hAnsi="仿宋_GB2312" w:eastAsia="仿宋_GB2312" w:cs="仿宋_GB2312"/>
          <w:sz w:val="28"/>
          <w:szCs w:val="28"/>
          <w:lang w:eastAsia="zh-CN"/>
        </w:rPr>
        <w:t>情况</w:t>
      </w:r>
    </w:p>
    <w:p w14:paraId="4B1B31F9">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九、财政拨款三公经费支出决算情况说明</w:t>
      </w:r>
    </w:p>
    <w:p w14:paraId="329A60BE">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十、关于机关运行经费支出说明</w:t>
      </w:r>
    </w:p>
    <w:p w14:paraId="581EC122">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十一、一般性支出情况说明</w:t>
      </w:r>
    </w:p>
    <w:p w14:paraId="318DA92B">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十二、</w:t>
      </w:r>
      <w:r>
        <w:rPr>
          <w:rFonts w:hint="eastAsia" w:ascii="仿宋_GB2312" w:hAnsi="仿宋_GB2312" w:eastAsia="仿宋_GB2312" w:cs="仿宋_GB2312"/>
          <w:color w:val="000000"/>
          <w:kern w:val="0"/>
          <w:sz w:val="28"/>
          <w:szCs w:val="28"/>
        </w:rPr>
        <w:t>关于政府采购支出说明</w:t>
      </w:r>
    </w:p>
    <w:p w14:paraId="111A2F73">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十三、关于国有资产占用情况说明</w:t>
      </w:r>
    </w:p>
    <w:p w14:paraId="0AAF3A40">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SA"/>
        </w:rPr>
        <w:t>十四、</w:t>
      </w:r>
      <w:r>
        <w:rPr>
          <w:rFonts w:hint="eastAsia" w:ascii="仿宋_GB2312" w:hAnsi="仿宋_GB2312" w:eastAsia="仿宋_GB2312" w:cs="仿宋_GB2312"/>
          <w:sz w:val="28"/>
          <w:szCs w:val="28"/>
        </w:rPr>
        <w:t>关于</w:t>
      </w:r>
      <w:r>
        <w:rPr>
          <w:rFonts w:hint="default" w:ascii="Times New Roman" w:hAnsi="Times New Roman" w:eastAsia="仿宋_GB2312" w:cs="Times New Roman"/>
          <w:sz w:val="28"/>
          <w:szCs w:val="28"/>
        </w:rPr>
        <w:t>202</w:t>
      </w:r>
      <w:r>
        <w:rPr>
          <w:rFonts w:hint="default" w:ascii="Times New Roman" w:hAnsi="Times New Roman" w:eastAsia="仿宋_GB2312" w:cs="Times New Roman"/>
          <w:sz w:val="28"/>
          <w:szCs w:val="28"/>
          <w:lang w:val="en-US" w:eastAsia="zh-CN"/>
        </w:rPr>
        <w:t>3</w:t>
      </w:r>
      <w:r>
        <w:rPr>
          <w:rFonts w:hint="eastAsia" w:ascii="仿宋_GB2312" w:hAnsi="仿宋_GB2312" w:eastAsia="仿宋_GB2312" w:cs="仿宋_GB2312"/>
          <w:sz w:val="28"/>
          <w:szCs w:val="28"/>
        </w:rPr>
        <w:t>年度</w:t>
      </w:r>
      <w:r>
        <w:rPr>
          <w:rFonts w:hint="eastAsia" w:ascii="仿宋_GB2312" w:hAnsi="仿宋_GB2312" w:eastAsia="仿宋_GB2312" w:cs="仿宋_GB2312"/>
          <w:sz w:val="28"/>
          <w:szCs w:val="28"/>
          <w:lang w:eastAsia="zh-CN"/>
        </w:rPr>
        <w:t>预算</w:t>
      </w:r>
      <w:r>
        <w:rPr>
          <w:rFonts w:hint="eastAsia" w:ascii="仿宋_GB2312" w:hAnsi="仿宋_GB2312" w:eastAsia="仿宋_GB2312" w:cs="仿宋_GB2312"/>
          <w:sz w:val="28"/>
          <w:szCs w:val="28"/>
        </w:rPr>
        <w:t>绩效情况的说明</w:t>
      </w:r>
    </w:p>
    <w:p w14:paraId="3915718E">
      <w:pPr>
        <w:pStyle w:val="15"/>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14:paraId="3978D898">
      <w:pPr>
        <w:pStyle w:val="15"/>
        <w:spacing w:line="500" w:lineRule="exact"/>
        <w:rPr>
          <w:rFonts w:hint="eastAsia" w:ascii="黑体" w:hAnsi="黑体" w:eastAsia="黑体" w:cs="黑体"/>
          <w:b w:val="0"/>
          <w:bCs/>
          <w:sz w:val="28"/>
          <w:szCs w:val="28"/>
          <w:lang w:eastAsia="zh-CN"/>
        </w:rPr>
      </w:pPr>
      <w:r>
        <w:rPr>
          <w:rFonts w:hint="eastAsia" w:ascii="黑体" w:hAnsi="黑体" w:eastAsia="黑体" w:cs="黑体"/>
          <w:b w:val="0"/>
          <w:bCs/>
          <w:sz w:val="28"/>
          <w:szCs w:val="28"/>
        </w:rPr>
        <w:t>第</w:t>
      </w:r>
      <w:r>
        <w:rPr>
          <w:rFonts w:hint="eastAsia" w:hAnsi="黑体" w:cs="黑体"/>
          <w:b w:val="0"/>
          <w:bCs/>
          <w:sz w:val="28"/>
          <w:szCs w:val="28"/>
          <w:lang w:eastAsia="zh-CN"/>
        </w:rPr>
        <w:t>五</w:t>
      </w:r>
      <w:r>
        <w:rPr>
          <w:rFonts w:hint="eastAsia" w:ascii="黑体" w:hAnsi="黑体" w:eastAsia="黑体" w:cs="黑体"/>
          <w:b w:val="0"/>
          <w:bCs/>
          <w:sz w:val="28"/>
          <w:szCs w:val="28"/>
        </w:rPr>
        <w:t>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附件</w:t>
      </w:r>
    </w:p>
    <w:p w14:paraId="17E0D570">
      <w:pPr>
        <w:pStyle w:val="15"/>
        <w:jc w:val="center"/>
        <w:rPr>
          <w:rFonts w:hint="eastAsia" w:ascii="方正小标宋_GBK" w:hAnsi="方正小标宋_GBK" w:eastAsia="方正小标宋_GBK" w:cs="方正小标宋_GBK"/>
          <w:sz w:val="84"/>
          <w:szCs w:val="84"/>
        </w:rPr>
      </w:pPr>
    </w:p>
    <w:p w14:paraId="6CF04594">
      <w:pPr>
        <w:pStyle w:val="15"/>
        <w:jc w:val="center"/>
        <w:rPr>
          <w:rFonts w:hint="eastAsia" w:ascii="方正小标宋_GBK" w:hAnsi="方正小标宋_GBK" w:eastAsia="方正小标宋_GBK" w:cs="方正小标宋_GBK"/>
          <w:sz w:val="84"/>
          <w:szCs w:val="84"/>
        </w:rPr>
      </w:pPr>
    </w:p>
    <w:p w14:paraId="79E723E9">
      <w:pPr>
        <w:pStyle w:val="15"/>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14:paraId="45475E2B">
      <w:pPr>
        <w:pStyle w:val="15"/>
        <w:jc w:val="center"/>
        <w:rPr>
          <w:rFonts w:hint="eastAsia" w:ascii="方正小标宋_GBK" w:hAnsi="方正小标宋_GBK" w:eastAsia="方正小标宋_GBK" w:cs="方正小标宋_GBK"/>
          <w:sz w:val="84"/>
          <w:szCs w:val="84"/>
        </w:rPr>
      </w:pPr>
    </w:p>
    <w:p w14:paraId="2DADA217">
      <w:pPr>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eastAsia="zh-CN"/>
        </w:rPr>
        <w:t>湖南东洞庭湖国家级自然保护区管理局单位</w:t>
      </w:r>
      <w:r>
        <w:rPr>
          <w:rFonts w:hint="eastAsia" w:ascii="方正小标宋_GBK" w:hAnsi="方正小标宋_GBK" w:eastAsia="方正小标宋_GBK" w:cs="方正小标宋_GBK"/>
          <w:sz w:val="84"/>
          <w:szCs w:val="84"/>
        </w:rPr>
        <w:t>概况</w:t>
      </w:r>
    </w:p>
    <w:p w14:paraId="226CBACB">
      <w:pPr>
        <w:pStyle w:val="10"/>
        <w:rPr>
          <w:rFonts w:hint="eastAsia" w:ascii="方正小标宋_GBK" w:hAnsi="方正小标宋_GBK" w:eastAsia="方正小标宋_GBK" w:cs="方正小标宋_GBK"/>
          <w:sz w:val="84"/>
          <w:szCs w:val="84"/>
        </w:rPr>
      </w:pPr>
    </w:p>
    <w:p w14:paraId="0353DD23">
      <w:pPr>
        <w:pStyle w:val="7"/>
        <w:rPr>
          <w:rFonts w:hint="eastAsia" w:ascii="方正小标宋_GBK" w:hAnsi="方正小标宋_GBK" w:eastAsia="方正小标宋_GBK" w:cs="方正小标宋_GBK"/>
          <w:sz w:val="84"/>
          <w:szCs w:val="84"/>
        </w:rPr>
      </w:pPr>
    </w:p>
    <w:p w14:paraId="255A26EE">
      <w:pPr>
        <w:rPr>
          <w:rFonts w:hint="eastAsia" w:ascii="方正小标宋_GBK" w:hAnsi="方正小标宋_GBK" w:eastAsia="方正小标宋_GBK" w:cs="方正小标宋_GBK"/>
          <w:sz w:val="84"/>
          <w:szCs w:val="84"/>
        </w:rPr>
      </w:pPr>
    </w:p>
    <w:p w14:paraId="35C49835">
      <w:pPr>
        <w:pStyle w:val="10"/>
        <w:rPr>
          <w:rFonts w:hint="eastAsia" w:ascii="方正小标宋_GBK" w:hAnsi="方正小标宋_GBK" w:eastAsia="方正小标宋_GBK" w:cs="方正小标宋_GBK"/>
          <w:sz w:val="84"/>
          <w:szCs w:val="84"/>
        </w:rPr>
      </w:pPr>
    </w:p>
    <w:p w14:paraId="066416A6">
      <w:pPr>
        <w:pStyle w:val="7"/>
        <w:rPr>
          <w:rFonts w:hint="eastAsia" w:ascii="方正小标宋_GBK" w:hAnsi="方正小标宋_GBK" w:eastAsia="方正小标宋_GBK" w:cs="方正小标宋_GBK"/>
          <w:sz w:val="84"/>
          <w:szCs w:val="84"/>
        </w:rPr>
      </w:pPr>
    </w:p>
    <w:p w14:paraId="08F1D297">
      <w:pPr>
        <w:pStyle w:val="16"/>
        <w:numPr>
          <w:ilvl w:val="0"/>
          <w:numId w:val="1"/>
        </w:numPr>
        <w:ind w:firstLineChars="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部门职责</w:t>
      </w:r>
    </w:p>
    <w:p w14:paraId="1F572D86">
      <w:pPr>
        <w:keepNext/>
        <w:keepLines/>
        <w:shd w:val="clear" w:color="auto" w:fill="FFFFFF"/>
        <w:spacing w:beforeLines="0" w:afterLines="0"/>
        <w:ind w:firstLine="640"/>
        <w:jc w:val="left"/>
        <w:rPr>
          <w:rFonts w:hint="eastAsia" w:ascii="Times New Roman" w:hAnsi="Times New Roman" w:eastAsia="仿宋_GB2312" w:cs="仿宋_GB2312"/>
          <w:sz w:val="32"/>
          <w:szCs w:val="32"/>
        </w:rPr>
      </w:pPr>
      <w:r>
        <w:rPr>
          <w:rFonts w:hint="eastAsia" w:ascii="宋体" w:hAnsi="宋体" w:cs="黑体"/>
          <w:kern w:val="0"/>
          <w:sz w:val="32"/>
          <w:szCs w:val="32"/>
        </w:rPr>
        <w:t>湖南东洞庭湖国家级自然保护区是湖南省最早成立的湿地类型保护区，主要保护对为区域内以鸟类、麋鹿等为代表的野生动物资源及其栖息地和以东洞庭湖为主体的湿地生态系统。东洞庭湖是洞庭湖的本底湖，其独特和多样化的湿地生态环境，孕育和承载了极其丰富的湿地自然资源。</w:t>
      </w:r>
    </w:p>
    <w:p w14:paraId="78592981">
      <w:pPr>
        <w:widowControl/>
        <w:spacing w:line="600" w:lineRule="exac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14:paraId="4D6B0E78">
      <w:pPr>
        <w:widowControl/>
        <w:spacing w:line="600" w:lineRule="exact"/>
        <w:ind w:firstLine="960" w:firstLineChars="300"/>
        <w:rPr>
          <w:rFonts w:hint="eastAsia" w:ascii="Times New Roman" w:hAnsi="Times New Roman" w:eastAsia="仿宋_GB2312" w:cs="仿宋_GB2312"/>
          <w:bCs/>
          <w:color w:val="0000FF"/>
          <w:kern w:val="0"/>
          <w:sz w:val="32"/>
          <w:szCs w:val="32"/>
        </w:rPr>
      </w:pPr>
      <w:r>
        <w:rPr>
          <w:rFonts w:hint="eastAsia" w:ascii="Times New Roman" w:hAnsi="Times New Roman" w:eastAsia="仿宋_GB2312" w:cs="仿宋_GB2312"/>
          <w:bCs/>
          <w:kern w:val="0"/>
          <w:sz w:val="32"/>
          <w:szCs w:val="32"/>
        </w:rPr>
        <w:t>（一）内设机构设置。</w:t>
      </w:r>
      <w:r>
        <w:rPr>
          <w:rFonts w:hint="eastAsia" w:ascii="宋体" w:hAnsi="宋体" w:cs="黑体"/>
          <w:kern w:val="0"/>
          <w:sz w:val="32"/>
          <w:szCs w:val="32"/>
        </w:rPr>
        <w:t>单位内设机构包括：湖南东洞庭湖国家级自然保护区管理局，为副处级公益一类事业单位，内设机构:办公室、人事科、科技科、保护科、财务科、项目办、党办；下设6个副科级分支机构：采桑湖管理站、丁字堤管理站、红旗湖管理站、春风管理站、君山后湖管理站、野生动物救护中心。</w:t>
      </w:r>
    </w:p>
    <w:p w14:paraId="34C2A770">
      <w:pPr>
        <w:widowControl/>
        <w:spacing w:line="600" w:lineRule="exact"/>
        <w:ind w:firstLine="630" w:firstLineChars="300"/>
        <w:rPr>
          <w:rFonts w:hint="eastAsia"/>
        </w:rPr>
      </w:pPr>
    </w:p>
    <w:p w14:paraId="642E8E5D">
      <w:pPr>
        <w:widowControl/>
        <w:spacing w:line="600" w:lineRule="exact"/>
        <w:ind w:firstLine="960" w:firstLineChars="300"/>
        <w:rPr>
          <w:rFonts w:hint="eastAsia" w:ascii="宋体" w:hAnsi="宋体" w:cs="黑体"/>
          <w:kern w:val="0"/>
          <w:sz w:val="32"/>
          <w:szCs w:val="32"/>
        </w:rPr>
      </w:pPr>
      <w:r>
        <w:rPr>
          <w:rFonts w:hint="eastAsia" w:ascii="Times New Roman" w:hAnsi="Times New Roman" w:eastAsia="仿宋_GB2312" w:cs="仿宋_GB2312"/>
          <w:bCs/>
          <w:kern w:val="0"/>
          <w:sz w:val="32"/>
          <w:szCs w:val="32"/>
        </w:rPr>
        <w:t>（二）决算单位构成。</w:t>
      </w:r>
      <w:r>
        <w:rPr>
          <w:rFonts w:hint="eastAsia" w:ascii="宋体" w:hAnsi="宋体" w:cs="黑体"/>
          <w:kern w:val="0"/>
          <w:sz w:val="32"/>
          <w:szCs w:val="32"/>
        </w:rPr>
        <w:t>本单位无独立核算的下属单位，202</w:t>
      </w:r>
      <w:r>
        <w:rPr>
          <w:rFonts w:hint="eastAsia" w:ascii="宋体" w:hAnsi="宋体" w:cs="黑体"/>
          <w:kern w:val="0"/>
          <w:sz w:val="32"/>
          <w:szCs w:val="32"/>
          <w:lang w:val="en-US" w:eastAsia="zh-CN"/>
        </w:rPr>
        <w:t>3</w:t>
      </w:r>
      <w:r>
        <w:rPr>
          <w:rFonts w:hint="eastAsia" w:ascii="宋体" w:hAnsi="宋体" w:cs="黑体"/>
          <w:kern w:val="0"/>
          <w:sz w:val="32"/>
          <w:szCs w:val="32"/>
        </w:rPr>
        <w:t>年度部门决算汇总公开单位仅包括湖南东洞庭湖国家级自然保护区管理局单位本级。</w:t>
      </w:r>
    </w:p>
    <w:p w14:paraId="47B5F833">
      <w:pPr>
        <w:jc w:val="left"/>
        <w:rPr>
          <w:rFonts w:ascii="仿宋_GB2312" w:eastAsia="仿宋_GB2312" w:hAnsiTheme="minorEastAsia"/>
          <w:sz w:val="28"/>
          <w:szCs w:val="32"/>
        </w:rPr>
      </w:pPr>
    </w:p>
    <w:p w14:paraId="389AB76B"/>
    <w:p w14:paraId="7A90BB1D">
      <w:pPr>
        <w:pStyle w:val="10"/>
      </w:pPr>
    </w:p>
    <w:p w14:paraId="023791A1">
      <w:pPr>
        <w:pStyle w:val="7"/>
      </w:pPr>
    </w:p>
    <w:p w14:paraId="51A8794B"/>
    <w:p w14:paraId="4458DBF5">
      <w:pPr>
        <w:pStyle w:val="10"/>
      </w:pPr>
    </w:p>
    <w:p w14:paraId="4B882537">
      <w:pPr>
        <w:pStyle w:val="7"/>
      </w:pPr>
    </w:p>
    <w:p w14:paraId="525404FA"/>
    <w:p w14:paraId="136FEA02">
      <w:pPr>
        <w:pStyle w:val="10"/>
      </w:pPr>
    </w:p>
    <w:p w14:paraId="49AEA06C">
      <w:pPr>
        <w:pStyle w:val="7"/>
      </w:pPr>
    </w:p>
    <w:p w14:paraId="370827F1"/>
    <w:p w14:paraId="337FC8C2">
      <w:pPr>
        <w:pStyle w:val="10"/>
      </w:pPr>
    </w:p>
    <w:p w14:paraId="3E153842">
      <w:pPr>
        <w:pStyle w:val="7"/>
      </w:pPr>
    </w:p>
    <w:p w14:paraId="35110B47"/>
    <w:p w14:paraId="5DD01F98">
      <w:pPr>
        <w:pStyle w:val="10"/>
      </w:pPr>
    </w:p>
    <w:p w14:paraId="6E18CB02">
      <w:pPr>
        <w:pStyle w:val="7"/>
      </w:pPr>
    </w:p>
    <w:p w14:paraId="1BF79359"/>
    <w:p w14:paraId="158747F4">
      <w:pPr>
        <w:pStyle w:val="10"/>
      </w:pPr>
    </w:p>
    <w:p w14:paraId="5C487F13">
      <w:pPr>
        <w:pStyle w:val="7"/>
      </w:pPr>
    </w:p>
    <w:p w14:paraId="27A1E421"/>
    <w:p w14:paraId="1F0C7577">
      <w:pPr>
        <w:pStyle w:val="10"/>
      </w:pPr>
    </w:p>
    <w:p w14:paraId="460CE447">
      <w:pPr>
        <w:pStyle w:val="7"/>
      </w:pPr>
    </w:p>
    <w:p w14:paraId="2D2BD983"/>
    <w:p w14:paraId="7C76F0E4">
      <w:pPr>
        <w:pStyle w:val="10"/>
      </w:pPr>
    </w:p>
    <w:p w14:paraId="3AF24E7E">
      <w:pPr>
        <w:pStyle w:val="7"/>
      </w:pPr>
    </w:p>
    <w:p w14:paraId="4F398680"/>
    <w:p w14:paraId="0E17EEDF">
      <w:pPr>
        <w:pStyle w:val="15"/>
        <w:jc w:val="center"/>
        <w:rPr>
          <w:rFonts w:hint="eastAsia" w:ascii="方正小标宋_GBK" w:hAnsi="方正小标宋_GBK" w:eastAsia="方正小标宋_GBK" w:cs="方正小标宋_GBK"/>
          <w:sz w:val="84"/>
          <w:szCs w:val="84"/>
        </w:rPr>
      </w:pPr>
    </w:p>
    <w:p w14:paraId="374A3731">
      <w:pPr>
        <w:pStyle w:val="15"/>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14:paraId="78025EEA">
      <w:pPr>
        <w:pStyle w:val="15"/>
        <w:jc w:val="center"/>
        <w:rPr>
          <w:rFonts w:hint="eastAsia" w:ascii="方正小标宋_GBK" w:hAnsi="方正小标宋_GBK" w:eastAsia="方正小标宋_GBK" w:cs="方正小标宋_GBK"/>
          <w:sz w:val="84"/>
          <w:szCs w:val="84"/>
        </w:rPr>
      </w:pPr>
    </w:p>
    <w:p w14:paraId="55D0F9BA">
      <w:pPr>
        <w:pStyle w:val="15"/>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14:paraId="03E58E24">
      <w:pPr>
        <w:pStyle w:val="15"/>
        <w:jc w:val="center"/>
        <w:rPr>
          <w:rFonts w:hint="eastAsia" w:ascii="仿宋_GB2312" w:hAnsi="仿宋_GB2312" w:eastAsia="仿宋_GB2312" w:cs="仿宋_GB2312"/>
          <w:b w:val="0"/>
          <w:bCs w:val="0"/>
          <w:sz w:val="72"/>
          <w:szCs w:val="72"/>
          <w:lang w:eastAsia="zh-CN"/>
        </w:rPr>
      </w:pPr>
      <w:r>
        <w:rPr>
          <w:rFonts w:hint="eastAsia" w:ascii="仿宋_GB2312" w:hAnsi="仿宋_GB2312" w:eastAsia="仿宋_GB2312" w:cs="仿宋_GB2312"/>
          <w:b w:val="0"/>
          <w:bCs w:val="0"/>
          <w:sz w:val="72"/>
          <w:szCs w:val="72"/>
          <w:lang w:eastAsia="zh-CN"/>
        </w:rPr>
        <w:t>（见附件）</w:t>
      </w:r>
    </w:p>
    <w:p w14:paraId="2F634019">
      <w:pPr>
        <w:pStyle w:val="15"/>
        <w:jc w:val="center"/>
        <w:rPr>
          <w:rFonts w:hint="eastAsia" w:ascii="仿宋_GB2312" w:hAnsi="仿宋_GB2312" w:eastAsia="仿宋_GB2312" w:cs="仿宋_GB2312"/>
          <w:b w:val="0"/>
          <w:bCs w:val="0"/>
          <w:sz w:val="72"/>
          <w:szCs w:val="72"/>
          <w:lang w:eastAsia="zh-CN"/>
        </w:rPr>
      </w:pPr>
    </w:p>
    <w:p w14:paraId="20CAC9E6">
      <w:pPr>
        <w:pStyle w:val="15"/>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14:paraId="5314B12C">
      <w:pPr>
        <w:pStyle w:val="15"/>
        <w:jc w:val="center"/>
        <w:rPr>
          <w:rFonts w:hint="eastAsia" w:ascii="方正小标宋_GBK" w:hAnsi="方正小标宋_GBK" w:eastAsia="方正小标宋_GBK" w:cs="方正小标宋_GBK"/>
          <w:sz w:val="70"/>
          <w:szCs w:val="70"/>
        </w:rPr>
      </w:pPr>
    </w:p>
    <w:p w14:paraId="3B3822F6">
      <w:pPr>
        <w:pStyle w:val="15"/>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3</w:t>
      </w:r>
      <w:r>
        <w:rPr>
          <w:rFonts w:hint="eastAsia" w:ascii="方正小标宋_GBK" w:hAnsi="方正小标宋_GBK" w:eastAsia="方正小标宋_GBK" w:cs="方正小标宋_GBK"/>
          <w:sz w:val="70"/>
          <w:szCs w:val="70"/>
        </w:rPr>
        <w:t>年度部门决算情况说明</w:t>
      </w:r>
    </w:p>
    <w:p w14:paraId="6FE25413">
      <w:pPr>
        <w:pStyle w:val="15"/>
        <w:jc w:val="center"/>
        <w:rPr>
          <w:rFonts w:hint="eastAsia" w:ascii="方正小标宋_GBK" w:hAnsi="方正小标宋_GBK" w:eastAsia="方正小标宋_GBK" w:cs="方正小标宋_GBK"/>
          <w:sz w:val="70"/>
          <w:szCs w:val="70"/>
        </w:rPr>
      </w:pPr>
    </w:p>
    <w:p w14:paraId="19800CBE">
      <w:pPr>
        <w:pStyle w:val="15"/>
        <w:jc w:val="center"/>
        <w:rPr>
          <w:rFonts w:hint="eastAsia" w:ascii="方正小标宋_GBK" w:hAnsi="方正小标宋_GBK" w:eastAsia="方正小标宋_GBK" w:cs="方正小标宋_GBK"/>
          <w:sz w:val="70"/>
          <w:szCs w:val="70"/>
        </w:rPr>
      </w:pPr>
    </w:p>
    <w:p w14:paraId="7FFE2872">
      <w:pPr>
        <w:pStyle w:val="15"/>
        <w:jc w:val="center"/>
        <w:rPr>
          <w:rFonts w:hint="eastAsia" w:ascii="方正小标宋_GBK" w:hAnsi="方正小标宋_GBK" w:eastAsia="方正小标宋_GBK" w:cs="方正小标宋_GBK"/>
          <w:sz w:val="70"/>
          <w:szCs w:val="70"/>
        </w:rPr>
      </w:pPr>
    </w:p>
    <w:p w14:paraId="275DB75A">
      <w:pPr>
        <w:pStyle w:val="15"/>
        <w:jc w:val="center"/>
        <w:rPr>
          <w:rFonts w:hint="eastAsia" w:ascii="方正小标宋_GBK" w:hAnsi="方正小标宋_GBK" w:eastAsia="方正小标宋_GBK" w:cs="方正小标宋_GBK"/>
          <w:sz w:val="70"/>
          <w:szCs w:val="70"/>
        </w:rPr>
      </w:pPr>
    </w:p>
    <w:p w14:paraId="047AF403">
      <w:pPr>
        <w:pStyle w:val="15"/>
        <w:jc w:val="center"/>
        <w:rPr>
          <w:rFonts w:hint="eastAsia" w:ascii="方正小标宋_GBK" w:hAnsi="方正小标宋_GBK" w:eastAsia="方正小标宋_GBK" w:cs="方正小标宋_GBK"/>
          <w:sz w:val="70"/>
          <w:szCs w:val="70"/>
        </w:rPr>
      </w:pPr>
    </w:p>
    <w:p w14:paraId="3EDE119F">
      <w:pPr>
        <w:pStyle w:val="15"/>
        <w:jc w:val="center"/>
        <w:rPr>
          <w:rFonts w:hint="eastAsia" w:ascii="方正小标宋_GBK" w:hAnsi="方正小标宋_GBK" w:eastAsia="方正小标宋_GBK" w:cs="方正小标宋_GBK"/>
          <w:sz w:val="70"/>
          <w:szCs w:val="70"/>
        </w:rPr>
      </w:pPr>
    </w:p>
    <w:p w14:paraId="26AEE1E4">
      <w:pPr>
        <w:widowControl/>
        <w:ind w:firstLine="640" w:firstLineChars="200"/>
        <w:jc w:val="left"/>
        <w:rPr>
          <w:rFonts w:hint="eastAsia" w:ascii="仿宋_GB2312" w:hAnsi="仿宋_GB2312" w:eastAsia="仿宋_GB2312" w:cs="仿宋_GB2312"/>
          <w:sz w:val="32"/>
          <w:szCs w:val="32"/>
        </w:rPr>
      </w:pPr>
    </w:p>
    <w:p w14:paraId="2DBAA45E">
      <w:pPr>
        <w:widowControl/>
        <w:ind w:firstLine="640" w:firstLineChars="200"/>
        <w:jc w:val="left"/>
        <w:rPr>
          <w:rFonts w:hint="eastAsia" w:ascii="仿宋_GB2312" w:hAnsi="仿宋_GB2312" w:eastAsia="仿宋_GB2312" w:cs="仿宋_GB2312"/>
          <w:sz w:val="32"/>
          <w:szCs w:val="32"/>
        </w:rPr>
      </w:pPr>
    </w:p>
    <w:p w14:paraId="17807EC4">
      <w:pPr>
        <w:widowControl/>
        <w:ind w:firstLine="640" w:firstLineChars="200"/>
        <w:jc w:val="left"/>
        <w:rPr>
          <w:rFonts w:hint="eastAsia" w:ascii="仿宋_GB2312" w:hAnsi="仿宋_GB2312" w:eastAsia="仿宋_GB2312" w:cs="仿宋_GB2312"/>
          <w:sz w:val="32"/>
          <w:szCs w:val="32"/>
        </w:rPr>
      </w:pPr>
    </w:p>
    <w:p w14:paraId="4AAC9C2A">
      <w:pPr>
        <w:widowControl/>
        <w:ind w:firstLine="640" w:firstLineChars="200"/>
        <w:jc w:val="left"/>
        <w:rPr>
          <w:rFonts w:hint="eastAsia" w:ascii="仿宋_GB2312" w:hAnsi="仿宋_GB2312" w:eastAsia="仿宋_GB2312" w:cs="仿宋_GB2312"/>
          <w:sz w:val="32"/>
          <w:szCs w:val="32"/>
        </w:rPr>
      </w:pPr>
    </w:p>
    <w:p w14:paraId="17707F60">
      <w:pPr>
        <w:widowControl/>
        <w:ind w:firstLine="640" w:firstLineChars="200"/>
        <w:jc w:val="left"/>
        <w:rPr>
          <w:rFonts w:hint="eastAsia" w:ascii="仿宋_GB2312" w:hAnsi="仿宋_GB2312" w:eastAsia="仿宋_GB2312" w:cs="仿宋_GB2312"/>
          <w:sz w:val="32"/>
          <w:szCs w:val="32"/>
        </w:rPr>
      </w:pPr>
    </w:p>
    <w:p w14:paraId="5675F78B">
      <w:pPr>
        <w:widowControl/>
        <w:ind w:firstLine="640" w:firstLineChars="200"/>
        <w:jc w:val="left"/>
        <w:rPr>
          <w:rFonts w:hint="eastAsia" w:ascii="仿宋_GB2312" w:hAnsi="仿宋_GB2312" w:eastAsia="仿宋_GB2312" w:cs="仿宋_GB2312"/>
          <w:sz w:val="32"/>
          <w:szCs w:val="32"/>
        </w:rPr>
      </w:pPr>
    </w:p>
    <w:p w14:paraId="3535F72F">
      <w:pPr>
        <w:widowControl/>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说明：</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由于</w:t>
      </w:r>
      <w:r>
        <w:rPr>
          <w:rFonts w:hint="eastAsia" w:ascii="仿宋_GB2312" w:hAnsi="仿宋_GB2312" w:eastAsia="仿宋_GB2312" w:cs="仿宋_GB2312"/>
          <w:sz w:val="32"/>
          <w:szCs w:val="32"/>
          <w:lang w:eastAsia="zh-CN"/>
        </w:rPr>
        <w:t>部门</w:t>
      </w:r>
      <w:r>
        <w:rPr>
          <w:rFonts w:hint="eastAsia" w:ascii="仿宋_GB2312" w:hAnsi="仿宋_GB2312" w:eastAsia="仿宋_GB2312" w:cs="仿宋_GB2312"/>
          <w:sz w:val="32"/>
          <w:szCs w:val="32"/>
        </w:rPr>
        <w:t>决算编制时</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明细</w:t>
      </w:r>
      <w:r>
        <w:rPr>
          <w:rFonts w:hint="eastAsia" w:ascii="仿宋_GB2312" w:hAnsi="仿宋_GB2312" w:eastAsia="仿宋_GB2312" w:cs="仿宋_GB2312"/>
          <w:sz w:val="32"/>
          <w:szCs w:val="32"/>
          <w:lang w:eastAsia="zh-CN"/>
        </w:rPr>
        <w:t>至“金额单位：元</w:t>
      </w:r>
      <w:r>
        <w:rPr>
          <w:rFonts w:hint="eastAsia" w:ascii="仿宋_GB2312" w:hAnsi="仿宋_GB2312" w:eastAsia="仿宋_GB2312" w:cs="仿宋_GB2312"/>
          <w:sz w:val="32"/>
          <w:szCs w:val="32"/>
        </w:rPr>
        <w:t>”，而</w:t>
      </w:r>
      <w:r>
        <w:rPr>
          <w:rFonts w:hint="eastAsia" w:ascii="仿宋_GB2312" w:hAnsi="仿宋_GB2312" w:eastAsia="仿宋_GB2312" w:cs="仿宋_GB2312"/>
          <w:sz w:val="32"/>
          <w:szCs w:val="32"/>
          <w:lang w:eastAsia="zh-CN"/>
        </w:rPr>
        <w:t>本套部门决算文字说明</w:t>
      </w:r>
      <w:r>
        <w:rPr>
          <w:rFonts w:hint="eastAsia" w:ascii="仿宋_GB2312" w:hAnsi="仿宋_GB2312" w:eastAsia="仿宋_GB2312" w:cs="仿宋_GB2312"/>
          <w:sz w:val="32"/>
          <w:szCs w:val="32"/>
        </w:rPr>
        <w:t>和公开表格</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取数</w:t>
      </w:r>
      <w:r>
        <w:rPr>
          <w:rFonts w:hint="eastAsia" w:ascii="仿宋_GB2312" w:hAnsi="仿宋_GB2312" w:eastAsia="仿宋_GB2312" w:cs="仿宋_GB2312"/>
          <w:sz w:val="32"/>
          <w:szCs w:val="32"/>
          <w:lang w:eastAsia="zh-CN"/>
        </w:rPr>
        <w:t>转换为</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金额单位：</w:t>
      </w:r>
      <w:r>
        <w:rPr>
          <w:rFonts w:hint="eastAsia" w:ascii="仿宋_GB2312" w:hAnsi="仿宋_GB2312" w:eastAsia="仿宋_GB2312" w:cs="仿宋_GB2312"/>
          <w:sz w:val="32"/>
          <w:szCs w:val="32"/>
        </w:rPr>
        <w:t>万元”，可能导致</w:t>
      </w:r>
      <w:r>
        <w:rPr>
          <w:rFonts w:hint="eastAsia" w:ascii="仿宋_GB2312" w:hAnsi="仿宋_GB2312" w:eastAsia="仿宋_GB2312" w:cs="仿宋_GB2312"/>
          <w:sz w:val="32"/>
          <w:szCs w:val="32"/>
          <w:lang w:eastAsia="zh-CN"/>
        </w:rPr>
        <w:t>以下文字说明中的各项数据取数以及公开</w:t>
      </w:r>
      <w:r>
        <w:rPr>
          <w:rFonts w:hint="eastAsia" w:ascii="仿宋_GB2312" w:hAnsi="仿宋_GB2312" w:eastAsia="仿宋_GB2312" w:cs="仿宋_GB2312"/>
          <w:sz w:val="32"/>
          <w:szCs w:val="32"/>
        </w:rPr>
        <w:t>表格</w:t>
      </w:r>
      <w:r>
        <w:rPr>
          <w:rFonts w:hint="eastAsia" w:ascii="仿宋_GB2312" w:hAnsi="仿宋_GB2312" w:eastAsia="仿宋_GB2312" w:cs="仿宋_GB2312"/>
          <w:sz w:val="32"/>
          <w:szCs w:val="32"/>
          <w:lang w:eastAsia="zh-CN"/>
        </w:rPr>
        <w:t>中的各项数据取数之间存在</w:t>
      </w:r>
      <w:r>
        <w:rPr>
          <w:rFonts w:hint="eastAsia" w:ascii="仿宋_GB2312" w:hAnsi="仿宋_GB2312" w:eastAsia="仿宋_GB2312" w:cs="仿宋_GB2312"/>
          <w:sz w:val="32"/>
          <w:szCs w:val="32"/>
        </w:rPr>
        <w:t>0.01的尾数差异。</w:t>
      </w:r>
      <w:r>
        <w:rPr>
          <w:rFonts w:hint="eastAsia" w:ascii="仿宋_GB2312" w:hAnsi="仿宋_GB2312" w:eastAsia="仿宋_GB2312" w:cs="仿宋_GB2312"/>
          <w:sz w:val="32"/>
          <w:szCs w:val="32"/>
          <w:lang w:val="en-US" w:eastAsia="zh-CN"/>
        </w:rPr>
        <w:t>2、以下文字说明中，部分科目由于预算数为0，无法计算完成年初预算的百分比，故未描述“</w:t>
      </w:r>
      <w:r>
        <w:rPr>
          <w:rFonts w:hint="eastAsia" w:ascii="仿宋_GB2312" w:hAnsi="仿宋_GB2312" w:eastAsia="仿宋_GB2312" w:cs="仿宋_GB2312"/>
          <w:sz w:val="32"/>
          <w:szCs w:val="32"/>
        </w:rPr>
        <w:t>完成年初预算的XX%</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w:t>
      </w:r>
    </w:p>
    <w:p w14:paraId="2220AA6F">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14:paraId="712FAF16">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年度收、支总计</w:t>
      </w:r>
      <w:r>
        <w:rPr>
          <w:rFonts w:hint="eastAsia" w:ascii="仿宋_GB2312" w:hAnsi="仿宋_GB2312" w:eastAsia="仿宋_GB2312" w:cs="仿宋_GB2312"/>
          <w:sz w:val="32"/>
          <w:szCs w:val="32"/>
          <w:lang w:val="en-US" w:eastAsia="zh-CN"/>
        </w:rPr>
        <w:t>5080.46</w:t>
      </w:r>
      <w:r>
        <w:rPr>
          <w:rFonts w:hint="eastAsia" w:ascii="仿宋_GB2312" w:hAnsi="仿宋_GB2312" w:eastAsia="仿宋_GB2312" w:cs="仿宋_GB2312"/>
          <w:sz w:val="32"/>
          <w:szCs w:val="32"/>
        </w:rPr>
        <w:t>万元。与上年相比，增加</w:t>
      </w:r>
      <w:r>
        <w:rPr>
          <w:rFonts w:hint="eastAsia" w:ascii="仿宋_GB2312" w:hAnsi="仿宋_GB2312" w:eastAsia="仿宋_GB2312" w:cs="仿宋_GB2312"/>
          <w:sz w:val="32"/>
          <w:szCs w:val="32"/>
          <w:lang w:val="en-US" w:eastAsia="zh-CN"/>
        </w:rPr>
        <w:t>1301.9</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34.45</w:t>
      </w:r>
      <w:r>
        <w:rPr>
          <w:rFonts w:hint="eastAsia" w:ascii="仿宋_GB2312" w:hAnsi="仿宋_GB2312" w:eastAsia="仿宋_GB2312" w:cs="仿宋_GB2312"/>
          <w:sz w:val="32"/>
          <w:szCs w:val="32"/>
        </w:rPr>
        <w:t>%，主要是因为</w:t>
      </w:r>
      <w:r>
        <w:rPr>
          <w:rFonts w:hint="eastAsia" w:ascii="Times New Roman" w:hAnsi="Times New Roman" w:eastAsia="仿宋_GB2312"/>
          <w:sz w:val="32"/>
          <w:szCs w:val="32"/>
        </w:rPr>
        <w:t>项目收支较上年度</w:t>
      </w:r>
      <w:r>
        <w:rPr>
          <w:rFonts w:hint="eastAsia" w:ascii="Times New Roman" w:hAnsi="Times New Roman" w:eastAsia="仿宋_GB2312"/>
          <w:sz w:val="32"/>
          <w:szCs w:val="32"/>
          <w:lang w:eastAsia="zh-CN"/>
        </w:rPr>
        <w:t>增加。</w:t>
      </w:r>
    </w:p>
    <w:p w14:paraId="1E29E7E0">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14:paraId="773CC29B">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年度收入合计</w:t>
      </w:r>
      <w:r>
        <w:rPr>
          <w:rFonts w:hint="eastAsia" w:ascii="仿宋_GB2312" w:hAnsi="仿宋_GB2312" w:eastAsia="仿宋_GB2312" w:cs="仿宋_GB2312"/>
          <w:sz w:val="32"/>
          <w:szCs w:val="32"/>
          <w:lang w:val="en-US" w:eastAsia="zh-CN"/>
        </w:rPr>
        <w:t>4860.22</w:t>
      </w:r>
      <w:r>
        <w:rPr>
          <w:rFonts w:hint="eastAsia" w:ascii="仿宋_GB2312" w:hAnsi="仿宋_GB2312" w:eastAsia="仿宋_GB2312" w:cs="仿宋_GB2312"/>
          <w:sz w:val="32"/>
          <w:szCs w:val="32"/>
        </w:rPr>
        <w:t>万元，其中：财政拨款收入</w:t>
      </w:r>
      <w:r>
        <w:rPr>
          <w:rFonts w:hint="eastAsia" w:ascii="仿宋_GB2312" w:hAnsi="仿宋_GB2312" w:eastAsia="仿宋_GB2312" w:cs="仿宋_GB2312"/>
          <w:sz w:val="32"/>
          <w:szCs w:val="32"/>
          <w:lang w:val="en-US" w:eastAsia="zh-CN"/>
        </w:rPr>
        <w:t>4656.99</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95.82</w:t>
      </w:r>
      <w:r>
        <w:rPr>
          <w:rFonts w:hint="eastAsia" w:ascii="仿宋_GB2312" w:hAnsi="仿宋_GB2312" w:eastAsia="仿宋_GB2312" w:cs="仿宋_GB2312"/>
          <w:sz w:val="32"/>
          <w:szCs w:val="32"/>
        </w:rPr>
        <w:t>%；上级补助收入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%；事业收入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%；附属单位上缴收入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%；其他收入</w:t>
      </w:r>
      <w:r>
        <w:rPr>
          <w:rFonts w:hint="eastAsia" w:ascii="仿宋_GB2312" w:hAnsi="仿宋_GB2312" w:eastAsia="仿宋_GB2312" w:cs="仿宋_GB2312"/>
          <w:sz w:val="32"/>
          <w:szCs w:val="32"/>
          <w:lang w:val="en-US" w:eastAsia="zh-CN"/>
        </w:rPr>
        <w:t>203.23</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4.18</w:t>
      </w:r>
      <w:r>
        <w:rPr>
          <w:rFonts w:hint="eastAsia" w:ascii="仿宋_GB2312" w:hAnsi="仿宋_GB2312" w:eastAsia="仿宋_GB2312" w:cs="仿宋_GB2312"/>
          <w:sz w:val="32"/>
          <w:szCs w:val="32"/>
        </w:rPr>
        <w:t>%。</w:t>
      </w:r>
    </w:p>
    <w:p w14:paraId="29C53315">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14:paraId="714A2314">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年度支出合计</w:t>
      </w:r>
      <w:r>
        <w:rPr>
          <w:rFonts w:hint="eastAsia" w:ascii="仿宋_GB2312" w:hAnsi="仿宋_GB2312" w:eastAsia="仿宋_GB2312" w:cs="仿宋_GB2312"/>
          <w:sz w:val="32"/>
          <w:szCs w:val="32"/>
          <w:lang w:val="en-US" w:eastAsia="zh-CN"/>
        </w:rPr>
        <w:t>4940.83</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837.12</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16.94</w:t>
      </w:r>
      <w:r>
        <w:rPr>
          <w:rFonts w:hint="eastAsia" w:ascii="仿宋_GB2312" w:hAnsi="仿宋_GB2312" w:eastAsia="仿宋_GB2312" w:cs="仿宋_GB2312"/>
          <w:sz w:val="32"/>
          <w:szCs w:val="32"/>
        </w:rPr>
        <w:t>%；项目支出</w:t>
      </w:r>
      <w:r>
        <w:rPr>
          <w:rFonts w:hint="eastAsia" w:ascii="仿宋_GB2312" w:hAnsi="仿宋_GB2312" w:eastAsia="仿宋_GB2312" w:cs="仿宋_GB2312"/>
          <w:sz w:val="32"/>
          <w:szCs w:val="32"/>
          <w:lang w:val="en-US" w:eastAsia="zh-CN"/>
        </w:rPr>
        <w:t>4103.71</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83.06</w:t>
      </w:r>
      <w:r>
        <w:rPr>
          <w:rFonts w:hint="eastAsia" w:ascii="仿宋_GB2312" w:hAnsi="仿宋_GB2312" w:eastAsia="仿宋_GB2312" w:cs="仿宋_GB2312"/>
          <w:sz w:val="32"/>
          <w:szCs w:val="32"/>
        </w:rPr>
        <w:t>%；上缴上级支出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%；对附属单位补助支出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p>
    <w:p w14:paraId="09DB6FAA">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14:paraId="03FB18FC">
      <w:pPr>
        <w:pStyle w:val="15"/>
        <w:keepNext w:val="0"/>
        <w:keepLines w:val="0"/>
        <w:pageBreakBefore w:val="0"/>
        <w:widowControl w:val="0"/>
        <w:kinsoku/>
        <w:wordWrap/>
        <w:overflowPunct/>
        <w:topLinePunct w:val="0"/>
        <w:bidi w:val="0"/>
        <w:snapToGrid/>
        <w:spacing w:line="600" w:lineRule="exact"/>
        <w:textAlignment w:val="auto"/>
        <w:rPr>
          <w:rFonts w:hint="eastAsia" w:ascii="楷体" w:hAnsi="楷体" w:eastAsia="楷体" w:cs="楷体"/>
          <w:i/>
          <w:iCs/>
          <w:color w:val="000000"/>
          <w:kern w:val="0"/>
          <w:sz w:val="32"/>
          <w:szCs w:val="32"/>
          <w:lang w:val="en-US" w:eastAsia="zh-CN" w:bidi="ar-SA"/>
        </w:rPr>
      </w:pPr>
      <w:r>
        <w:rPr>
          <w:rFonts w:hint="eastAsia" w:ascii="Times New Roman" w:hAnsi="Times New Roman" w:eastAsia="仿宋_GB2312"/>
          <w:sz w:val="32"/>
          <w:szCs w:val="32"/>
        </w:rPr>
        <w:t xml:space="preserve">   </w:t>
      </w:r>
      <w:r>
        <w:rPr>
          <w:rFonts w:hint="eastAsia" w:ascii="仿宋_GB2312" w:hAnsi="仿宋_GB2312" w:eastAsia="仿宋_GB2312" w:cs="仿宋_GB2312"/>
          <w:sz w:val="32"/>
          <w:szCs w:val="32"/>
        </w:rPr>
        <w:t xml:space="preserve"> 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年度财政拨款收、支总计</w:t>
      </w:r>
      <w:r>
        <w:rPr>
          <w:rFonts w:hint="eastAsia" w:ascii="仿宋_GB2312" w:hAnsi="仿宋_GB2312" w:eastAsia="仿宋_GB2312" w:cs="仿宋_GB2312"/>
          <w:sz w:val="32"/>
          <w:szCs w:val="32"/>
          <w:lang w:val="en-US" w:eastAsia="zh-CN"/>
        </w:rPr>
        <w:t>4656.99</w:t>
      </w:r>
      <w:r>
        <w:rPr>
          <w:rFonts w:hint="eastAsia" w:ascii="仿宋_GB2312" w:hAnsi="仿宋_GB2312" w:eastAsia="仿宋_GB2312" w:cs="仿宋_GB2312"/>
          <w:sz w:val="32"/>
          <w:szCs w:val="32"/>
        </w:rPr>
        <w:t>万元，与上年相比，增加</w:t>
      </w:r>
      <w:r>
        <w:rPr>
          <w:rFonts w:hint="eastAsia" w:ascii="仿宋_GB2312" w:hAnsi="仿宋_GB2312" w:eastAsia="仿宋_GB2312" w:cs="仿宋_GB2312"/>
          <w:sz w:val="32"/>
          <w:szCs w:val="32"/>
          <w:lang w:val="en-US" w:eastAsia="zh-CN"/>
        </w:rPr>
        <w:t>1355.31</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41.05</w:t>
      </w:r>
      <w:r>
        <w:rPr>
          <w:rFonts w:hint="eastAsia" w:ascii="仿宋_GB2312" w:hAnsi="仿宋_GB2312" w:eastAsia="仿宋_GB2312" w:cs="仿宋_GB2312"/>
          <w:sz w:val="32"/>
          <w:szCs w:val="32"/>
        </w:rPr>
        <w:t>%，主要是因为</w:t>
      </w:r>
      <w:r>
        <w:rPr>
          <w:rFonts w:hint="eastAsia" w:ascii="Times New Roman" w:hAnsi="Times New Roman" w:eastAsia="仿宋_GB2312"/>
          <w:sz w:val="32"/>
          <w:szCs w:val="32"/>
        </w:rPr>
        <w:t>项目收支较上年度</w:t>
      </w:r>
      <w:r>
        <w:rPr>
          <w:rFonts w:hint="eastAsia" w:ascii="Times New Roman" w:hAnsi="Times New Roman" w:eastAsia="仿宋_GB2312"/>
          <w:sz w:val="32"/>
          <w:szCs w:val="32"/>
          <w:lang w:eastAsia="zh-CN"/>
        </w:rPr>
        <w:t>增加。</w:t>
      </w:r>
    </w:p>
    <w:p w14:paraId="26F77E13">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14:paraId="3EBA83C1">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（一）一般公共预算财政拨款支出决算总体情况</w:t>
      </w:r>
    </w:p>
    <w:p w14:paraId="54AFF60A">
      <w:pPr>
        <w:pStyle w:val="15"/>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w:t>
      </w:r>
      <w:r>
        <w:rPr>
          <w:rFonts w:hint="eastAsia" w:ascii="仿宋_GB2312" w:hAnsi="仿宋_GB2312" w:eastAsia="仿宋_GB2312" w:cs="仿宋_GB2312"/>
          <w:sz w:val="32"/>
          <w:szCs w:val="32"/>
          <w:lang w:val="en-US" w:eastAsia="zh-CN"/>
        </w:rPr>
        <w:t>4656.99</w:t>
      </w:r>
      <w:r>
        <w:rPr>
          <w:rFonts w:hint="eastAsia" w:ascii="仿宋_GB2312" w:hAnsi="仿宋_GB2312" w:eastAsia="仿宋_GB2312" w:cs="仿宋_GB2312"/>
          <w:sz w:val="32"/>
          <w:szCs w:val="32"/>
        </w:rPr>
        <w:t>万元，占本年支出合计的</w:t>
      </w:r>
      <w:r>
        <w:rPr>
          <w:rFonts w:hint="eastAsia" w:ascii="仿宋_GB2312" w:hAnsi="仿宋_GB2312" w:eastAsia="仿宋_GB2312" w:cs="仿宋_GB2312"/>
          <w:sz w:val="32"/>
          <w:szCs w:val="32"/>
          <w:lang w:val="en-US" w:eastAsia="zh-CN"/>
        </w:rPr>
        <w:t>94.26</w:t>
      </w:r>
      <w:r>
        <w:rPr>
          <w:rFonts w:hint="eastAsia" w:ascii="仿宋_GB2312" w:hAnsi="仿宋_GB2312" w:eastAsia="仿宋_GB2312" w:cs="仿宋_GB2312"/>
          <w:sz w:val="32"/>
          <w:szCs w:val="32"/>
        </w:rPr>
        <w:t>%，与上年相比，财政拨款支出增加</w:t>
      </w:r>
      <w:r>
        <w:rPr>
          <w:rFonts w:hint="eastAsia" w:ascii="仿宋_GB2312" w:hAnsi="仿宋_GB2312" w:eastAsia="仿宋_GB2312" w:cs="仿宋_GB2312"/>
          <w:sz w:val="32"/>
          <w:szCs w:val="32"/>
          <w:lang w:val="en-US" w:eastAsia="zh-CN"/>
        </w:rPr>
        <w:t>1355.31</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41.05</w:t>
      </w:r>
      <w:r>
        <w:rPr>
          <w:rFonts w:hint="eastAsia" w:ascii="仿宋_GB2312" w:hAnsi="仿宋_GB2312" w:eastAsia="仿宋_GB2312" w:cs="仿宋_GB2312"/>
          <w:sz w:val="32"/>
          <w:szCs w:val="32"/>
        </w:rPr>
        <w:t>%，主要是因为</w:t>
      </w:r>
      <w:r>
        <w:rPr>
          <w:rFonts w:hint="eastAsia" w:ascii="Times New Roman" w:hAnsi="Times New Roman" w:eastAsia="仿宋_GB2312"/>
          <w:sz w:val="32"/>
          <w:szCs w:val="32"/>
        </w:rPr>
        <w:t>因为202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年项目支出较上年</w:t>
      </w:r>
      <w:r>
        <w:rPr>
          <w:rFonts w:hint="eastAsia" w:ascii="Times New Roman" w:hAnsi="Times New Roman" w:eastAsia="仿宋_GB2312"/>
          <w:sz w:val="32"/>
          <w:szCs w:val="32"/>
          <w:lang w:eastAsia="zh-CN"/>
        </w:rPr>
        <w:t>增加。</w:t>
      </w:r>
    </w:p>
    <w:p w14:paraId="45D5CFEE">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（二）一般公共预算财政拨款支出决算结构情况</w:t>
      </w:r>
    </w:p>
    <w:p w14:paraId="035D47CB">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w:t>
      </w:r>
      <w:r>
        <w:rPr>
          <w:rFonts w:hint="eastAsia" w:ascii="仿宋_GB2312" w:hAnsi="仿宋_GB2312" w:eastAsia="仿宋_GB2312" w:cs="仿宋_GB2312"/>
          <w:sz w:val="32"/>
          <w:szCs w:val="32"/>
          <w:lang w:val="en-US" w:eastAsia="zh-CN"/>
        </w:rPr>
        <w:t>4656.99</w:t>
      </w:r>
      <w:r>
        <w:rPr>
          <w:rFonts w:hint="eastAsia" w:ascii="仿宋_GB2312" w:hAnsi="仿宋_GB2312" w:eastAsia="仿宋_GB2312" w:cs="仿宋_GB2312"/>
          <w:sz w:val="32"/>
          <w:szCs w:val="32"/>
        </w:rPr>
        <w:t>万元，主要用于以下方面：</w:t>
      </w:r>
      <w:r>
        <w:rPr>
          <w:rFonts w:hint="eastAsia" w:ascii="Times New Roman" w:hAnsi="Times New Roman" w:eastAsia="仿宋_GB2312"/>
          <w:sz w:val="32"/>
          <w:szCs w:val="32"/>
        </w:rPr>
        <w:t>社会保障和就业支出</w:t>
      </w:r>
      <w:r>
        <w:rPr>
          <w:rFonts w:hint="eastAsia" w:ascii="Times New Roman" w:hAnsi="Times New Roman" w:eastAsia="仿宋_GB2312"/>
          <w:sz w:val="32"/>
          <w:szCs w:val="32"/>
          <w:lang w:val="en-US" w:eastAsia="zh-CN"/>
        </w:rPr>
        <w:t>54.74</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1.18</w:t>
      </w:r>
      <w:r>
        <w:rPr>
          <w:rFonts w:hint="eastAsia" w:ascii="Times New Roman" w:hAnsi="Times New Roman" w:eastAsia="仿宋_GB2312"/>
          <w:sz w:val="32"/>
          <w:szCs w:val="32"/>
        </w:rPr>
        <w:t>%；卫生健康支出</w:t>
      </w:r>
      <w:r>
        <w:rPr>
          <w:rFonts w:hint="eastAsia" w:ascii="Times New Roman" w:hAnsi="Times New Roman" w:eastAsia="仿宋_GB2312"/>
          <w:sz w:val="32"/>
          <w:szCs w:val="32"/>
          <w:lang w:val="en-US" w:eastAsia="zh-CN"/>
        </w:rPr>
        <w:t>40.47</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0.87</w:t>
      </w:r>
      <w:r>
        <w:rPr>
          <w:rFonts w:hint="eastAsia" w:ascii="Times New Roman" w:hAnsi="Times New Roman" w:eastAsia="仿宋_GB2312"/>
          <w:sz w:val="32"/>
          <w:szCs w:val="32"/>
        </w:rPr>
        <w:t>%;节能环保支出</w:t>
      </w:r>
      <w:r>
        <w:rPr>
          <w:rFonts w:hint="eastAsia" w:ascii="Times New Roman" w:hAnsi="Times New Roman" w:eastAsia="仿宋_GB2312"/>
          <w:sz w:val="32"/>
          <w:szCs w:val="32"/>
          <w:lang w:val="en-US" w:eastAsia="zh-CN"/>
        </w:rPr>
        <w:t>28.47</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0.61</w:t>
      </w:r>
      <w:r>
        <w:rPr>
          <w:rFonts w:hint="eastAsia" w:ascii="Times New Roman" w:hAnsi="Times New Roman" w:eastAsia="仿宋_GB2312"/>
          <w:sz w:val="32"/>
          <w:szCs w:val="32"/>
        </w:rPr>
        <w:t>%;城乡社区支出</w:t>
      </w:r>
      <w:r>
        <w:rPr>
          <w:rFonts w:hint="eastAsia" w:ascii="Times New Roman" w:hAnsi="Times New Roman" w:eastAsia="仿宋_GB2312"/>
          <w:sz w:val="32"/>
          <w:szCs w:val="32"/>
          <w:lang w:val="en-US" w:eastAsia="zh-CN"/>
        </w:rPr>
        <w:t>464.43</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9.97</w:t>
      </w:r>
      <w:r>
        <w:rPr>
          <w:rFonts w:hint="eastAsia" w:ascii="Times New Roman" w:hAnsi="Times New Roman" w:eastAsia="仿宋_GB2312"/>
          <w:sz w:val="32"/>
          <w:szCs w:val="32"/>
        </w:rPr>
        <w:t>%;农林水支出</w:t>
      </w:r>
      <w:r>
        <w:rPr>
          <w:rFonts w:hint="eastAsia" w:ascii="Times New Roman" w:hAnsi="Times New Roman" w:eastAsia="仿宋_GB2312"/>
          <w:sz w:val="32"/>
          <w:szCs w:val="32"/>
          <w:lang w:val="en-US" w:eastAsia="zh-CN"/>
        </w:rPr>
        <w:t>3201.90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68.75</w:t>
      </w:r>
      <w:r>
        <w:rPr>
          <w:rFonts w:hint="eastAsia" w:ascii="Times New Roman" w:hAnsi="Times New Roman" w:eastAsia="仿宋_GB2312"/>
          <w:sz w:val="32"/>
          <w:szCs w:val="32"/>
        </w:rPr>
        <w:t>%;自然资源海洋气象等支出</w:t>
      </w:r>
      <w:r>
        <w:rPr>
          <w:rFonts w:hint="eastAsia" w:ascii="Times New Roman" w:hAnsi="Times New Roman" w:eastAsia="仿宋_GB2312"/>
          <w:sz w:val="32"/>
          <w:szCs w:val="32"/>
          <w:lang w:val="en-US" w:eastAsia="zh-CN"/>
        </w:rPr>
        <w:t>820.67</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17.62</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；住房保障支出</w:t>
      </w:r>
      <w:r>
        <w:rPr>
          <w:rFonts w:hint="eastAsia" w:ascii="Times New Roman" w:hAnsi="Times New Roman" w:eastAsia="仿宋_GB2312"/>
          <w:sz w:val="32"/>
          <w:szCs w:val="32"/>
          <w:lang w:val="en-US" w:eastAsia="zh-CN"/>
        </w:rPr>
        <w:t>46.29万元，占1%</w:t>
      </w:r>
      <w:r>
        <w:rPr>
          <w:rFonts w:hint="eastAsia" w:ascii="Times New Roman" w:hAnsi="Times New Roman" w:eastAsia="仿宋_GB2312"/>
          <w:sz w:val="32"/>
          <w:szCs w:val="32"/>
        </w:rPr>
        <w:t>。</w:t>
      </w:r>
    </w:p>
    <w:p w14:paraId="293C2137">
      <w:pPr>
        <w:pStyle w:val="15"/>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（三）一般公共预算财政拨款支出决算具体情况</w:t>
      </w:r>
    </w:p>
    <w:p w14:paraId="79DB94CE">
      <w:pPr>
        <w:pStyle w:val="15"/>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年度财政拨款支出</w:t>
      </w:r>
      <w:r>
        <w:rPr>
          <w:rFonts w:hint="eastAsia" w:ascii="Times New Roman" w:hAnsi="Times New Roman" w:eastAsia="仿宋_GB2312"/>
          <w:sz w:val="32"/>
          <w:szCs w:val="32"/>
          <w:lang w:eastAsia="zh-CN"/>
        </w:rPr>
        <w:t>年初</w:t>
      </w:r>
      <w:r>
        <w:rPr>
          <w:rFonts w:hint="eastAsia" w:ascii="Times New Roman" w:hAnsi="Times New Roman" w:eastAsia="仿宋_GB2312"/>
          <w:sz w:val="32"/>
          <w:szCs w:val="32"/>
        </w:rPr>
        <w:t>预算数为</w:t>
      </w:r>
      <w:r>
        <w:rPr>
          <w:rFonts w:hint="eastAsia" w:ascii="Times New Roman" w:hAnsi="Times New Roman" w:eastAsia="仿宋_GB2312"/>
          <w:sz w:val="32"/>
          <w:szCs w:val="32"/>
          <w:lang w:val="en-US" w:eastAsia="zh-CN"/>
        </w:rPr>
        <w:t>658.84</w:t>
      </w:r>
      <w:r>
        <w:rPr>
          <w:rFonts w:hint="eastAsia" w:ascii="Times New Roman" w:hAnsi="Times New Roman" w:eastAsia="仿宋_GB2312"/>
          <w:sz w:val="32"/>
          <w:szCs w:val="32"/>
        </w:rPr>
        <w:t>万元，支出决算数为</w:t>
      </w:r>
      <w:r>
        <w:rPr>
          <w:rFonts w:hint="eastAsia" w:ascii="Times New Roman" w:hAnsi="Times New Roman" w:eastAsia="仿宋_GB2312"/>
          <w:sz w:val="32"/>
          <w:szCs w:val="32"/>
          <w:lang w:val="en-US" w:eastAsia="zh-CN"/>
        </w:rPr>
        <w:t>4656.99</w:t>
      </w:r>
      <w:r>
        <w:rPr>
          <w:rFonts w:hint="eastAsia" w:ascii="Times New Roman" w:hAnsi="Times New Roman" w:eastAsia="仿宋_GB2312"/>
          <w:sz w:val="32"/>
          <w:szCs w:val="32"/>
        </w:rPr>
        <w:t>万元，完成</w:t>
      </w:r>
      <w:r>
        <w:rPr>
          <w:rFonts w:hint="eastAsia" w:ascii="Times New Roman" w:hAnsi="Times New Roman" w:eastAsia="仿宋_GB2312"/>
          <w:sz w:val="32"/>
          <w:szCs w:val="32"/>
          <w:lang w:eastAsia="zh-CN"/>
        </w:rPr>
        <w:t>年初</w:t>
      </w:r>
      <w:r>
        <w:rPr>
          <w:rFonts w:hint="eastAsia" w:ascii="Times New Roman" w:hAnsi="Times New Roman" w:eastAsia="仿宋_GB2312"/>
          <w:sz w:val="32"/>
          <w:szCs w:val="32"/>
        </w:rPr>
        <w:t>预算的</w:t>
      </w:r>
      <w:r>
        <w:rPr>
          <w:rFonts w:hint="eastAsia" w:ascii="Times New Roman" w:hAnsi="Times New Roman" w:eastAsia="仿宋_GB2312"/>
          <w:sz w:val="32"/>
          <w:szCs w:val="32"/>
          <w:lang w:val="en-US" w:eastAsia="zh-CN"/>
        </w:rPr>
        <w:t>706.85%</w:t>
      </w:r>
      <w:r>
        <w:rPr>
          <w:rFonts w:hint="eastAsia" w:ascii="Times New Roman" w:hAnsi="Times New Roman" w:eastAsia="仿宋_GB2312"/>
          <w:sz w:val="32"/>
          <w:szCs w:val="32"/>
        </w:rPr>
        <w:t>，其中：</w:t>
      </w:r>
    </w:p>
    <w:p w14:paraId="423FA159">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1、社会保障和就业支出（类）行政事业单位养老支出（款）机关事业单位基本养老保险缴费支出（项）。</w:t>
      </w:r>
    </w:p>
    <w:p w14:paraId="06DF26B2">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年初</w:t>
      </w:r>
      <w:r>
        <w:rPr>
          <w:rFonts w:hint="eastAsia" w:ascii="仿宋_GB2312" w:hAnsi="仿宋_GB2312" w:eastAsia="仿宋_GB2312" w:cs="仿宋_GB2312"/>
          <w:sz w:val="32"/>
          <w:szCs w:val="32"/>
        </w:rPr>
        <w:t>预算</w:t>
      </w:r>
      <w:r>
        <w:rPr>
          <w:rFonts w:hint="eastAsia" w:ascii="仿宋_GB2312" w:hAnsi="仿宋_GB2312" w:eastAsia="仿宋_GB2312" w:cs="仿宋_GB2312"/>
          <w:sz w:val="32"/>
          <w:szCs w:val="32"/>
          <w:lang w:eastAsia="zh-CN"/>
        </w:rPr>
        <w:t>数为</w:t>
      </w:r>
      <w:r>
        <w:rPr>
          <w:rFonts w:hint="eastAsia" w:ascii="仿宋_GB2312" w:hAnsi="仿宋_GB2312" w:eastAsia="仿宋_GB2312" w:cs="仿宋_GB2312"/>
          <w:sz w:val="32"/>
          <w:szCs w:val="32"/>
          <w:lang w:val="en-US" w:eastAsia="zh-CN"/>
        </w:rPr>
        <w:t>46.95</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46.95</w:t>
      </w:r>
      <w:r>
        <w:rPr>
          <w:rFonts w:hint="eastAsia" w:ascii="仿宋_GB2312" w:hAnsi="仿宋_GB2312" w:eastAsia="仿宋_GB2312" w:cs="仿宋_GB2312"/>
          <w:sz w:val="32"/>
          <w:szCs w:val="32"/>
        </w:rPr>
        <w:t>万元，完成</w:t>
      </w:r>
      <w:r>
        <w:rPr>
          <w:rFonts w:hint="eastAsia" w:ascii="仿宋_GB2312" w:hAnsi="仿宋_GB2312" w:eastAsia="仿宋_GB2312" w:cs="仿宋_GB2312"/>
          <w:sz w:val="32"/>
          <w:szCs w:val="32"/>
          <w:lang w:eastAsia="zh-CN"/>
        </w:rPr>
        <w:t>年初</w:t>
      </w:r>
      <w:r>
        <w:rPr>
          <w:rFonts w:hint="eastAsia" w:ascii="仿宋_GB2312" w:hAnsi="仿宋_GB2312" w:eastAsia="仿宋_GB2312" w:cs="仿宋_GB2312"/>
          <w:sz w:val="32"/>
          <w:szCs w:val="32"/>
        </w:rPr>
        <w:t>预算的100%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等于</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eastAsia="zh-CN"/>
        </w:rPr>
        <w:t>严格执行了财政年初预算。</w:t>
      </w:r>
    </w:p>
    <w:p w14:paraId="41126C9B">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2、社会保障和就业支出（类）抚恤（款）其他优抚支出（项）。</w:t>
      </w:r>
    </w:p>
    <w:p w14:paraId="43CF0624">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年初</w:t>
      </w:r>
      <w:r>
        <w:rPr>
          <w:rFonts w:hint="eastAsia" w:ascii="仿宋_GB2312" w:hAnsi="仿宋_GB2312" w:eastAsia="仿宋_GB2312" w:cs="仿宋_GB2312"/>
          <w:sz w:val="32"/>
          <w:szCs w:val="32"/>
        </w:rPr>
        <w:t>预算</w:t>
      </w:r>
      <w:r>
        <w:rPr>
          <w:rFonts w:hint="eastAsia" w:ascii="仿宋_GB2312" w:hAnsi="仿宋_GB2312" w:eastAsia="仿宋_GB2312" w:cs="仿宋_GB2312"/>
          <w:sz w:val="32"/>
          <w:szCs w:val="32"/>
          <w:lang w:eastAsia="zh-CN"/>
        </w:rPr>
        <w:t>数</w:t>
      </w: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6.36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由于预算数为</w:t>
      </w:r>
      <w:r>
        <w:rPr>
          <w:rFonts w:hint="eastAsia" w:ascii="仿宋_GB2312" w:hAnsi="仿宋_GB2312" w:eastAsia="仿宋_GB2312" w:cs="仿宋_GB2312"/>
          <w:sz w:val="32"/>
          <w:szCs w:val="32"/>
          <w:lang w:val="en-US" w:eastAsia="zh-CN"/>
        </w:rPr>
        <w:t>0，无法计算百分比，</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eastAsia="zh-CN"/>
        </w:rPr>
        <w:t>本年度年中追加了其他优抚支出</w:t>
      </w:r>
      <w:r>
        <w:rPr>
          <w:rFonts w:hint="eastAsia" w:ascii="仿宋_GB2312" w:hAnsi="仿宋_GB2312" w:eastAsia="仿宋_GB2312" w:cs="仿宋_GB2312"/>
          <w:sz w:val="32"/>
          <w:szCs w:val="32"/>
        </w:rPr>
        <w:t>。</w:t>
      </w:r>
    </w:p>
    <w:p w14:paraId="57343F6E">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、社会保障和就业支出（类）</w:t>
      </w:r>
      <w:r>
        <w:rPr>
          <w:rFonts w:hint="eastAsia" w:ascii="仿宋_GB2312" w:hAnsi="仿宋_GB2312" w:eastAsia="仿宋_GB2312" w:cs="仿宋_GB2312"/>
          <w:sz w:val="32"/>
          <w:szCs w:val="32"/>
          <w:lang w:eastAsia="zh-CN"/>
        </w:rPr>
        <w:t>其他社会保障和就业支出</w:t>
      </w:r>
      <w:r>
        <w:rPr>
          <w:rFonts w:hint="eastAsia" w:ascii="仿宋_GB2312" w:hAnsi="仿宋_GB2312" w:eastAsia="仿宋_GB2312" w:cs="仿宋_GB2312"/>
          <w:sz w:val="32"/>
          <w:szCs w:val="32"/>
        </w:rPr>
        <w:t>（款）其他</w:t>
      </w:r>
      <w:r>
        <w:rPr>
          <w:rFonts w:hint="eastAsia" w:ascii="仿宋_GB2312" w:hAnsi="仿宋_GB2312" w:eastAsia="仿宋_GB2312" w:cs="仿宋_GB2312"/>
          <w:sz w:val="32"/>
          <w:szCs w:val="32"/>
          <w:lang w:eastAsia="zh-CN"/>
        </w:rPr>
        <w:t>社会保障和就业</w:t>
      </w:r>
      <w:r>
        <w:rPr>
          <w:rFonts w:hint="eastAsia" w:ascii="仿宋_GB2312" w:hAnsi="仿宋_GB2312" w:eastAsia="仿宋_GB2312" w:cs="仿宋_GB2312"/>
          <w:sz w:val="32"/>
          <w:szCs w:val="32"/>
        </w:rPr>
        <w:t>支出（项）。</w:t>
      </w:r>
    </w:p>
    <w:p w14:paraId="403258FD">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年初</w:t>
      </w:r>
      <w:r>
        <w:rPr>
          <w:rFonts w:hint="eastAsia" w:ascii="仿宋_GB2312" w:hAnsi="仿宋_GB2312" w:eastAsia="仿宋_GB2312" w:cs="仿宋_GB2312"/>
          <w:sz w:val="32"/>
          <w:szCs w:val="32"/>
        </w:rPr>
        <w:t>预算</w:t>
      </w:r>
      <w:r>
        <w:rPr>
          <w:rFonts w:hint="eastAsia" w:ascii="仿宋_GB2312" w:hAnsi="仿宋_GB2312" w:eastAsia="仿宋_GB2312" w:cs="仿宋_GB2312"/>
          <w:sz w:val="32"/>
          <w:szCs w:val="32"/>
          <w:lang w:eastAsia="zh-CN"/>
        </w:rPr>
        <w:t>数</w:t>
      </w: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val="en-US" w:eastAsia="zh-CN"/>
        </w:rPr>
        <w:t>1.44</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1.44</w:t>
      </w:r>
      <w:r>
        <w:rPr>
          <w:rFonts w:hint="eastAsia" w:ascii="仿宋_GB2312" w:hAnsi="仿宋_GB2312" w:eastAsia="仿宋_GB2312" w:cs="仿宋_GB2312"/>
          <w:sz w:val="32"/>
          <w:szCs w:val="32"/>
        </w:rPr>
        <w:t>万元，完成</w:t>
      </w:r>
      <w:r>
        <w:rPr>
          <w:rFonts w:hint="eastAsia" w:ascii="仿宋_GB2312" w:hAnsi="仿宋_GB2312" w:eastAsia="仿宋_GB2312" w:cs="仿宋_GB2312"/>
          <w:sz w:val="32"/>
          <w:szCs w:val="32"/>
          <w:lang w:eastAsia="zh-CN"/>
        </w:rPr>
        <w:t>年初</w:t>
      </w:r>
      <w:r>
        <w:rPr>
          <w:rFonts w:hint="eastAsia" w:ascii="仿宋_GB2312" w:hAnsi="仿宋_GB2312" w:eastAsia="仿宋_GB2312" w:cs="仿宋_GB2312"/>
          <w:sz w:val="32"/>
          <w:szCs w:val="32"/>
        </w:rPr>
        <w:t>预算的100%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等于</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eastAsia="zh-CN"/>
        </w:rPr>
        <w:t>严格执行了财政年初预算。</w:t>
      </w:r>
    </w:p>
    <w:p w14:paraId="2CB46AF1">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、卫生健康支出（类）行政事业单位医疗（款）事业单位医疗（项）。</w:t>
      </w:r>
    </w:p>
    <w:p w14:paraId="38F1E791">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预算</w:t>
      </w:r>
      <w:r>
        <w:rPr>
          <w:rFonts w:hint="eastAsia" w:ascii="仿宋_GB2312" w:hAnsi="仿宋_GB2312" w:eastAsia="仿宋_GB2312" w:cs="仿宋_GB2312"/>
          <w:sz w:val="32"/>
          <w:szCs w:val="32"/>
          <w:lang w:eastAsia="zh-CN"/>
        </w:rPr>
        <w:t>数</w:t>
      </w: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val="en-US" w:eastAsia="zh-CN"/>
        </w:rPr>
        <w:t>40.47</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40.47</w:t>
      </w:r>
      <w:r>
        <w:rPr>
          <w:rFonts w:hint="eastAsia" w:ascii="仿宋_GB2312" w:hAnsi="仿宋_GB2312" w:eastAsia="仿宋_GB2312" w:cs="仿宋_GB2312"/>
          <w:sz w:val="32"/>
          <w:szCs w:val="32"/>
        </w:rPr>
        <w:t>万元，完成</w:t>
      </w:r>
      <w:r>
        <w:rPr>
          <w:rFonts w:hint="eastAsia" w:ascii="仿宋_GB2312" w:hAnsi="仿宋_GB2312" w:eastAsia="仿宋_GB2312" w:cs="仿宋_GB2312"/>
          <w:sz w:val="32"/>
          <w:szCs w:val="32"/>
          <w:lang w:eastAsia="zh-CN"/>
        </w:rPr>
        <w:t>年初</w:t>
      </w:r>
      <w:r>
        <w:rPr>
          <w:rFonts w:hint="eastAsia" w:ascii="仿宋_GB2312" w:hAnsi="仿宋_GB2312" w:eastAsia="仿宋_GB2312" w:cs="仿宋_GB2312"/>
          <w:sz w:val="32"/>
          <w:szCs w:val="32"/>
        </w:rPr>
        <w:t>预算的100%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等于</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eastAsia="zh-CN"/>
        </w:rPr>
        <w:t>严格执行了财政年初预算。</w:t>
      </w:r>
    </w:p>
    <w:p w14:paraId="65A09B22">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、节能环保支出（类）自然生态保护（款）生态保护（项）</w:t>
      </w:r>
    </w:p>
    <w:p w14:paraId="6FCF5BDD">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年初</w:t>
      </w:r>
      <w:r>
        <w:rPr>
          <w:rFonts w:hint="eastAsia" w:ascii="仿宋_GB2312" w:hAnsi="仿宋_GB2312" w:eastAsia="仿宋_GB2312" w:cs="仿宋_GB2312"/>
          <w:sz w:val="32"/>
          <w:szCs w:val="32"/>
        </w:rPr>
        <w:t>预算</w:t>
      </w:r>
      <w:r>
        <w:rPr>
          <w:rFonts w:hint="eastAsia" w:ascii="仿宋_GB2312" w:hAnsi="仿宋_GB2312" w:eastAsia="仿宋_GB2312" w:cs="仿宋_GB2312"/>
          <w:sz w:val="32"/>
          <w:szCs w:val="32"/>
          <w:lang w:eastAsia="zh-CN"/>
        </w:rPr>
        <w:t>数</w:t>
      </w: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21.61</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由于预算数为</w:t>
      </w:r>
      <w:r>
        <w:rPr>
          <w:rFonts w:hint="eastAsia" w:ascii="仿宋_GB2312" w:hAnsi="仿宋_GB2312" w:eastAsia="仿宋_GB2312" w:cs="仿宋_GB2312"/>
          <w:sz w:val="32"/>
          <w:szCs w:val="32"/>
          <w:lang w:val="en-US" w:eastAsia="zh-CN"/>
        </w:rPr>
        <w:t>0，无法计算百分比，</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eastAsia="zh-CN"/>
        </w:rPr>
        <w:t>本年度使用了上年度结转资金</w:t>
      </w:r>
      <w:r>
        <w:rPr>
          <w:rFonts w:hint="eastAsia" w:ascii="仿宋_GB2312" w:hAnsi="仿宋_GB2312" w:eastAsia="仿宋_GB2312" w:cs="仿宋_GB2312"/>
          <w:sz w:val="32"/>
          <w:szCs w:val="32"/>
        </w:rPr>
        <w:t>。</w:t>
      </w:r>
    </w:p>
    <w:p w14:paraId="7E6FF511">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、节能环保支出（类）</w:t>
      </w:r>
      <w:r>
        <w:rPr>
          <w:rFonts w:hint="eastAsia" w:ascii="仿宋_GB2312" w:hAnsi="仿宋_GB2312" w:eastAsia="仿宋_GB2312" w:cs="仿宋_GB2312"/>
          <w:sz w:val="32"/>
          <w:szCs w:val="32"/>
          <w:lang w:eastAsia="zh-CN"/>
        </w:rPr>
        <w:t>自然生态保护</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eastAsia="zh-CN"/>
        </w:rPr>
        <w:t>其他自然生态保护支出</w:t>
      </w:r>
      <w:r>
        <w:rPr>
          <w:rFonts w:hint="eastAsia" w:ascii="仿宋_GB2312" w:hAnsi="仿宋_GB2312" w:eastAsia="仿宋_GB2312" w:cs="仿宋_GB2312"/>
          <w:sz w:val="32"/>
          <w:szCs w:val="32"/>
        </w:rPr>
        <w:t>（项）。</w:t>
      </w:r>
    </w:p>
    <w:p w14:paraId="337047B2">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年初</w:t>
      </w:r>
      <w:r>
        <w:rPr>
          <w:rFonts w:hint="eastAsia" w:ascii="仿宋_GB2312" w:hAnsi="仿宋_GB2312" w:eastAsia="仿宋_GB2312" w:cs="仿宋_GB2312"/>
          <w:sz w:val="32"/>
          <w:szCs w:val="32"/>
        </w:rPr>
        <w:t>预算</w:t>
      </w:r>
      <w:r>
        <w:rPr>
          <w:rFonts w:hint="eastAsia" w:ascii="仿宋_GB2312" w:hAnsi="仿宋_GB2312" w:eastAsia="仿宋_GB2312" w:cs="仿宋_GB2312"/>
          <w:sz w:val="32"/>
          <w:szCs w:val="32"/>
          <w:lang w:eastAsia="zh-CN"/>
        </w:rPr>
        <w:t>数</w:t>
      </w: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0.5</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由于预算数为</w:t>
      </w:r>
      <w:r>
        <w:rPr>
          <w:rFonts w:hint="eastAsia" w:ascii="仿宋_GB2312" w:hAnsi="仿宋_GB2312" w:eastAsia="仿宋_GB2312" w:cs="仿宋_GB2312"/>
          <w:sz w:val="32"/>
          <w:szCs w:val="32"/>
          <w:lang w:val="en-US" w:eastAsia="zh-CN"/>
        </w:rPr>
        <w:t>0，无法计算百分比，</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eastAsia="zh-CN"/>
        </w:rPr>
        <w:t>本年度使用了上年度结转资金</w:t>
      </w:r>
      <w:r>
        <w:rPr>
          <w:rFonts w:hint="eastAsia" w:ascii="仿宋_GB2312" w:hAnsi="仿宋_GB2312" w:eastAsia="仿宋_GB2312" w:cs="仿宋_GB2312"/>
          <w:sz w:val="32"/>
          <w:szCs w:val="32"/>
        </w:rPr>
        <w:t>。</w:t>
      </w:r>
    </w:p>
    <w:p w14:paraId="34B8635B">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、节能环保支出（类）其他节能环保支出（款）其他节能环保支出（项）。</w:t>
      </w:r>
    </w:p>
    <w:p w14:paraId="68933242">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年初</w:t>
      </w:r>
      <w:r>
        <w:rPr>
          <w:rFonts w:hint="eastAsia" w:ascii="仿宋_GB2312" w:hAnsi="仿宋_GB2312" w:eastAsia="仿宋_GB2312" w:cs="仿宋_GB2312"/>
          <w:sz w:val="32"/>
          <w:szCs w:val="32"/>
        </w:rPr>
        <w:t>预算</w:t>
      </w:r>
      <w:r>
        <w:rPr>
          <w:rFonts w:hint="eastAsia" w:ascii="仿宋_GB2312" w:hAnsi="仿宋_GB2312" w:eastAsia="仿宋_GB2312" w:cs="仿宋_GB2312"/>
          <w:sz w:val="32"/>
          <w:szCs w:val="32"/>
          <w:lang w:eastAsia="zh-CN"/>
        </w:rPr>
        <w:t>数</w:t>
      </w: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6.37</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由于预算数为</w:t>
      </w:r>
      <w:r>
        <w:rPr>
          <w:rFonts w:hint="eastAsia" w:ascii="仿宋_GB2312" w:hAnsi="仿宋_GB2312" w:eastAsia="仿宋_GB2312" w:cs="仿宋_GB2312"/>
          <w:sz w:val="32"/>
          <w:szCs w:val="32"/>
          <w:lang w:val="en-US" w:eastAsia="zh-CN"/>
        </w:rPr>
        <w:t>0，无法计算百分比，</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eastAsia="zh-CN"/>
        </w:rPr>
        <w:t>本年度使用了上年度结转资金</w:t>
      </w:r>
      <w:r>
        <w:rPr>
          <w:rFonts w:hint="eastAsia" w:ascii="仿宋_GB2312" w:hAnsi="仿宋_GB2312" w:eastAsia="仿宋_GB2312" w:cs="仿宋_GB2312"/>
          <w:sz w:val="32"/>
          <w:szCs w:val="32"/>
        </w:rPr>
        <w:t>。</w:t>
      </w:r>
    </w:p>
    <w:p w14:paraId="214BB6DE">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、城乡社区支出（类）城乡社区管理事务（款）一般行政管理事务（项）。</w:t>
      </w:r>
    </w:p>
    <w:p w14:paraId="6BA0998F">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年初</w:t>
      </w:r>
      <w:r>
        <w:rPr>
          <w:rFonts w:hint="eastAsia" w:ascii="仿宋_GB2312" w:hAnsi="仿宋_GB2312" w:eastAsia="仿宋_GB2312" w:cs="仿宋_GB2312"/>
          <w:sz w:val="32"/>
          <w:szCs w:val="32"/>
        </w:rPr>
        <w:t>预算</w:t>
      </w:r>
      <w:r>
        <w:rPr>
          <w:rFonts w:hint="eastAsia" w:ascii="仿宋_GB2312" w:hAnsi="仿宋_GB2312" w:eastAsia="仿宋_GB2312" w:cs="仿宋_GB2312"/>
          <w:sz w:val="32"/>
          <w:szCs w:val="32"/>
          <w:lang w:eastAsia="zh-CN"/>
        </w:rPr>
        <w:t>数</w:t>
      </w: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元，支出决算为</w:t>
      </w:r>
      <w:r>
        <w:rPr>
          <w:rFonts w:hint="eastAsia" w:ascii="仿宋_GB2312" w:hAnsi="仿宋_GB2312" w:eastAsia="仿宋_GB2312" w:cs="仿宋_GB2312"/>
          <w:sz w:val="32"/>
          <w:szCs w:val="32"/>
          <w:lang w:val="en-US" w:eastAsia="zh-CN"/>
        </w:rPr>
        <w:t>464.43</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由于预算数为</w:t>
      </w:r>
      <w:r>
        <w:rPr>
          <w:rFonts w:hint="eastAsia" w:ascii="仿宋_GB2312" w:hAnsi="仿宋_GB2312" w:eastAsia="仿宋_GB2312" w:cs="仿宋_GB2312"/>
          <w:sz w:val="32"/>
          <w:szCs w:val="32"/>
          <w:lang w:val="en-US" w:eastAsia="zh-CN"/>
        </w:rPr>
        <w:t>0，无法计算百分比，</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eastAsia="zh-CN"/>
        </w:rPr>
        <w:t>本年度使用了上年度结转资金</w:t>
      </w:r>
      <w:r>
        <w:rPr>
          <w:rFonts w:hint="eastAsia" w:ascii="仿宋_GB2312" w:hAnsi="仿宋_GB2312" w:eastAsia="仿宋_GB2312" w:cs="仿宋_GB2312"/>
          <w:sz w:val="32"/>
          <w:szCs w:val="32"/>
        </w:rPr>
        <w:t>。</w:t>
      </w:r>
    </w:p>
    <w:p w14:paraId="61D4C859">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农林水支出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eastAsia="zh-CN"/>
        </w:rPr>
        <w:t>农业农村</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eastAsia="zh-CN"/>
        </w:rPr>
        <w:t>其他农业农村支出</w:t>
      </w:r>
      <w:r>
        <w:rPr>
          <w:rFonts w:hint="eastAsia" w:ascii="仿宋_GB2312" w:hAnsi="仿宋_GB2312" w:eastAsia="仿宋_GB2312" w:cs="仿宋_GB2312"/>
          <w:sz w:val="32"/>
          <w:szCs w:val="32"/>
        </w:rPr>
        <w:t>（项）。</w:t>
      </w:r>
    </w:p>
    <w:p w14:paraId="2C119A8E">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年初</w:t>
      </w:r>
      <w:r>
        <w:rPr>
          <w:rFonts w:hint="eastAsia" w:ascii="仿宋_GB2312" w:hAnsi="仿宋_GB2312" w:eastAsia="仿宋_GB2312" w:cs="仿宋_GB2312"/>
          <w:sz w:val="32"/>
          <w:szCs w:val="32"/>
        </w:rPr>
        <w:t>预算</w:t>
      </w:r>
      <w:r>
        <w:rPr>
          <w:rFonts w:hint="eastAsia" w:ascii="仿宋_GB2312" w:hAnsi="仿宋_GB2312" w:eastAsia="仿宋_GB2312" w:cs="仿宋_GB2312"/>
          <w:sz w:val="32"/>
          <w:szCs w:val="32"/>
          <w:lang w:eastAsia="zh-CN"/>
        </w:rPr>
        <w:t>数</w:t>
      </w: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元，支出决算为</w:t>
      </w:r>
      <w:r>
        <w:rPr>
          <w:rFonts w:hint="eastAsia" w:ascii="仿宋_GB2312" w:hAnsi="仿宋_GB2312" w:eastAsia="仿宋_GB2312" w:cs="仿宋_GB2312"/>
          <w:sz w:val="32"/>
          <w:szCs w:val="32"/>
          <w:lang w:val="en-US" w:eastAsia="zh-CN"/>
        </w:rPr>
        <w:t>21.6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由于预算数为</w:t>
      </w:r>
      <w:r>
        <w:rPr>
          <w:rFonts w:hint="eastAsia" w:ascii="仿宋_GB2312" w:hAnsi="仿宋_GB2312" w:eastAsia="仿宋_GB2312" w:cs="仿宋_GB2312"/>
          <w:sz w:val="32"/>
          <w:szCs w:val="32"/>
          <w:lang w:val="en-US" w:eastAsia="zh-CN"/>
        </w:rPr>
        <w:t>0，无法计算百分比，</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eastAsia="zh-CN"/>
        </w:rPr>
        <w:t>本年度使用了上年度结转资金</w:t>
      </w:r>
      <w:r>
        <w:rPr>
          <w:rFonts w:hint="eastAsia" w:ascii="仿宋_GB2312" w:hAnsi="仿宋_GB2312" w:eastAsia="仿宋_GB2312" w:cs="仿宋_GB2312"/>
          <w:sz w:val="32"/>
          <w:szCs w:val="32"/>
        </w:rPr>
        <w:t>。</w:t>
      </w:r>
    </w:p>
    <w:p w14:paraId="5F0135B1">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、农林水支出（类）林业和草原（款）事业机构（项）。</w:t>
      </w:r>
    </w:p>
    <w:p w14:paraId="2158AF59">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年初</w:t>
      </w:r>
      <w:r>
        <w:rPr>
          <w:rFonts w:hint="eastAsia" w:ascii="仿宋_GB2312" w:hAnsi="仿宋_GB2312" w:eastAsia="仿宋_GB2312" w:cs="仿宋_GB2312"/>
          <w:sz w:val="32"/>
          <w:szCs w:val="32"/>
        </w:rPr>
        <w:t>预算为</w:t>
      </w:r>
      <w:r>
        <w:rPr>
          <w:rFonts w:hint="eastAsia" w:ascii="仿宋_GB2312" w:hAnsi="仿宋_GB2312" w:eastAsia="仿宋_GB2312" w:cs="仿宋_GB2312"/>
          <w:sz w:val="32"/>
          <w:szCs w:val="32"/>
          <w:lang w:val="en-US" w:eastAsia="zh-CN"/>
        </w:rPr>
        <w:t>523.69</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518.65</w:t>
      </w:r>
      <w:r>
        <w:rPr>
          <w:rFonts w:hint="eastAsia" w:ascii="仿宋_GB2312" w:hAnsi="仿宋_GB2312" w:eastAsia="仿宋_GB2312" w:cs="仿宋_GB2312"/>
          <w:sz w:val="32"/>
          <w:szCs w:val="32"/>
        </w:rPr>
        <w:t>万元，完成预算</w:t>
      </w:r>
      <w:r>
        <w:rPr>
          <w:rFonts w:hint="eastAsia" w:ascii="仿宋_GB2312" w:hAnsi="仿宋_GB2312" w:eastAsia="仿宋_GB2312" w:cs="仿宋_GB2312"/>
          <w:sz w:val="32"/>
          <w:szCs w:val="32"/>
          <w:lang w:eastAsia="zh-CN"/>
        </w:rPr>
        <w:t>数</w:t>
      </w:r>
      <w:r>
        <w:rPr>
          <w:rFonts w:hint="eastAsia" w:ascii="仿宋_GB2312" w:hAnsi="仿宋_GB2312" w:eastAsia="仿宋_GB2312" w:cs="仿宋_GB2312"/>
          <w:sz w:val="32"/>
          <w:szCs w:val="32"/>
        </w:rPr>
        <w:t>的</w:t>
      </w:r>
      <w:r>
        <w:rPr>
          <w:rFonts w:hint="eastAsia" w:ascii="仿宋_GB2312" w:hAnsi="仿宋_GB2312" w:eastAsia="仿宋_GB2312" w:cs="仿宋_GB2312"/>
          <w:sz w:val="32"/>
          <w:szCs w:val="32"/>
          <w:lang w:val="en-US" w:eastAsia="zh-CN"/>
        </w:rPr>
        <w:t>99.04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小</w:t>
      </w:r>
      <w:r>
        <w:rPr>
          <w:rFonts w:hint="eastAsia" w:ascii="仿宋_GB2312" w:hAnsi="仿宋_GB2312" w:eastAsia="仿宋_GB2312" w:cs="仿宋_GB2312"/>
          <w:sz w:val="32"/>
          <w:szCs w:val="32"/>
        </w:rPr>
        <w:t>于年初预算数的主要原因是：</w:t>
      </w:r>
      <w:r>
        <w:rPr>
          <w:rFonts w:hint="eastAsia" w:ascii="仿宋_GB2312" w:hAnsi="仿宋_GB2312" w:eastAsia="仿宋_GB2312" w:cs="仿宋_GB2312"/>
          <w:sz w:val="32"/>
          <w:szCs w:val="32"/>
          <w:lang w:eastAsia="zh-CN"/>
        </w:rPr>
        <w:t>因为非税任务未完成，年初预算办案费</w:t>
      </w:r>
      <w:r>
        <w:rPr>
          <w:rFonts w:hint="eastAsia" w:ascii="仿宋_GB2312" w:hAnsi="仿宋_GB2312" w:eastAsia="仿宋_GB2312" w:cs="仿宋_GB2312"/>
          <w:sz w:val="32"/>
          <w:szCs w:val="32"/>
          <w:lang w:val="en-US" w:eastAsia="zh-CN"/>
        </w:rPr>
        <w:t>0.25万元</w:t>
      </w:r>
      <w:r>
        <w:rPr>
          <w:rFonts w:hint="eastAsia" w:ascii="仿宋_GB2312" w:hAnsi="仿宋_GB2312" w:eastAsia="仿宋_GB2312" w:cs="仿宋_GB2312"/>
          <w:sz w:val="32"/>
          <w:szCs w:val="32"/>
          <w:lang w:eastAsia="zh-CN"/>
        </w:rPr>
        <w:t>未拨我单位、由于人员异动人员经费较年初预算减少。</w:t>
      </w:r>
    </w:p>
    <w:p w14:paraId="3EDA22DB">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、农林水支出（类）林业和草原（款）动植物保护（项）。</w:t>
      </w:r>
    </w:p>
    <w:p w14:paraId="14FCB067">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年初</w:t>
      </w:r>
      <w:r>
        <w:rPr>
          <w:rFonts w:hint="eastAsia" w:ascii="仿宋_GB2312" w:hAnsi="仿宋_GB2312" w:eastAsia="仿宋_GB2312" w:cs="仿宋_GB2312"/>
          <w:sz w:val="32"/>
          <w:szCs w:val="32"/>
        </w:rPr>
        <w:t>预算</w:t>
      </w:r>
      <w:r>
        <w:rPr>
          <w:rFonts w:hint="eastAsia" w:ascii="仿宋_GB2312" w:hAnsi="仿宋_GB2312" w:eastAsia="仿宋_GB2312" w:cs="仿宋_GB2312"/>
          <w:sz w:val="32"/>
          <w:szCs w:val="32"/>
          <w:lang w:eastAsia="zh-CN"/>
        </w:rPr>
        <w:t>数</w:t>
      </w: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11.34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由于预算数为</w:t>
      </w:r>
      <w:r>
        <w:rPr>
          <w:rFonts w:hint="eastAsia" w:ascii="仿宋_GB2312" w:hAnsi="仿宋_GB2312" w:eastAsia="仿宋_GB2312" w:cs="仿宋_GB2312"/>
          <w:sz w:val="32"/>
          <w:szCs w:val="32"/>
          <w:lang w:val="en-US" w:eastAsia="zh-CN"/>
        </w:rPr>
        <w:t>0，无法计算百分比，</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eastAsia="zh-CN"/>
        </w:rPr>
        <w:t>本年度使用了上年度结转资金</w:t>
      </w:r>
      <w:r>
        <w:rPr>
          <w:rFonts w:hint="eastAsia" w:ascii="仿宋_GB2312" w:hAnsi="仿宋_GB2312" w:eastAsia="仿宋_GB2312" w:cs="仿宋_GB2312"/>
          <w:sz w:val="32"/>
          <w:szCs w:val="32"/>
        </w:rPr>
        <w:t>。</w:t>
      </w:r>
    </w:p>
    <w:p w14:paraId="152267E0">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12、农林水支出（类）林业和草原（款）湿地保护（项）。</w:t>
      </w:r>
    </w:p>
    <w:p w14:paraId="3A98F7BF">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年初</w:t>
      </w:r>
      <w:r>
        <w:rPr>
          <w:rFonts w:hint="eastAsia" w:ascii="仿宋_GB2312" w:hAnsi="仿宋_GB2312" w:eastAsia="仿宋_GB2312" w:cs="仿宋_GB2312"/>
          <w:sz w:val="32"/>
          <w:szCs w:val="32"/>
        </w:rPr>
        <w:t>预算</w:t>
      </w:r>
      <w:r>
        <w:rPr>
          <w:rFonts w:hint="eastAsia" w:ascii="仿宋_GB2312" w:hAnsi="仿宋_GB2312" w:eastAsia="仿宋_GB2312" w:cs="仿宋_GB2312"/>
          <w:sz w:val="32"/>
          <w:szCs w:val="32"/>
          <w:lang w:eastAsia="zh-CN"/>
        </w:rPr>
        <w:t>数</w:t>
      </w: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2433.17</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，由于预算数为</w:t>
      </w:r>
      <w:r>
        <w:rPr>
          <w:rFonts w:hint="eastAsia" w:ascii="仿宋_GB2312" w:hAnsi="仿宋_GB2312" w:eastAsia="仿宋_GB2312" w:cs="仿宋_GB2312"/>
          <w:sz w:val="32"/>
          <w:szCs w:val="32"/>
          <w:lang w:val="en-US" w:eastAsia="zh-CN"/>
        </w:rPr>
        <w:t>0，无法计算百分比，</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eastAsia="zh-CN"/>
        </w:rPr>
        <w:t>本年度使用了上年度结转资金</w:t>
      </w:r>
      <w:r>
        <w:rPr>
          <w:rFonts w:hint="eastAsia" w:ascii="仿宋_GB2312" w:hAnsi="仿宋_GB2312" w:eastAsia="仿宋_GB2312" w:cs="仿宋_GB2312"/>
          <w:sz w:val="32"/>
          <w:szCs w:val="32"/>
        </w:rPr>
        <w:t>。</w:t>
      </w:r>
    </w:p>
    <w:p w14:paraId="3BB1F4B8">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、农林水支出（类）林业和草原（款）其他林业和草原支出（项）。</w:t>
      </w:r>
    </w:p>
    <w:p w14:paraId="5BB859F2">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年初</w:t>
      </w:r>
      <w:r>
        <w:rPr>
          <w:rFonts w:hint="eastAsia" w:ascii="仿宋_GB2312" w:hAnsi="仿宋_GB2312" w:eastAsia="仿宋_GB2312" w:cs="仿宋_GB2312"/>
          <w:sz w:val="32"/>
          <w:szCs w:val="32"/>
        </w:rPr>
        <w:t>预算</w:t>
      </w:r>
      <w:r>
        <w:rPr>
          <w:rFonts w:hint="eastAsia" w:ascii="仿宋_GB2312" w:hAnsi="仿宋_GB2312" w:eastAsia="仿宋_GB2312" w:cs="仿宋_GB2312"/>
          <w:sz w:val="32"/>
          <w:szCs w:val="32"/>
          <w:lang w:eastAsia="zh-CN"/>
        </w:rPr>
        <w:t>数</w:t>
      </w: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万元，支出决算为10</w:t>
      </w:r>
      <w:r>
        <w:rPr>
          <w:rFonts w:hint="eastAsia" w:ascii="仿宋_GB2312" w:hAnsi="仿宋_GB2312" w:eastAsia="仿宋_GB2312" w:cs="仿宋_GB2312"/>
          <w:sz w:val="32"/>
          <w:szCs w:val="32"/>
          <w:lang w:val="en-US" w:eastAsia="zh-CN"/>
        </w:rPr>
        <w:t>9.86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由于预算数为</w:t>
      </w:r>
      <w:r>
        <w:rPr>
          <w:rFonts w:hint="eastAsia" w:ascii="仿宋_GB2312" w:hAnsi="仿宋_GB2312" w:eastAsia="仿宋_GB2312" w:cs="仿宋_GB2312"/>
          <w:sz w:val="32"/>
          <w:szCs w:val="32"/>
          <w:lang w:val="en-US" w:eastAsia="zh-CN"/>
        </w:rPr>
        <w:t>0，无法计算百分比，</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eastAsia="zh-CN"/>
        </w:rPr>
        <w:t>本年度使用了上年度结转资金</w:t>
      </w:r>
      <w:r>
        <w:rPr>
          <w:rFonts w:hint="eastAsia" w:ascii="仿宋_GB2312" w:hAnsi="仿宋_GB2312" w:eastAsia="仿宋_GB2312" w:cs="仿宋_GB2312"/>
          <w:sz w:val="32"/>
          <w:szCs w:val="32"/>
        </w:rPr>
        <w:t>。</w:t>
      </w:r>
    </w:p>
    <w:p w14:paraId="53381666">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、农林水支出（类）其他农林水支出（款）其他农林水支出（项）。</w:t>
      </w:r>
    </w:p>
    <w:p w14:paraId="4A18180A">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年初</w:t>
      </w:r>
      <w:r>
        <w:rPr>
          <w:rFonts w:hint="eastAsia" w:ascii="仿宋_GB2312" w:hAnsi="仿宋_GB2312" w:eastAsia="仿宋_GB2312" w:cs="仿宋_GB2312"/>
          <w:sz w:val="32"/>
          <w:szCs w:val="32"/>
        </w:rPr>
        <w:t>预算</w:t>
      </w:r>
      <w:r>
        <w:rPr>
          <w:rFonts w:hint="eastAsia" w:ascii="仿宋_GB2312" w:hAnsi="仿宋_GB2312" w:eastAsia="仿宋_GB2312" w:cs="仿宋_GB2312"/>
          <w:sz w:val="32"/>
          <w:szCs w:val="32"/>
          <w:lang w:eastAsia="zh-CN"/>
        </w:rPr>
        <w:t>数</w:t>
      </w: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107.29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由于预算数为</w:t>
      </w:r>
      <w:r>
        <w:rPr>
          <w:rFonts w:hint="eastAsia" w:ascii="仿宋_GB2312" w:hAnsi="仿宋_GB2312" w:eastAsia="仿宋_GB2312" w:cs="仿宋_GB2312"/>
          <w:sz w:val="32"/>
          <w:szCs w:val="32"/>
          <w:lang w:val="en-US" w:eastAsia="zh-CN"/>
        </w:rPr>
        <w:t>0，无法计算百分比，</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eastAsia="zh-CN"/>
        </w:rPr>
        <w:t>本年度使用了上年度结转资金</w:t>
      </w:r>
      <w:r>
        <w:rPr>
          <w:rFonts w:hint="eastAsia" w:ascii="仿宋_GB2312" w:hAnsi="仿宋_GB2312" w:eastAsia="仿宋_GB2312" w:cs="仿宋_GB2312"/>
          <w:sz w:val="32"/>
          <w:szCs w:val="32"/>
        </w:rPr>
        <w:t>。</w:t>
      </w:r>
    </w:p>
    <w:p w14:paraId="23A147AA">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、自然资源海洋气象等支出（类）自然资源事务（款）其他自然资源事务支出（项）。</w:t>
      </w:r>
    </w:p>
    <w:p w14:paraId="4FD33F55">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年初</w:t>
      </w:r>
      <w:r>
        <w:rPr>
          <w:rFonts w:hint="eastAsia" w:ascii="仿宋_GB2312" w:hAnsi="仿宋_GB2312" w:eastAsia="仿宋_GB2312" w:cs="仿宋_GB2312"/>
          <w:sz w:val="32"/>
          <w:szCs w:val="32"/>
        </w:rPr>
        <w:t>预算</w:t>
      </w:r>
      <w:r>
        <w:rPr>
          <w:rFonts w:hint="eastAsia" w:ascii="仿宋_GB2312" w:hAnsi="仿宋_GB2312" w:eastAsia="仿宋_GB2312" w:cs="仿宋_GB2312"/>
          <w:sz w:val="32"/>
          <w:szCs w:val="32"/>
          <w:lang w:eastAsia="zh-CN"/>
        </w:rPr>
        <w:t>数</w:t>
      </w: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820.67</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，由于预算数为</w:t>
      </w:r>
      <w:r>
        <w:rPr>
          <w:rFonts w:hint="eastAsia" w:ascii="仿宋_GB2312" w:hAnsi="仿宋_GB2312" w:eastAsia="仿宋_GB2312" w:cs="仿宋_GB2312"/>
          <w:sz w:val="32"/>
          <w:szCs w:val="32"/>
          <w:lang w:val="en-US" w:eastAsia="zh-CN"/>
        </w:rPr>
        <w:t>0，无法计算百分比，</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eastAsia="zh-CN"/>
        </w:rPr>
        <w:t>本年度使用了上年度结转资金</w:t>
      </w:r>
      <w:r>
        <w:rPr>
          <w:rFonts w:hint="eastAsia" w:ascii="仿宋_GB2312" w:hAnsi="仿宋_GB2312" w:eastAsia="仿宋_GB2312" w:cs="仿宋_GB2312"/>
          <w:sz w:val="32"/>
          <w:szCs w:val="32"/>
        </w:rPr>
        <w:t>。</w:t>
      </w:r>
    </w:p>
    <w:p w14:paraId="02CE82CB">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住房保障支出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eastAsia="zh-CN"/>
        </w:rPr>
        <w:t>住房改革支出</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eastAsia="zh-CN"/>
        </w:rPr>
        <w:t>住房公积金</w:t>
      </w:r>
      <w:r>
        <w:rPr>
          <w:rFonts w:hint="eastAsia" w:ascii="仿宋_GB2312" w:hAnsi="仿宋_GB2312" w:eastAsia="仿宋_GB2312" w:cs="仿宋_GB2312"/>
          <w:sz w:val="32"/>
          <w:szCs w:val="32"/>
        </w:rPr>
        <w:t>（项）。</w:t>
      </w:r>
    </w:p>
    <w:p w14:paraId="0E358CFB">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rPr>
      </w:pPr>
      <w:r>
        <w:rPr>
          <w:rFonts w:hint="eastAsia" w:ascii="仿宋_GB2312" w:hAnsi="仿宋_GB2312" w:eastAsia="仿宋_GB2312" w:cs="仿宋_GB2312"/>
          <w:sz w:val="32"/>
          <w:szCs w:val="32"/>
          <w:lang w:eastAsia="zh-CN"/>
        </w:rPr>
        <w:t>年初</w:t>
      </w:r>
      <w:r>
        <w:rPr>
          <w:rFonts w:hint="eastAsia" w:ascii="仿宋_GB2312" w:hAnsi="仿宋_GB2312" w:eastAsia="仿宋_GB2312" w:cs="仿宋_GB2312"/>
          <w:sz w:val="32"/>
          <w:szCs w:val="32"/>
        </w:rPr>
        <w:t>预算</w:t>
      </w:r>
      <w:r>
        <w:rPr>
          <w:rFonts w:hint="eastAsia" w:ascii="仿宋_GB2312" w:hAnsi="仿宋_GB2312" w:eastAsia="仿宋_GB2312" w:cs="仿宋_GB2312"/>
          <w:sz w:val="32"/>
          <w:szCs w:val="32"/>
          <w:lang w:eastAsia="zh-CN"/>
        </w:rPr>
        <w:t>数</w:t>
      </w: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val="en-US" w:eastAsia="zh-CN"/>
        </w:rPr>
        <w:t>46.29</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46.29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完成</w:t>
      </w:r>
      <w:r>
        <w:rPr>
          <w:rFonts w:hint="eastAsia" w:ascii="仿宋_GB2312" w:hAnsi="仿宋_GB2312" w:eastAsia="仿宋_GB2312" w:cs="仿宋_GB2312"/>
          <w:sz w:val="32"/>
          <w:szCs w:val="32"/>
          <w:lang w:eastAsia="zh-CN"/>
        </w:rPr>
        <w:t>年初</w:t>
      </w:r>
      <w:r>
        <w:rPr>
          <w:rFonts w:hint="eastAsia" w:ascii="仿宋_GB2312" w:hAnsi="仿宋_GB2312" w:eastAsia="仿宋_GB2312" w:cs="仿宋_GB2312"/>
          <w:sz w:val="32"/>
          <w:szCs w:val="32"/>
        </w:rPr>
        <w:t>预算的100%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等于</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eastAsia="zh-CN"/>
        </w:rPr>
        <w:t>严格执行了财政年初预算。</w:t>
      </w:r>
    </w:p>
    <w:p w14:paraId="197E9741">
      <w:pPr>
        <w:pStyle w:val="15"/>
        <w:spacing w:line="600" w:lineRule="exact"/>
        <w:ind w:firstLine="800" w:firstLineChars="250"/>
        <w:rPr>
          <w:rFonts w:hint="eastAsia" w:ascii="Times New Roman" w:hAnsi="Times New Roman" w:eastAsia="仿宋_GB2312"/>
          <w:sz w:val="32"/>
          <w:szCs w:val="32"/>
        </w:rPr>
      </w:pPr>
    </w:p>
    <w:p w14:paraId="6CEA0163">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14:paraId="41C8A889">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年度财政拨款基本支出</w:t>
      </w:r>
      <w:r>
        <w:rPr>
          <w:rFonts w:hint="eastAsia" w:ascii="仿宋_GB2312" w:hAnsi="仿宋_GB2312" w:eastAsia="仿宋_GB2312" w:cs="仿宋_GB2312"/>
          <w:sz w:val="32"/>
          <w:szCs w:val="32"/>
          <w:lang w:val="en-US" w:eastAsia="zh-CN"/>
        </w:rPr>
        <w:t>837.12</w:t>
      </w:r>
      <w:r>
        <w:rPr>
          <w:rFonts w:hint="eastAsia" w:ascii="仿宋_GB2312" w:hAnsi="仿宋_GB2312" w:eastAsia="仿宋_GB2312" w:cs="仿宋_GB2312"/>
          <w:sz w:val="32"/>
          <w:szCs w:val="32"/>
        </w:rPr>
        <w:t>万元，其中：</w:t>
      </w:r>
    </w:p>
    <w:p w14:paraId="7C4EB5CE">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eastAsia="zh-CN"/>
        </w:rPr>
      </w:pPr>
      <w:r>
        <w:rPr>
          <w:rFonts w:hint="eastAsia" w:ascii="仿宋_GB2312" w:hAnsi="仿宋_GB2312" w:eastAsia="仿宋_GB2312" w:cs="仿宋_GB2312"/>
          <w:b/>
          <w:bCs/>
          <w:sz w:val="32"/>
          <w:szCs w:val="32"/>
        </w:rPr>
        <w:t>人员经费</w:t>
      </w:r>
      <w:r>
        <w:rPr>
          <w:rFonts w:hint="eastAsia" w:ascii="仿宋_GB2312" w:hAnsi="仿宋_GB2312" w:eastAsia="仿宋_GB2312" w:cs="仿宋_GB2312"/>
          <w:sz w:val="32"/>
          <w:szCs w:val="32"/>
          <w:lang w:val="en-US" w:eastAsia="zh-CN"/>
        </w:rPr>
        <w:t>731.43</w:t>
      </w:r>
      <w:r>
        <w:rPr>
          <w:rFonts w:hint="eastAsia" w:ascii="仿宋_GB2312" w:hAnsi="仿宋_GB2312" w:eastAsia="仿宋_GB2312" w:cs="仿宋_GB2312"/>
          <w:sz w:val="32"/>
          <w:szCs w:val="32"/>
        </w:rPr>
        <w:t>万元，占基本支出的</w:t>
      </w:r>
      <w:r>
        <w:rPr>
          <w:rFonts w:hint="eastAsia" w:ascii="仿宋_GB2312" w:hAnsi="仿宋_GB2312" w:eastAsia="仿宋_GB2312" w:cs="仿宋_GB2312"/>
          <w:sz w:val="32"/>
          <w:szCs w:val="32"/>
          <w:lang w:val="en-US" w:eastAsia="zh-CN"/>
        </w:rPr>
        <w:t>87.37</w:t>
      </w:r>
      <w:r>
        <w:rPr>
          <w:rFonts w:hint="eastAsia" w:ascii="仿宋_GB2312" w:hAnsi="仿宋_GB2312" w:eastAsia="仿宋_GB2312" w:cs="仿宋_GB2312"/>
          <w:sz w:val="32"/>
          <w:szCs w:val="32"/>
        </w:rPr>
        <w:t>%,主要包括基本工资、津贴补贴、奖金、伙食补助费</w:t>
      </w:r>
      <w:r>
        <w:rPr>
          <w:rFonts w:hint="eastAsia" w:ascii="仿宋_GB2312" w:hAnsi="仿宋_GB2312" w:eastAsia="仿宋_GB2312" w:cs="仿宋_GB2312"/>
          <w:sz w:val="32"/>
          <w:szCs w:val="32"/>
          <w:lang w:eastAsia="zh-CN"/>
        </w:rPr>
        <w:t>、</w:t>
      </w:r>
      <w:r>
        <w:rPr>
          <w:rFonts w:hint="eastAsia" w:ascii="Times New Roman" w:hAnsi="Times New Roman" w:eastAsia="仿宋_GB2312"/>
          <w:sz w:val="32"/>
          <w:szCs w:val="32"/>
        </w:rPr>
        <w:t>机关事业单位基本养老保险缴费</w:t>
      </w:r>
      <w:r>
        <w:rPr>
          <w:rFonts w:hint="eastAsia" w:ascii="Times New Roman" w:hAnsi="Times New Roman" w:eastAsia="仿宋_GB2312"/>
          <w:sz w:val="32"/>
          <w:szCs w:val="32"/>
          <w:lang w:eastAsia="zh-CN"/>
        </w:rPr>
        <w:t>、职工基本医疗保险缴费、住房公积金、退休费</w:t>
      </w:r>
      <w:r>
        <w:rPr>
          <w:rFonts w:hint="eastAsia" w:ascii="Times New Roman" w:hAnsi="Times New Roman" w:eastAsia="仿宋_GB2312"/>
          <w:sz w:val="32"/>
          <w:szCs w:val="32"/>
        </w:rPr>
        <w:t>等</w:t>
      </w:r>
      <w:r>
        <w:rPr>
          <w:rFonts w:hint="eastAsia" w:ascii="Times New Roman" w:hAnsi="Times New Roman" w:eastAsia="仿宋_GB2312"/>
          <w:sz w:val="32"/>
          <w:szCs w:val="32"/>
          <w:lang w:eastAsia="zh-CN"/>
        </w:rPr>
        <w:t>。</w:t>
      </w:r>
    </w:p>
    <w:p w14:paraId="2CA936BB">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bCs/>
          <w:sz w:val="32"/>
          <w:szCs w:val="32"/>
        </w:rPr>
        <w:t>公用经费</w:t>
      </w:r>
      <w:r>
        <w:rPr>
          <w:rFonts w:hint="eastAsia" w:ascii="仿宋_GB2312" w:hAnsi="仿宋_GB2312" w:eastAsia="仿宋_GB2312" w:cs="仿宋_GB2312"/>
          <w:sz w:val="32"/>
          <w:szCs w:val="32"/>
          <w:lang w:val="en-US" w:eastAsia="zh-CN"/>
        </w:rPr>
        <w:t>105.69</w:t>
      </w:r>
      <w:r>
        <w:rPr>
          <w:rFonts w:hint="eastAsia" w:ascii="仿宋_GB2312" w:hAnsi="仿宋_GB2312" w:eastAsia="仿宋_GB2312" w:cs="仿宋_GB2312"/>
          <w:sz w:val="32"/>
          <w:szCs w:val="32"/>
        </w:rPr>
        <w:t>万元，占基本支出的</w:t>
      </w:r>
      <w:r>
        <w:rPr>
          <w:rFonts w:hint="eastAsia" w:ascii="仿宋_GB2312" w:hAnsi="仿宋_GB2312" w:eastAsia="仿宋_GB2312" w:cs="仿宋_GB2312"/>
          <w:sz w:val="32"/>
          <w:szCs w:val="32"/>
          <w:lang w:val="en-US" w:eastAsia="zh-CN"/>
        </w:rPr>
        <w:t>12.63</w:t>
      </w:r>
      <w:r>
        <w:rPr>
          <w:rFonts w:hint="eastAsia" w:ascii="仿宋_GB2312" w:hAnsi="仿宋_GB2312" w:eastAsia="仿宋_GB2312" w:cs="仿宋_GB2312"/>
          <w:sz w:val="32"/>
          <w:szCs w:val="32"/>
        </w:rPr>
        <w:t>%，主要包括办公费、印刷费、</w:t>
      </w:r>
      <w:r>
        <w:rPr>
          <w:rFonts w:hint="eastAsia" w:ascii="仿宋_GB2312" w:hAnsi="仿宋_GB2312" w:eastAsia="仿宋_GB2312" w:cs="仿宋_GB2312"/>
          <w:sz w:val="32"/>
          <w:szCs w:val="32"/>
          <w:lang w:eastAsia="zh-CN"/>
        </w:rPr>
        <w:t>邮电费、物业管理费、差旅费、租赁费、公务接待费、工会经费、其他交通费、公务车运行维护费等</w:t>
      </w:r>
      <w:r>
        <w:rPr>
          <w:rFonts w:hint="eastAsia" w:ascii="仿宋_GB2312" w:hAnsi="仿宋_GB2312" w:eastAsia="仿宋_GB2312" w:cs="仿宋_GB2312"/>
          <w:sz w:val="32"/>
          <w:szCs w:val="32"/>
        </w:rPr>
        <w:t>。</w:t>
      </w:r>
    </w:p>
    <w:p w14:paraId="5502EA81">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七、政府性基金预算收入支出决算情况</w:t>
      </w:r>
    </w:p>
    <w:p w14:paraId="27633D77">
      <w:pPr>
        <w:keepNext w:val="0"/>
        <w:keepLines w:val="0"/>
        <w:pageBreakBefore w:val="0"/>
        <w:widowControl w:val="0"/>
        <w:kinsoku/>
        <w:wordWrap/>
        <w:overflowPunct/>
        <w:topLinePunct w:val="0"/>
        <w:autoSpaceDE w:val="0"/>
        <w:autoSpaceDN w:val="0"/>
        <w:bidi w:val="0"/>
        <w:adjustRightInd w:val="0"/>
        <w:snapToGrid/>
        <w:spacing w:line="600" w:lineRule="exact"/>
        <w:textAlignment w:val="auto"/>
        <w:rPr>
          <w:rFonts w:hint="eastAsia" w:ascii="黑体" w:hAnsi="黑体" w:eastAsia="黑体" w:cs="黑体"/>
          <w:b w:val="0"/>
          <w:bCs/>
          <w:color w:val="000000"/>
          <w:kern w:val="0"/>
          <w:sz w:val="32"/>
          <w:szCs w:val="32"/>
          <w:highlight w:val="none"/>
          <w:lang w:val="en-US" w:eastAsia="zh-CN" w:bidi="ar-SA"/>
        </w:rPr>
      </w:pPr>
      <w:r>
        <w:rPr>
          <w:rFonts w:hint="eastAsia" w:ascii="Times New Roman" w:hAnsi="Times New Roman" w:eastAsia="仿宋_GB2312"/>
          <w:sz w:val="32"/>
          <w:szCs w:val="32"/>
        </w:rPr>
        <w:t xml:space="preserve">    </w:t>
      </w:r>
      <w:r>
        <w:rPr>
          <w:rFonts w:hint="eastAsia" w:ascii="仿宋_GB2312" w:hAnsi="仿宋_GB2312" w:eastAsia="仿宋_GB2312" w:cs="仿宋_GB2312"/>
          <w:b/>
          <w:bCs/>
          <w:i w:val="0"/>
          <w:iCs/>
          <w:color w:val="FF0000"/>
          <w:kern w:val="0"/>
          <w:sz w:val="36"/>
          <w:szCs w:val="36"/>
          <w:lang w:val="en-US" w:eastAsia="zh-CN" w:bidi="ar-SA"/>
        </w:rPr>
        <w:t xml:space="preserve"> </w:t>
      </w:r>
      <w:r>
        <w:rPr>
          <w:rFonts w:hint="eastAsia" w:ascii="仿宋_GB2312" w:hAnsi="仿宋_GB2312" w:eastAsia="仿宋_GB2312" w:cs="仿宋_GB2312"/>
          <w:color w:val="000000"/>
          <w:kern w:val="0"/>
          <w:sz w:val="32"/>
          <w:szCs w:val="32"/>
          <w:lang w:val="en-US" w:eastAsia="zh-CN" w:bidi="ar-SA"/>
        </w:rPr>
        <w:t>2023年度政府性基金预算财政拨款收入0万元；年初结转和结余0万元；支出0万元，其中基本支出0万元，项目支出0万元；年末结转和结余0万元。</w:t>
      </w:r>
    </w:p>
    <w:p w14:paraId="3AF4C7C3">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color w:val="000000"/>
          <w:kern w:val="0"/>
          <w:sz w:val="32"/>
          <w:szCs w:val="32"/>
          <w:lang w:val="en-US" w:eastAsia="zh-CN" w:bidi="ar-SA"/>
        </w:rPr>
      </w:pPr>
      <w:r>
        <w:rPr>
          <w:rFonts w:hint="eastAsia" w:ascii="黑体" w:hAnsi="黑体" w:eastAsia="黑体" w:cs="黑体"/>
          <w:b w:val="0"/>
          <w:bCs/>
          <w:color w:val="000000"/>
          <w:kern w:val="0"/>
          <w:sz w:val="32"/>
          <w:szCs w:val="32"/>
          <w:lang w:val="en-US" w:eastAsia="zh-CN" w:bidi="ar-SA"/>
        </w:rPr>
        <w:t>八、国有资本经营预算财政拨款支出决算情况</w:t>
      </w:r>
    </w:p>
    <w:p w14:paraId="219FE814">
      <w:pPr>
        <w:keepNext w:val="0"/>
        <w:keepLines w:val="0"/>
        <w:pageBreakBefore w:val="0"/>
        <w:widowControl w:val="0"/>
        <w:kinsoku/>
        <w:wordWrap/>
        <w:overflowPunct/>
        <w:topLinePunct w:val="0"/>
        <w:autoSpaceDE w:val="0"/>
        <w:autoSpaceDN w:val="0"/>
        <w:bidi w:val="0"/>
        <w:adjustRightInd w:val="0"/>
        <w:snapToGrid/>
        <w:spacing w:line="600" w:lineRule="exact"/>
        <w:ind w:firstLine="960" w:firstLineChars="300"/>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2023年度国有资本经营预算财政拨款收入0万元；年初结转和结余0万；支出0万元，其中：基本支出0万元，项目支出0万元；年末结转和结余0万元。</w:t>
      </w:r>
    </w:p>
    <w:p w14:paraId="59DD3C5A">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sz w:val="32"/>
          <w:szCs w:val="32"/>
        </w:rPr>
      </w:pPr>
      <w:r>
        <w:rPr>
          <w:rFonts w:hint="eastAsia" w:hAnsi="黑体" w:cs="黑体"/>
          <w:b w:val="0"/>
          <w:bCs/>
          <w:sz w:val="32"/>
          <w:szCs w:val="32"/>
          <w:lang w:eastAsia="zh-CN"/>
        </w:rPr>
        <w:t>九、</w:t>
      </w:r>
      <w:r>
        <w:rPr>
          <w:rFonts w:hint="eastAsia" w:ascii="黑体" w:hAnsi="黑体" w:eastAsia="黑体" w:cs="黑体"/>
          <w:b w:val="0"/>
          <w:bCs/>
          <w:sz w:val="32"/>
          <w:szCs w:val="32"/>
        </w:rPr>
        <w:t>财政拨款三公经费支出决算情况说明</w:t>
      </w:r>
    </w:p>
    <w:p w14:paraId="006C95FA">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（一）“三公”经费财政拨款支出决算总体情况说明</w:t>
      </w:r>
    </w:p>
    <w:p w14:paraId="6346A72B">
      <w:pPr>
        <w:pStyle w:val="15"/>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color w:val="FF0000"/>
          <w:sz w:val="32"/>
          <w:szCs w:val="32"/>
        </w:rPr>
      </w:pPr>
      <w:r>
        <w:rPr>
          <w:rFonts w:hint="eastAsia" w:ascii="仿宋_GB2312" w:hAnsi="仿宋_GB2312" w:eastAsia="仿宋_GB2312" w:cs="仿宋_GB2312"/>
          <w:sz w:val="32"/>
          <w:szCs w:val="32"/>
        </w:rPr>
        <w:t>“三公”经费财政拨款支出预算为</w:t>
      </w:r>
      <w:r>
        <w:rPr>
          <w:rFonts w:hint="eastAsia" w:ascii="仿宋_GB2312" w:hAnsi="仿宋_GB2312" w:eastAsia="仿宋_GB2312" w:cs="仿宋_GB2312"/>
          <w:sz w:val="32"/>
          <w:szCs w:val="32"/>
          <w:lang w:val="en-US" w:eastAsia="zh-CN"/>
        </w:rPr>
        <w:t>14.67</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14.67</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等于</w:t>
      </w:r>
      <w:r>
        <w:rPr>
          <w:rFonts w:hint="eastAsia" w:ascii="仿宋_GB2312" w:hAnsi="仿宋_GB2312" w:eastAsia="仿宋_GB2312" w:cs="仿宋_GB2312"/>
          <w:sz w:val="32"/>
          <w:szCs w:val="32"/>
        </w:rPr>
        <w:t>预算数的主要原因是</w:t>
      </w:r>
      <w:r>
        <w:rPr>
          <w:rFonts w:hint="eastAsia" w:ascii="仿宋_GB2312" w:hAnsi="仿宋_GB2312" w:eastAsia="仿宋_GB2312" w:cs="仿宋_GB2312"/>
          <w:sz w:val="32"/>
          <w:szCs w:val="32"/>
          <w:lang w:eastAsia="zh-CN"/>
        </w:rPr>
        <w:t>严格执行了财政预算，</w:t>
      </w:r>
      <w:r>
        <w:rPr>
          <w:rFonts w:hint="eastAsia" w:ascii="仿宋_GB2312" w:hAnsi="仿宋_GB2312" w:eastAsia="仿宋_GB2312" w:cs="仿宋_GB2312"/>
          <w:sz w:val="32"/>
          <w:szCs w:val="32"/>
        </w:rPr>
        <w:t>与上年相比增加</w:t>
      </w:r>
      <w:r>
        <w:rPr>
          <w:rFonts w:hint="eastAsia" w:ascii="仿宋_GB2312" w:hAnsi="仿宋_GB2312" w:eastAsia="仿宋_GB2312" w:cs="仿宋_GB2312"/>
          <w:sz w:val="32"/>
          <w:szCs w:val="32"/>
          <w:lang w:val="en-US" w:eastAsia="zh-CN"/>
        </w:rPr>
        <w:t>1.21</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auto"/>
          <w:sz w:val="32"/>
          <w:szCs w:val="32"/>
        </w:rPr>
        <w:t>增长</w:t>
      </w:r>
      <w:r>
        <w:rPr>
          <w:rFonts w:hint="eastAsia" w:ascii="仿宋_GB2312" w:hAnsi="仿宋_GB2312" w:eastAsia="仿宋_GB2312" w:cs="仿宋_GB2312"/>
          <w:color w:val="auto"/>
          <w:sz w:val="32"/>
          <w:szCs w:val="32"/>
          <w:lang w:val="en-US" w:eastAsia="zh-CN"/>
        </w:rPr>
        <w:t>8.99</w:t>
      </w:r>
      <w:r>
        <w:rPr>
          <w:rFonts w:hint="eastAsia" w:ascii="仿宋_GB2312" w:hAnsi="仿宋_GB2312" w:eastAsia="仿宋_GB2312" w:cs="仿宋_GB2312"/>
          <w:color w:val="auto"/>
          <w:sz w:val="32"/>
          <w:szCs w:val="32"/>
        </w:rPr>
        <w:t>%,增长的主要原因是</w:t>
      </w:r>
      <w:r>
        <w:rPr>
          <w:rFonts w:hint="eastAsia" w:ascii="仿宋_GB2312" w:hAnsi="仿宋_GB2312" w:eastAsia="仿宋_GB2312" w:cs="仿宋_GB2312"/>
          <w:color w:val="auto"/>
          <w:sz w:val="32"/>
          <w:szCs w:val="32"/>
          <w:lang w:eastAsia="zh-CN"/>
        </w:rPr>
        <w:t>公务车辆由于使用年限较长，维修费用较去年有所增加</w:t>
      </w:r>
      <w:r>
        <w:rPr>
          <w:rFonts w:hint="eastAsia" w:ascii="仿宋_GB2312" w:hAnsi="仿宋_GB2312" w:eastAsia="仿宋_GB2312" w:cs="仿宋_GB2312"/>
          <w:color w:val="auto"/>
          <w:sz w:val="32"/>
          <w:szCs w:val="32"/>
        </w:rPr>
        <w:t>。其中：</w:t>
      </w:r>
    </w:p>
    <w:p w14:paraId="55ED76AB">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960" w:firstLineChars="300"/>
        <w:textAlignment w:val="auto"/>
        <w:rPr>
          <w:rFonts w:hint="eastAsia" w:ascii="仿宋_GB2312" w:hAnsi="仿宋_GB2312" w:eastAsia="仿宋_GB2312" w:cs="仿宋_GB2312"/>
          <w:b w:val="0"/>
          <w:bCs/>
          <w:color w:val="auto"/>
          <w:kern w:val="0"/>
          <w:sz w:val="32"/>
          <w:szCs w:val="32"/>
          <w:lang w:val="en-US" w:eastAsia="zh-CN" w:bidi="ar-SA"/>
        </w:rPr>
      </w:pPr>
      <w:r>
        <w:rPr>
          <w:rFonts w:hint="eastAsia" w:ascii="仿宋_GB2312" w:hAnsi="仿宋_GB2312" w:eastAsia="仿宋_GB2312" w:cs="仿宋_GB2312"/>
          <w:b w:val="0"/>
          <w:bCs/>
          <w:color w:val="auto"/>
          <w:kern w:val="0"/>
          <w:sz w:val="32"/>
          <w:szCs w:val="32"/>
          <w:lang w:val="en-US" w:eastAsia="zh-CN" w:bidi="ar-SA"/>
        </w:rPr>
        <w:t>因公出国（境）费支出预算为0万元，支出决算为0万元。决算数等于预算数的主要原因是我单位严格按预算执行决算；与上年一致，无增减变动，主要原因是未安排因公出国（境）活动。</w:t>
      </w:r>
    </w:p>
    <w:p w14:paraId="0AD11C02">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公务接待费支出预算为</w:t>
      </w:r>
      <w:r>
        <w:rPr>
          <w:rFonts w:hint="eastAsia" w:ascii="仿宋_GB2312" w:hAnsi="仿宋_GB2312" w:eastAsia="仿宋_GB2312" w:cs="仿宋_GB2312"/>
          <w:sz w:val="32"/>
          <w:szCs w:val="32"/>
          <w:lang w:val="en-US" w:eastAsia="zh-CN"/>
        </w:rPr>
        <w:t>3.17</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3.17</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等于</w:t>
      </w:r>
      <w:r>
        <w:rPr>
          <w:rFonts w:hint="eastAsia" w:ascii="仿宋_GB2312" w:hAnsi="仿宋_GB2312" w:eastAsia="仿宋_GB2312" w:cs="仿宋_GB2312"/>
          <w:sz w:val="32"/>
          <w:szCs w:val="32"/>
        </w:rPr>
        <w:t>预算数的主要原因是</w:t>
      </w:r>
      <w:r>
        <w:rPr>
          <w:rFonts w:hint="eastAsia" w:ascii="仿宋_GB2312" w:hAnsi="仿宋_GB2312" w:eastAsia="仿宋_GB2312" w:cs="仿宋_GB2312"/>
          <w:sz w:val="32"/>
          <w:szCs w:val="32"/>
          <w:lang w:eastAsia="zh-CN"/>
        </w:rPr>
        <w:t>严格执行了财政预算</w:t>
      </w:r>
      <w:r>
        <w:rPr>
          <w:rFonts w:hint="eastAsia" w:ascii="仿宋_GB2312" w:hAnsi="仿宋_GB2312" w:eastAsia="仿宋_GB2312" w:cs="仿宋_GB2312"/>
          <w:b w:val="0"/>
          <w:bCs/>
          <w:color w:val="auto"/>
          <w:kern w:val="0"/>
          <w:sz w:val="32"/>
          <w:szCs w:val="32"/>
          <w:lang w:val="en-US" w:eastAsia="zh-CN" w:bidi="ar-SA"/>
        </w:rPr>
        <w:t xml:space="preserve"> ，与上年相比减少0.3万元，减少8.65%,</w:t>
      </w:r>
      <w:r>
        <w:rPr>
          <w:rFonts w:hint="eastAsia" w:ascii="仿宋_GB2312" w:hAnsi="仿宋_GB2312" w:eastAsia="仿宋_GB2312" w:cs="仿宋_GB2312"/>
          <w:sz w:val="32"/>
          <w:szCs w:val="32"/>
        </w:rPr>
        <w:t>减少的主要原因是</w:t>
      </w:r>
      <w:r>
        <w:rPr>
          <w:rFonts w:hint="eastAsia" w:ascii="仿宋_GB2312" w:hAnsi="仿宋_GB2312" w:eastAsia="仿宋_GB2312" w:cs="仿宋_GB2312"/>
          <w:b w:val="0"/>
          <w:bCs/>
          <w:color w:val="auto"/>
          <w:kern w:val="0"/>
          <w:sz w:val="32"/>
          <w:szCs w:val="32"/>
          <w:lang w:val="en-US" w:eastAsia="zh-CN" w:bidi="ar-SA"/>
        </w:rPr>
        <w:t>按有关政策厉行节约，严控公务接待支出</w:t>
      </w:r>
      <w:r>
        <w:rPr>
          <w:rFonts w:hint="eastAsia" w:ascii="仿宋_GB2312" w:hAnsi="仿宋_GB2312" w:eastAsia="仿宋_GB2312" w:cs="仿宋_GB2312"/>
          <w:sz w:val="32"/>
          <w:szCs w:val="32"/>
        </w:rPr>
        <w:t>。</w:t>
      </w:r>
    </w:p>
    <w:p w14:paraId="2508DC14">
      <w:pPr>
        <w:pStyle w:val="2"/>
        <w:ind w:firstLine="640" w:firstLineChars="200"/>
        <w:rPr>
          <w:rFonts w:hint="eastAsia"/>
          <w:color w:val="auto"/>
        </w:rPr>
      </w:pPr>
      <w:r>
        <w:rPr>
          <w:rFonts w:hint="eastAsia" w:ascii="仿宋_GB2312" w:hAnsi="仿宋_GB2312" w:eastAsia="仿宋_GB2312" w:cs="仿宋_GB2312"/>
          <w:b w:val="0"/>
          <w:bCs/>
          <w:color w:val="auto"/>
          <w:kern w:val="0"/>
          <w:sz w:val="32"/>
          <w:szCs w:val="32"/>
          <w:lang w:val="en-US" w:eastAsia="zh-CN" w:bidi="ar-SA"/>
        </w:rPr>
        <w:t>公务用车购置费支出预算为0万元，支出决算为0万元。决算数等于预算数的主要原因是我单位严格按预算执行决算；与上年一致，无增减变动，主要原因是两年均未购置公务用车。</w:t>
      </w:r>
    </w:p>
    <w:p w14:paraId="30AC3967">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公务用车运行维护费支出预算为</w:t>
      </w:r>
      <w:r>
        <w:rPr>
          <w:rFonts w:hint="eastAsia" w:ascii="仿宋_GB2312" w:hAnsi="仿宋_GB2312" w:eastAsia="仿宋_GB2312" w:cs="仿宋_GB2312"/>
          <w:sz w:val="32"/>
          <w:szCs w:val="32"/>
          <w:lang w:val="en-US" w:eastAsia="zh-CN"/>
        </w:rPr>
        <w:t>11.5</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11.5</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于预算数的主要原因是</w:t>
      </w:r>
      <w:r>
        <w:rPr>
          <w:rFonts w:hint="eastAsia" w:ascii="仿宋_GB2312" w:hAnsi="仿宋_GB2312" w:eastAsia="仿宋_GB2312" w:cs="仿宋_GB2312"/>
          <w:sz w:val="32"/>
          <w:szCs w:val="32"/>
          <w:lang w:eastAsia="zh-CN"/>
        </w:rPr>
        <w:t>严格执行了财政预算</w:t>
      </w:r>
      <w:r>
        <w:rPr>
          <w:rFonts w:hint="eastAsia" w:ascii="仿宋_GB2312" w:hAnsi="仿宋_GB2312" w:eastAsia="仿宋_GB2312" w:cs="仿宋_GB2312"/>
          <w:sz w:val="32"/>
          <w:szCs w:val="32"/>
        </w:rPr>
        <w:t>，与上年相比增加</w:t>
      </w:r>
      <w:r>
        <w:rPr>
          <w:rFonts w:hint="eastAsia" w:ascii="仿宋_GB2312" w:hAnsi="仿宋_GB2312" w:eastAsia="仿宋_GB2312" w:cs="仿宋_GB2312"/>
          <w:sz w:val="32"/>
          <w:szCs w:val="32"/>
          <w:lang w:val="en-US" w:eastAsia="zh-CN"/>
        </w:rPr>
        <w:t>1.51</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15.11</w:t>
      </w:r>
      <w:r>
        <w:rPr>
          <w:rFonts w:hint="eastAsia" w:ascii="仿宋_GB2312" w:hAnsi="仿宋_GB2312" w:eastAsia="仿宋_GB2312" w:cs="仿宋_GB2312"/>
          <w:sz w:val="32"/>
          <w:szCs w:val="32"/>
        </w:rPr>
        <w:t>%,</w:t>
      </w:r>
      <w:r>
        <w:rPr>
          <w:rFonts w:hint="eastAsia" w:ascii="仿宋_GB2312" w:hAnsi="仿宋_GB2312" w:eastAsia="仿宋_GB2312" w:cs="仿宋_GB2312"/>
          <w:color w:val="auto"/>
          <w:sz w:val="32"/>
          <w:szCs w:val="32"/>
        </w:rPr>
        <w:t>增长的主要原因是</w:t>
      </w:r>
      <w:r>
        <w:rPr>
          <w:rFonts w:hint="eastAsia" w:ascii="仿宋_GB2312" w:hAnsi="仿宋_GB2312" w:eastAsia="仿宋_GB2312" w:cs="仿宋_GB2312"/>
          <w:color w:val="auto"/>
          <w:sz w:val="32"/>
          <w:szCs w:val="32"/>
          <w:lang w:eastAsia="zh-CN"/>
        </w:rPr>
        <w:t>公务车辆由于使用年限较长，维修费用较去年有所增加</w:t>
      </w:r>
      <w:r>
        <w:rPr>
          <w:rFonts w:hint="eastAsia" w:ascii="仿宋_GB2312" w:hAnsi="仿宋_GB2312" w:eastAsia="仿宋_GB2312" w:cs="仿宋_GB2312"/>
          <w:color w:val="auto"/>
          <w:sz w:val="32"/>
          <w:szCs w:val="32"/>
        </w:rPr>
        <w:t>。</w:t>
      </w:r>
    </w:p>
    <w:p w14:paraId="2EFDC3E9">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（二）“三公”经费财政拨款支出决算具体情况说明</w:t>
      </w:r>
    </w:p>
    <w:p w14:paraId="4DFE8E36">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Times New Roman" w:hAnsi="Times New Roman" w:eastAsia="仿宋_GB2312"/>
          <w:sz w:val="32"/>
          <w:szCs w:val="32"/>
        </w:rPr>
        <w:t>2</w:t>
      </w:r>
      <w:r>
        <w:rPr>
          <w:rFonts w:hint="eastAsia" w:ascii="仿宋_GB2312" w:hAnsi="仿宋_GB2312" w:eastAsia="仿宋_GB2312" w:cs="仿宋_GB2312"/>
          <w:sz w:val="32"/>
          <w:szCs w:val="32"/>
        </w:rPr>
        <w:t>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年度“三公”经费财政拨款支出决算中，公务接待费支出决算</w:t>
      </w:r>
      <w:r>
        <w:rPr>
          <w:rFonts w:hint="eastAsia" w:ascii="仿宋_GB2312" w:hAnsi="仿宋_GB2312" w:eastAsia="仿宋_GB2312" w:cs="仿宋_GB2312"/>
          <w:sz w:val="32"/>
          <w:szCs w:val="32"/>
          <w:lang w:val="en-US" w:eastAsia="zh-CN"/>
        </w:rPr>
        <w:t>3.17</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21.61</w:t>
      </w:r>
      <w:r>
        <w:rPr>
          <w:rFonts w:hint="eastAsia" w:ascii="仿宋_GB2312" w:hAnsi="仿宋_GB2312" w:eastAsia="仿宋_GB2312" w:cs="仿宋_GB2312"/>
          <w:sz w:val="32"/>
          <w:szCs w:val="32"/>
        </w:rPr>
        <w:t>%,因公出国（境）费支出决算</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%,公务用车购置费及运行维护费支出决算</w:t>
      </w:r>
      <w:r>
        <w:rPr>
          <w:rFonts w:hint="eastAsia" w:ascii="仿宋_GB2312" w:hAnsi="仿宋_GB2312" w:eastAsia="仿宋_GB2312" w:cs="仿宋_GB2312"/>
          <w:sz w:val="32"/>
          <w:szCs w:val="32"/>
          <w:lang w:val="en-US" w:eastAsia="zh-CN"/>
        </w:rPr>
        <w:t>11.5</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78.39</w:t>
      </w:r>
      <w:r>
        <w:rPr>
          <w:rFonts w:hint="eastAsia" w:ascii="仿宋_GB2312" w:hAnsi="仿宋_GB2312" w:eastAsia="仿宋_GB2312" w:cs="仿宋_GB2312"/>
          <w:sz w:val="32"/>
          <w:szCs w:val="32"/>
        </w:rPr>
        <w:t>%。其中：</w:t>
      </w:r>
    </w:p>
    <w:p w14:paraId="106D2A41">
      <w:pPr>
        <w:pStyle w:val="15"/>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bCs/>
          <w:i/>
          <w:color w:val="auto"/>
          <w:sz w:val="32"/>
          <w:szCs w:val="32"/>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b w:val="0"/>
          <w:bCs/>
          <w:color w:val="auto"/>
          <w:kern w:val="0"/>
          <w:sz w:val="32"/>
          <w:szCs w:val="32"/>
          <w:lang w:val="en-US" w:eastAsia="zh-CN" w:bidi="ar-SA"/>
        </w:rPr>
        <w:t>因公出国（境）费支出决算为0万元，全年安排因公出国（境）团组0个，累计0人次，我单位2023年度无因公出国（境）费支出。</w:t>
      </w:r>
      <w:r>
        <w:rPr>
          <w:rFonts w:hint="eastAsia" w:ascii="仿宋_GB2312" w:hAnsi="仿宋_GB2312" w:eastAsia="仿宋_GB2312" w:cs="仿宋_GB2312"/>
          <w:b w:val="0"/>
          <w:bCs/>
          <w:color w:val="FF0000"/>
          <w:kern w:val="0"/>
          <w:sz w:val="32"/>
          <w:szCs w:val="32"/>
          <w:lang w:val="en-US" w:eastAsia="zh-CN" w:bidi="ar-SA"/>
        </w:rPr>
        <w:t xml:space="preserve"> </w:t>
      </w:r>
    </w:p>
    <w:p w14:paraId="607581FF">
      <w:pPr>
        <w:pStyle w:val="15"/>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2、公务接待费支出决算为</w:t>
      </w:r>
      <w:r>
        <w:rPr>
          <w:rFonts w:hint="eastAsia" w:ascii="仿宋_GB2312" w:hAnsi="仿宋_GB2312" w:eastAsia="仿宋_GB2312" w:cs="仿宋_GB2312"/>
          <w:sz w:val="32"/>
          <w:szCs w:val="32"/>
          <w:lang w:val="en-US" w:eastAsia="zh-CN"/>
        </w:rPr>
        <w:t>3.17</w:t>
      </w:r>
      <w:r>
        <w:rPr>
          <w:rFonts w:hint="eastAsia" w:ascii="仿宋_GB2312" w:hAnsi="仿宋_GB2312" w:eastAsia="仿宋_GB2312" w:cs="仿宋_GB2312"/>
          <w:sz w:val="32"/>
          <w:szCs w:val="32"/>
        </w:rPr>
        <w:t>万元，全年共接待来访团组</w:t>
      </w:r>
      <w:r>
        <w:rPr>
          <w:rFonts w:hint="eastAsia" w:ascii="仿宋_GB2312" w:hAnsi="仿宋_GB2312" w:eastAsia="仿宋_GB2312" w:cs="仿宋_GB2312"/>
          <w:sz w:val="32"/>
          <w:szCs w:val="32"/>
          <w:lang w:val="en-US" w:eastAsia="zh-CN"/>
        </w:rPr>
        <w:t>28</w:t>
      </w:r>
      <w:r>
        <w:rPr>
          <w:rFonts w:hint="eastAsia" w:ascii="仿宋_GB2312" w:hAnsi="仿宋_GB2312" w:eastAsia="仿宋_GB2312" w:cs="仿宋_GB2312"/>
          <w:sz w:val="32"/>
          <w:szCs w:val="32"/>
        </w:rPr>
        <w:t>个、来宾</w:t>
      </w:r>
      <w:r>
        <w:rPr>
          <w:rFonts w:hint="eastAsia" w:ascii="仿宋_GB2312" w:hAnsi="仿宋_GB2312" w:eastAsia="仿宋_GB2312" w:cs="仿宋_GB2312"/>
          <w:sz w:val="32"/>
          <w:szCs w:val="32"/>
          <w:lang w:val="en-US" w:eastAsia="zh-CN"/>
        </w:rPr>
        <w:t>370</w:t>
      </w:r>
      <w:r>
        <w:rPr>
          <w:rFonts w:hint="eastAsia" w:ascii="仿宋_GB2312" w:hAnsi="仿宋_GB2312" w:eastAsia="仿宋_GB2312" w:cs="仿宋_GB2312"/>
          <w:sz w:val="32"/>
          <w:szCs w:val="32"/>
        </w:rPr>
        <w:t>人次，主要是</w:t>
      </w:r>
      <w:r>
        <w:rPr>
          <w:rFonts w:hint="eastAsia" w:ascii="Times New Roman" w:hAnsi="Times New Roman" w:eastAsia="仿宋_GB2312" w:cs="Times New Roman"/>
          <w:color w:val="auto"/>
          <w:kern w:val="2"/>
          <w:sz w:val="32"/>
          <w:szCs w:val="32"/>
        </w:rPr>
        <w:t>学习考察及调研</w:t>
      </w:r>
      <w:r>
        <w:rPr>
          <w:rFonts w:hint="eastAsia" w:ascii="仿宋_GB2312" w:hAnsi="仿宋_GB2312" w:eastAsia="仿宋_GB2312" w:cs="仿宋_GB2312"/>
          <w:sz w:val="32"/>
          <w:szCs w:val="32"/>
        </w:rPr>
        <w:t>发生的接待支出。</w:t>
      </w:r>
    </w:p>
    <w:p w14:paraId="602644C9">
      <w:pPr>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bCs/>
          <w:i/>
          <w:color w:val="auto"/>
          <w:kern w:val="0"/>
          <w:sz w:val="32"/>
          <w:szCs w:val="32"/>
          <w:lang w:val="en-US" w:eastAsia="zh-CN" w:bidi="ar-SA"/>
        </w:rPr>
      </w:pPr>
      <w:r>
        <w:rPr>
          <w:rFonts w:hint="eastAsia" w:ascii="仿宋_GB2312" w:hAnsi="仿宋_GB2312" w:eastAsia="仿宋_GB2312" w:cs="仿宋_GB2312"/>
          <w:sz w:val="32"/>
          <w:szCs w:val="32"/>
        </w:rPr>
        <w:t>3、公务用车购置费及运行维护费支出决算为</w:t>
      </w:r>
      <w:r>
        <w:rPr>
          <w:rFonts w:hint="eastAsia" w:ascii="仿宋_GB2312" w:hAnsi="仿宋_GB2312" w:eastAsia="仿宋_GB2312" w:cs="仿宋_GB2312"/>
          <w:sz w:val="32"/>
          <w:szCs w:val="32"/>
          <w:lang w:val="en-US" w:eastAsia="zh-CN"/>
        </w:rPr>
        <w:t>11.5</w:t>
      </w:r>
      <w:r>
        <w:rPr>
          <w:rFonts w:hint="eastAsia" w:ascii="仿宋_GB2312" w:hAnsi="仿宋_GB2312" w:eastAsia="仿宋_GB2312" w:cs="仿宋_GB2312"/>
          <w:sz w:val="32"/>
          <w:szCs w:val="32"/>
        </w:rPr>
        <w:t>万元，其中：</w:t>
      </w:r>
      <w:r>
        <w:rPr>
          <w:rFonts w:hint="eastAsia" w:ascii="仿宋_GB2312" w:hAnsi="仿宋_GB2312" w:eastAsia="仿宋_GB2312" w:cs="仿宋_GB2312"/>
          <w:b w:val="0"/>
          <w:bCs/>
          <w:color w:val="auto"/>
          <w:kern w:val="0"/>
          <w:sz w:val="32"/>
          <w:szCs w:val="32"/>
          <w:lang w:val="en-US" w:eastAsia="zh-CN" w:bidi="ar-SA"/>
        </w:rPr>
        <w:t>公务用车购置费0万元，当年没有购置公务用车</w:t>
      </w:r>
      <w:r>
        <w:rPr>
          <w:rFonts w:hint="eastAsia" w:ascii="仿宋_GB2312" w:hAnsi="仿宋_GB2312" w:eastAsia="仿宋_GB2312" w:cs="仿宋_GB2312"/>
          <w:color w:val="auto"/>
          <w:sz w:val="32"/>
          <w:szCs w:val="32"/>
        </w:rPr>
        <w:t>。公务用车运行维护费</w:t>
      </w:r>
      <w:r>
        <w:rPr>
          <w:rFonts w:hint="eastAsia" w:ascii="仿宋_GB2312" w:hAnsi="仿宋_GB2312" w:eastAsia="仿宋_GB2312" w:cs="仿宋_GB2312"/>
          <w:color w:val="auto"/>
          <w:sz w:val="32"/>
          <w:szCs w:val="32"/>
          <w:lang w:val="en-US" w:eastAsia="zh-CN"/>
        </w:rPr>
        <w:t>11.5</w:t>
      </w:r>
      <w:r>
        <w:rPr>
          <w:rFonts w:hint="eastAsia" w:ascii="仿宋_GB2312" w:hAnsi="仿宋_GB2312" w:eastAsia="仿宋_GB2312" w:cs="仿宋_GB2312"/>
          <w:color w:val="auto"/>
          <w:sz w:val="32"/>
          <w:szCs w:val="32"/>
        </w:rPr>
        <w:t>万元，主要是</w:t>
      </w:r>
      <w:r>
        <w:rPr>
          <w:rFonts w:hint="eastAsia" w:ascii="仿宋_GB2312" w:hAnsi="仿宋_GB2312" w:eastAsia="仿宋_GB2312" w:cs="仿宋_GB2312"/>
          <w:color w:val="auto"/>
          <w:sz w:val="32"/>
          <w:szCs w:val="32"/>
          <w:lang w:eastAsia="zh-CN"/>
        </w:rPr>
        <w:t>公务车保险、公务车加油费用、公务车维修费、公务车高速过桥过路</w:t>
      </w:r>
      <w:r>
        <w:rPr>
          <w:rFonts w:hint="eastAsia" w:ascii="仿宋_GB2312" w:hAnsi="仿宋_GB2312" w:eastAsia="仿宋_GB2312" w:cs="仿宋_GB2312"/>
          <w:color w:val="auto"/>
          <w:sz w:val="32"/>
          <w:szCs w:val="32"/>
        </w:rPr>
        <w:t>支出，截止202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年12月31日，我单位</w:t>
      </w:r>
      <w:r>
        <w:rPr>
          <w:rFonts w:hint="eastAsia" w:ascii="仿宋_GB2312" w:hAnsi="仿宋_GB2312" w:eastAsia="仿宋_GB2312" w:cs="仿宋_GB2312"/>
          <w:sz w:val="32"/>
          <w:szCs w:val="32"/>
        </w:rPr>
        <w:t>开支财政拨款的公务用车保有量为</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辆。</w:t>
      </w:r>
    </w:p>
    <w:p w14:paraId="28D76266">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color w:val="auto"/>
          <w:sz w:val="32"/>
          <w:szCs w:val="32"/>
        </w:rPr>
      </w:pPr>
      <w:r>
        <w:rPr>
          <w:rFonts w:hint="eastAsia" w:ascii="Times New Roman" w:hAnsi="Times New Roman" w:eastAsia="仿宋_GB2312"/>
          <w:b/>
          <w:color w:val="auto"/>
          <w:sz w:val="32"/>
          <w:szCs w:val="32"/>
          <w:lang w:eastAsia="zh-CN"/>
        </w:rPr>
        <w:t>十</w:t>
      </w:r>
      <w:r>
        <w:rPr>
          <w:rFonts w:hint="eastAsia" w:ascii="Times New Roman" w:hAnsi="Times New Roman" w:eastAsia="仿宋_GB2312"/>
          <w:b/>
          <w:color w:val="auto"/>
          <w:sz w:val="32"/>
          <w:szCs w:val="32"/>
        </w:rPr>
        <w:t>、关于机关运行经费支出说明</w:t>
      </w:r>
    </w:p>
    <w:p w14:paraId="53FDC920">
      <w:pPr>
        <w:pStyle w:val="15"/>
        <w:ind w:firstLine="640" w:firstLineChars="20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本级和所属单位均为事业单位，按照机关运行经费的口径，本年度机关运行经费为0。</w:t>
      </w:r>
    </w:p>
    <w:p w14:paraId="53411670">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一</w:t>
      </w:r>
      <w:r>
        <w:rPr>
          <w:rFonts w:hint="eastAsia" w:ascii="黑体" w:hAnsi="黑体" w:eastAsia="黑体" w:cs="黑体"/>
          <w:b w:val="0"/>
          <w:bCs/>
          <w:sz w:val="32"/>
          <w:szCs w:val="32"/>
        </w:rPr>
        <w:t>、一般性支出情况说明</w:t>
      </w:r>
    </w:p>
    <w:p w14:paraId="0B2C6B95">
      <w:pPr>
        <w:pStyle w:val="15"/>
        <w:ind w:firstLine="640" w:firstLineChars="200"/>
        <w:rPr>
          <w:rFonts w:hint="eastAsia" w:ascii="Times New Roman" w:hAnsi="Times New Roman" w:eastAsia="仿宋_GB2312"/>
          <w:color w:val="auto"/>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度</w:t>
      </w:r>
      <w:r>
        <w:rPr>
          <w:rFonts w:hint="eastAsia" w:ascii="Times New Roman" w:hAnsi="Times New Roman" w:eastAsia="仿宋_GB2312"/>
          <w:sz w:val="32"/>
          <w:szCs w:val="32"/>
        </w:rPr>
        <w:t>，</w:t>
      </w:r>
      <w:r>
        <w:rPr>
          <w:rFonts w:hint="eastAsia" w:ascii="Times New Roman" w:hAnsi="Times New Roman" w:eastAsia="仿宋_GB2312"/>
          <w:color w:val="auto"/>
          <w:sz w:val="32"/>
          <w:szCs w:val="32"/>
          <w:lang w:eastAsia="zh-CN"/>
        </w:rPr>
        <w:t>本单位无会议费的预算和支出决算数。</w:t>
      </w:r>
    </w:p>
    <w:p w14:paraId="50479C30">
      <w:pPr>
        <w:pStyle w:val="15"/>
        <w:ind w:firstLine="640" w:firstLineChars="200"/>
        <w:rPr>
          <w:rFonts w:hint="eastAsia" w:ascii="仿宋_GB2312" w:hAnsi="仿宋_GB2312" w:eastAsia="仿宋_GB2312" w:cs="仿宋_GB2312"/>
          <w:sz w:val="32"/>
          <w:szCs w:val="32"/>
          <w:lang w:eastAsia="zh-CN"/>
        </w:rPr>
      </w:pPr>
    </w:p>
    <w:p w14:paraId="26D2BB2E">
      <w:pPr>
        <w:widowControl w:val="0"/>
        <w:autoSpaceDE w:val="0"/>
        <w:autoSpaceDN w:val="0"/>
        <w:adjustRightInd w:val="0"/>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培训费年初预算1.2万元，支出决算为3.16万元，完成年初预算的263.33%。</w:t>
      </w:r>
      <w:r>
        <w:rPr>
          <w:rFonts w:hint="eastAsia" w:ascii="仿宋_GB2312" w:hAnsi="仿宋_GB2312" w:eastAsia="仿宋_GB2312" w:cs="仿宋_GB2312"/>
          <w:color w:val="auto"/>
          <w:kern w:val="0"/>
          <w:sz w:val="32"/>
          <w:szCs w:val="32"/>
          <w:lang w:val="en-US" w:eastAsia="zh-CN" w:bidi="ar-SA"/>
        </w:rPr>
        <w:t>用于开展专项培训，人数75人，内容为巡护终端业务培训、生物多样性监测培训、国际湿地业务培训、新媒体业务等培训。</w:t>
      </w:r>
    </w:p>
    <w:p w14:paraId="6908A793">
      <w:pPr>
        <w:widowControl w:val="0"/>
        <w:autoSpaceDE w:val="0"/>
        <w:autoSpaceDN w:val="0"/>
        <w:adjustRightInd w:val="0"/>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2023年度，本单位无举办节庆、晚会、论坛、赛事等活动的预算和支出决算数。</w:t>
      </w:r>
    </w:p>
    <w:p w14:paraId="4C91B5C4">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二</w:t>
      </w:r>
      <w:r>
        <w:rPr>
          <w:rFonts w:hint="eastAsia" w:ascii="黑体" w:hAnsi="黑体" w:eastAsia="黑体" w:cs="黑体"/>
          <w:b w:val="0"/>
          <w:bCs/>
          <w:sz w:val="32"/>
          <w:szCs w:val="32"/>
        </w:rPr>
        <w:t>、关于政府采购支出说明</w:t>
      </w:r>
    </w:p>
    <w:p w14:paraId="70A2ADBE">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年度政府采购支出总额</w:t>
      </w:r>
      <w:r>
        <w:rPr>
          <w:rFonts w:hint="eastAsia" w:ascii="仿宋_GB2312" w:hAnsi="仿宋_GB2312" w:eastAsia="仿宋_GB2312" w:cs="仿宋_GB2312"/>
          <w:sz w:val="32"/>
          <w:szCs w:val="32"/>
          <w:lang w:val="en-US" w:eastAsia="zh-CN"/>
        </w:rPr>
        <w:t>2739.49</w:t>
      </w:r>
      <w:r>
        <w:rPr>
          <w:rFonts w:hint="eastAsia" w:ascii="仿宋_GB2312" w:hAnsi="仿宋_GB2312" w:eastAsia="仿宋_GB2312" w:cs="仿宋_GB2312"/>
          <w:sz w:val="32"/>
          <w:szCs w:val="32"/>
        </w:rPr>
        <w:t>万元，其中：政府采购货物支出</w:t>
      </w:r>
      <w:r>
        <w:rPr>
          <w:rFonts w:hint="eastAsia" w:ascii="仿宋_GB2312" w:hAnsi="仿宋_GB2312" w:eastAsia="仿宋_GB2312" w:cs="仿宋_GB2312"/>
          <w:sz w:val="32"/>
          <w:szCs w:val="32"/>
          <w:lang w:val="en-US" w:eastAsia="zh-CN"/>
        </w:rPr>
        <w:t>325.67</w:t>
      </w:r>
      <w:r>
        <w:rPr>
          <w:rFonts w:hint="eastAsia" w:ascii="仿宋_GB2312" w:hAnsi="仿宋_GB2312" w:eastAsia="仿宋_GB2312" w:cs="仿宋_GB2312"/>
          <w:sz w:val="32"/>
          <w:szCs w:val="32"/>
        </w:rPr>
        <w:t>万元、政府采购工程支出</w:t>
      </w:r>
      <w:r>
        <w:rPr>
          <w:rFonts w:hint="eastAsia" w:ascii="仿宋_GB2312" w:hAnsi="仿宋_GB2312" w:eastAsia="仿宋_GB2312" w:cs="仿宋_GB2312"/>
          <w:sz w:val="32"/>
          <w:szCs w:val="32"/>
          <w:lang w:val="en-US" w:eastAsia="zh-CN"/>
        </w:rPr>
        <w:t>2357.57</w:t>
      </w:r>
      <w:r>
        <w:rPr>
          <w:rFonts w:hint="eastAsia" w:ascii="仿宋_GB2312" w:hAnsi="仿宋_GB2312" w:eastAsia="仿宋_GB2312" w:cs="仿宋_GB2312"/>
          <w:sz w:val="32"/>
          <w:szCs w:val="32"/>
        </w:rPr>
        <w:t>万元、政府采购服务支出</w:t>
      </w:r>
      <w:r>
        <w:rPr>
          <w:rFonts w:hint="eastAsia" w:ascii="仿宋_GB2312" w:hAnsi="仿宋_GB2312" w:eastAsia="仿宋_GB2312" w:cs="仿宋_GB2312"/>
          <w:sz w:val="32"/>
          <w:szCs w:val="32"/>
          <w:lang w:val="en-US" w:eastAsia="zh-CN"/>
        </w:rPr>
        <w:t>56.25</w:t>
      </w:r>
      <w:r>
        <w:rPr>
          <w:rFonts w:hint="eastAsia" w:ascii="仿宋_GB2312" w:hAnsi="仿宋_GB2312" w:eastAsia="仿宋_GB2312" w:cs="仿宋_GB2312"/>
          <w:sz w:val="32"/>
          <w:szCs w:val="32"/>
        </w:rPr>
        <w:t>万元。授予中小企业合同金额</w:t>
      </w:r>
      <w:r>
        <w:rPr>
          <w:rFonts w:hint="eastAsia" w:ascii="仿宋_GB2312" w:hAnsi="仿宋_GB2312" w:eastAsia="仿宋_GB2312" w:cs="仿宋_GB2312"/>
          <w:sz w:val="32"/>
          <w:szCs w:val="32"/>
          <w:lang w:val="en-US" w:eastAsia="zh-CN"/>
        </w:rPr>
        <w:t>3.66</w:t>
      </w:r>
      <w:r>
        <w:rPr>
          <w:rFonts w:hint="eastAsia" w:ascii="仿宋_GB2312" w:hAnsi="仿宋_GB2312" w:eastAsia="仿宋_GB2312" w:cs="仿宋_GB2312"/>
          <w:sz w:val="32"/>
          <w:szCs w:val="32"/>
        </w:rPr>
        <w:t>万元，占政府采购支出总额的</w:t>
      </w:r>
      <w:r>
        <w:rPr>
          <w:rFonts w:hint="eastAsia" w:ascii="仿宋_GB2312" w:hAnsi="仿宋_GB2312" w:eastAsia="仿宋_GB2312" w:cs="仿宋_GB2312"/>
          <w:sz w:val="32"/>
          <w:szCs w:val="32"/>
          <w:lang w:val="en-US" w:eastAsia="zh-CN"/>
        </w:rPr>
        <w:t>0.13</w:t>
      </w:r>
      <w:r>
        <w:rPr>
          <w:rFonts w:hint="eastAsia" w:ascii="仿宋_GB2312" w:hAnsi="仿宋_GB2312" w:eastAsia="仿宋_GB2312" w:cs="仿宋_GB2312"/>
          <w:sz w:val="32"/>
          <w:szCs w:val="32"/>
        </w:rPr>
        <w:t>%，其中：授予小微企业合同金额</w:t>
      </w:r>
      <w:r>
        <w:rPr>
          <w:rFonts w:hint="eastAsia" w:ascii="仿宋_GB2312" w:hAnsi="仿宋_GB2312" w:eastAsia="仿宋_GB2312" w:cs="仿宋_GB2312"/>
          <w:sz w:val="32"/>
          <w:szCs w:val="32"/>
          <w:lang w:val="en-US" w:eastAsia="zh-CN"/>
        </w:rPr>
        <w:t>3.66</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auto"/>
          <w:sz w:val="32"/>
          <w:szCs w:val="32"/>
        </w:rPr>
        <w:t>占</w:t>
      </w:r>
      <w:r>
        <w:rPr>
          <w:rFonts w:hint="eastAsia" w:ascii="仿宋_GB2312" w:hAnsi="仿宋_GB2312" w:eastAsia="仿宋_GB2312" w:cs="仿宋_GB2312"/>
          <w:color w:val="auto"/>
          <w:sz w:val="32"/>
          <w:szCs w:val="32"/>
          <w:lang w:eastAsia="zh-CN"/>
        </w:rPr>
        <w:t>授予中小企业合同金额</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%。货物采购授予中小</w:t>
      </w:r>
      <w:r>
        <w:rPr>
          <w:rFonts w:hint="eastAsia" w:ascii="Times New Roman" w:hAnsi="Times New Roman" w:eastAsia="仿宋_GB2312"/>
          <w:color w:val="auto"/>
          <w:sz w:val="32"/>
          <w:szCs w:val="32"/>
        </w:rPr>
        <w:t>企业合同金</w:t>
      </w:r>
      <w:r>
        <w:rPr>
          <w:rFonts w:hint="eastAsia" w:ascii="仿宋_GB2312" w:hAnsi="仿宋_GB2312" w:eastAsia="仿宋_GB2312" w:cs="仿宋_GB2312"/>
          <w:color w:val="auto"/>
          <w:sz w:val="32"/>
          <w:szCs w:val="32"/>
        </w:rPr>
        <w:t>额占货物支出金额的</w:t>
      </w:r>
      <w:r>
        <w:rPr>
          <w:rFonts w:hint="eastAsia" w:ascii="仿宋_GB2312" w:hAnsi="仿宋_GB2312" w:eastAsia="仿宋_GB2312" w:cs="仿宋_GB2312"/>
          <w:color w:val="auto"/>
          <w:sz w:val="32"/>
          <w:szCs w:val="32"/>
          <w:lang w:val="en-US" w:eastAsia="zh-CN"/>
        </w:rPr>
        <w:t>1.12</w:t>
      </w:r>
      <w:r>
        <w:rPr>
          <w:rFonts w:hint="eastAsia" w:ascii="仿宋_GB2312" w:hAnsi="仿宋_GB2312" w:eastAsia="仿宋_GB2312" w:cs="仿宋_GB2312"/>
          <w:color w:val="auto"/>
          <w:sz w:val="32"/>
          <w:szCs w:val="32"/>
        </w:rPr>
        <w:t>%，工程采购授予中小企业合同金额占工程支出金额的</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%，服务采购授予中小企业合同金额占服务支出金额的</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w:t>
      </w:r>
    </w:p>
    <w:p w14:paraId="2817994A">
      <w:pPr>
        <w:pStyle w:val="15"/>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三</w:t>
      </w:r>
      <w:r>
        <w:rPr>
          <w:rFonts w:hint="eastAsia" w:ascii="黑体" w:hAnsi="黑体" w:eastAsia="黑体" w:cs="黑体"/>
          <w:b w:val="0"/>
          <w:bCs/>
          <w:color w:val="auto"/>
          <w:sz w:val="32"/>
          <w:szCs w:val="32"/>
        </w:rPr>
        <w:t>、关于国有资产占用情况说明</w:t>
      </w:r>
    </w:p>
    <w:p w14:paraId="30A7C707">
      <w:pPr>
        <w:pStyle w:val="15"/>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截至202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年12月31日，</w:t>
      </w:r>
      <w:r>
        <w:rPr>
          <w:rFonts w:hint="eastAsia" w:ascii="仿宋_GB2312" w:hAnsi="仿宋_GB2312" w:eastAsia="仿宋_GB2312" w:cs="仿宋_GB2312"/>
          <w:color w:val="auto"/>
          <w:sz w:val="32"/>
          <w:szCs w:val="32"/>
          <w:lang w:eastAsia="zh-CN"/>
        </w:rPr>
        <w:t>部门（单位）</w:t>
      </w:r>
      <w:r>
        <w:rPr>
          <w:rFonts w:hint="eastAsia" w:ascii="仿宋_GB2312" w:hAnsi="仿宋_GB2312" w:eastAsia="仿宋_GB2312" w:cs="仿宋_GB2312"/>
          <w:color w:val="auto"/>
          <w:sz w:val="32"/>
          <w:szCs w:val="32"/>
        </w:rPr>
        <w:t>共有车辆</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辆，其中</w:t>
      </w:r>
      <w:r>
        <w:rPr>
          <w:rFonts w:hint="eastAsia" w:ascii="仿宋_GB2312" w:hAnsi="仿宋_GB2312" w:eastAsia="仿宋_GB2312" w:cs="仿宋_GB2312"/>
          <w:color w:val="auto"/>
          <w:sz w:val="32"/>
          <w:szCs w:val="32"/>
          <w:lang w:eastAsia="zh-CN"/>
        </w:rPr>
        <w:t>，副部（省）级及以上领导用车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主要</w:t>
      </w:r>
      <w:r>
        <w:rPr>
          <w:rFonts w:hint="eastAsia" w:ascii="仿宋_GB2312" w:hAnsi="仿宋_GB2312" w:eastAsia="仿宋_GB2312" w:cs="仿宋_GB2312"/>
          <w:color w:val="auto"/>
          <w:sz w:val="32"/>
          <w:szCs w:val="32"/>
          <w:lang w:eastAsia="zh-CN"/>
        </w:rPr>
        <w:t>负责人</w:t>
      </w:r>
      <w:r>
        <w:rPr>
          <w:rFonts w:hint="eastAsia" w:ascii="仿宋_GB2312" w:hAnsi="仿宋_GB2312" w:eastAsia="仿宋_GB2312" w:cs="仿宋_GB2312"/>
          <w:color w:val="auto"/>
          <w:sz w:val="32"/>
          <w:szCs w:val="32"/>
        </w:rPr>
        <w:t>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机要通信用车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辆、应急保障用车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辆、执法执勤用车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辆、特种专业技术用车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离退休干部服务用车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辆、其他用车</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辆，其他用车主要是</w:t>
      </w:r>
      <w:r>
        <w:rPr>
          <w:rFonts w:hint="eastAsia" w:ascii="Times New Roman" w:hAnsi="Times New Roman" w:eastAsia="仿宋_GB2312"/>
          <w:sz w:val="32"/>
          <w:szCs w:val="32"/>
        </w:rPr>
        <w:t>巡护监测用车</w:t>
      </w:r>
      <w:r>
        <w:rPr>
          <w:rFonts w:hint="eastAsia" w:ascii="仿宋_GB2312" w:hAnsi="仿宋_GB2312" w:eastAsia="仿宋_GB2312" w:cs="仿宋_GB2312"/>
          <w:color w:val="auto"/>
          <w:sz w:val="32"/>
          <w:szCs w:val="32"/>
        </w:rPr>
        <w:t>；单位价值100万元以上设备</w:t>
      </w:r>
      <w:r>
        <w:rPr>
          <w:rFonts w:hint="eastAsia" w:ascii="仿宋_GB2312" w:hAnsi="仿宋_GB2312" w:eastAsia="仿宋_GB2312" w:cs="仿宋_GB2312"/>
          <w:color w:val="auto"/>
          <w:sz w:val="32"/>
          <w:szCs w:val="32"/>
          <w:lang w:eastAsia="zh-CN"/>
        </w:rPr>
        <w:t>（不含车辆）</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台（套）。</w:t>
      </w:r>
    </w:p>
    <w:p w14:paraId="360FBA79">
      <w:pPr>
        <w:pStyle w:val="15"/>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四</w:t>
      </w:r>
      <w:r>
        <w:rPr>
          <w:rFonts w:hint="eastAsia" w:ascii="黑体" w:hAnsi="黑体" w:eastAsia="黑体" w:cs="黑体"/>
          <w:b w:val="0"/>
          <w:bCs/>
          <w:color w:val="auto"/>
          <w:sz w:val="32"/>
          <w:szCs w:val="32"/>
        </w:rPr>
        <w:t>、关于</w:t>
      </w: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3</w:t>
      </w:r>
      <w:r>
        <w:rPr>
          <w:rFonts w:hint="eastAsia" w:ascii="黑体" w:hAnsi="黑体" w:eastAsia="黑体" w:cs="黑体"/>
          <w:b w:val="0"/>
          <w:bCs/>
          <w:color w:val="auto"/>
          <w:sz w:val="32"/>
          <w:szCs w:val="32"/>
        </w:rPr>
        <w:t>年度</w:t>
      </w:r>
      <w:r>
        <w:rPr>
          <w:rFonts w:hint="eastAsia" w:hAnsi="黑体" w:cs="黑体"/>
          <w:b w:val="0"/>
          <w:bCs/>
          <w:color w:val="auto"/>
          <w:sz w:val="32"/>
          <w:szCs w:val="32"/>
          <w:lang w:eastAsia="zh-CN"/>
        </w:rPr>
        <w:t>预算</w:t>
      </w:r>
      <w:r>
        <w:rPr>
          <w:rFonts w:hint="eastAsia" w:ascii="黑体" w:hAnsi="黑体" w:eastAsia="黑体" w:cs="黑体"/>
          <w:b w:val="0"/>
          <w:bCs/>
          <w:color w:val="auto"/>
          <w:sz w:val="32"/>
          <w:szCs w:val="32"/>
        </w:rPr>
        <w:t>绩效情况的说明</w:t>
      </w:r>
    </w:p>
    <w:p w14:paraId="36889EB1">
      <w:pPr>
        <w:pStyle w:val="15"/>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（一）绩效管理工作开展情况</w:t>
      </w:r>
    </w:p>
    <w:p w14:paraId="7F977E5B">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根据预算绩效管理要求，我们组织对2023年度整体支出和项目资金实施了全覆盖性的绩效评价，撰写了绩效自评报告。</w:t>
      </w:r>
    </w:p>
    <w:p w14:paraId="4745EF1F">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组织开展整体支出绩效评价，涉及一般公共预算支出4656.99万元，政府性基金预算支出0万元，国有资本经营预算支出0万元。从评价情况来看，整体支出绩效评价中，2023年整体支出4940.83万元，其中：基本支出837.12万元，项目支出4103.7万元，本单位整体支出绩效自评综合评分95分，评价结果等次为优。</w:t>
      </w:r>
    </w:p>
    <w:p w14:paraId="6D35CBCE">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val="0"/>
          <w:bCs w:val="0"/>
          <w:color w:val="000000"/>
          <w:kern w:val="0"/>
          <w:sz w:val="32"/>
          <w:szCs w:val="32"/>
          <w:lang w:val="en-US" w:eastAsia="zh-CN" w:bidi="ar-SA"/>
        </w:rPr>
        <w:t>组织对一般公共预算项目支出全面开展绩效自评，项目1个，共涉及资金4103.7万元，占一般公共预算项目支出总额的107.43%。组织对政府性基金预算项目支出开展绩效自评，项目0个，共涉及资金0万元，无法计算占政府性基金预算项目支出总额的比重。组织对国有资本经营预算项目支出开展绩效自评，项目0个，共涉及资金0万元，无法计算占国有资本经营预算项目支出总额的比重。从评价情况来看，项目绩效自评得分95分，评价结果等次为优。</w:t>
      </w:r>
    </w:p>
    <w:p w14:paraId="26376001">
      <w:pPr>
        <w:pStyle w:val="15"/>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（二）</w:t>
      </w:r>
      <w:r>
        <w:rPr>
          <w:rFonts w:hint="eastAsia" w:ascii="楷体" w:hAnsi="楷体" w:eastAsia="楷体" w:cs="楷体"/>
          <w:b/>
          <w:bCs/>
          <w:sz w:val="32"/>
          <w:szCs w:val="32"/>
        </w:rPr>
        <w:t>部门</w:t>
      </w:r>
      <w:r>
        <w:rPr>
          <w:rFonts w:hint="eastAsia" w:ascii="楷体" w:hAnsi="楷体" w:eastAsia="楷体" w:cs="楷体"/>
          <w:b/>
          <w:bCs/>
          <w:sz w:val="32"/>
          <w:szCs w:val="32"/>
          <w:lang w:eastAsia="zh-CN"/>
        </w:rPr>
        <w:t>（单位）</w:t>
      </w:r>
      <w:r>
        <w:rPr>
          <w:rFonts w:hint="eastAsia" w:ascii="楷体" w:hAnsi="楷体" w:eastAsia="楷体" w:cs="楷体"/>
          <w:b/>
          <w:bCs/>
          <w:sz w:val="32"/>
          <w:szCs w:val="32"/>
        </w:rPr>
        <w:t>整体支出绩效情况</w:t>
      </w:r>
    </w:p>
    <w:p w14:paraId="2031EE61">
      <w:pPr>
        <w:numPr>
          <w:ilvl w:val="0"/>
          <w:numId w:val="0"/>
        </w:num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 w:val="0"/>
          <w:bCs w:val="0"/>
          <w:color w:val="000000"/>
          <w:kern w:val="0"/>
          <w:sz w:val="32"/>
          <w:szCs w:val="32"/>
          <w:lang w:val="en-US" w:eastAsia="zh-CN" w:bidi="ar-SA"/>
        </w:rPr>
        <w:t>根据年初设定的绩效目标，绩效自评得分为95分。全年预算数为4940.83万元，执行数为4940.83 万元，完成预算的100%。绩效目标完成情况：一是加大巡护巡查力度，联合市森林公安、君山区、沿湖乡镇等职能部门等组织集中开展保护候鸟、麋鹿等野生动物集中</w:t>
      </w:r>
      <w:bookmarkStart w:id="0" w:name="_GoBack"/>
      <w:bookmarkEnd w:id="0"/>
      <w:r>
        <w:rPr>
          <w:rFonts w:hint="eastAsia" w:ascii="仿宋_GB2312" w:hAnsi="仿宋_GB2312" w:eastAsia="仿宋_GB2312" w:cs="仿宋_GB2312"/>
          <w:b w:val="0"/>
          <w:bCs w:val="0"/>
          <w:color w:val="000000"/>
          <w:kern w:val="0"/>
          <w:sz w:val="32"/>
          <w:szCs w:val="32"/>
          <w:lang w:val="en-US" w:eastAsia="zh-CN" w:bidi="ar-SA"/>
        </w:rPr>
        <w:t>巡护执法行动10余次；持续开展“洞庭清波”专项行动、全面落实岳阳市枯水期“十年禁渔”专项行动要求；督导属地相关部门完成了经开区罗家坡污水处理厂周边生态环境问题整改不到位问题、凌云搅拌场、瑞丰物流园、银丰农产品、岳阳台湾农民创业园等5个生态环境完成整改销号；二是完成了鸟类、麋鹿、东方田鼠和湿地植被共15次野外调查；与中国水利水电科学研究院合作开展洞庭湖生态环境监测、与朱雀会开展青头潜鸭同步调查、与中国野生动物保护协会鹤联会开展全国越冬鹤类同步调查；撰写2023年度生物多样性阶段监测报告、年度技术报告、数据册等20余篇；救护中心共收容救护149批次，救护救治155只野生动物。三是申请2024湿地生态效益补偿项目、2024湿地保护与恢复项目、湿地有害生物监测防治项目等3个项目储备入库，申请资金达4885万元；完成2022湿地生态效益补偿试点项目竣工备案；2019湿地保护与恢复工程项目已竣工验收；2022生态效益补偿试点项目已向省林业局备案竣工验收；2023保护修复项目和湿地保护补偿项目正在完成施工方案、施工图及预算初稿审核工作。四是2023年我局先后承办或参与了第十二届洞庭湖国际观鸟节、</w:t>
      </w:r>
      <w:r>
        <w:rPr>
          <w:rFonts w:hint="default" w:ascii="仿宋_GB2312" w:hAnsi="仿宋_GB2312" w:eastAsia="仿宋_GB2312" w:cs="仿宋_GB2312"/>
          <w:b w:val="0"/>
          <w:bCs w:val="0"/>
          <w:color w:val="000000"/>
          <w:kern w:val="0"/>
          <w:sz w:val="32"/>
          <w:szCs w:val="32"/>
          <w:lang w:val="en-US" w:eastAsia="zh-CN" w:bidi="ar-SA"/>
        </w:rPr>
        <w:t>湖南省第42届“爱鸟周”活动启动仪式</w:t>
      </w:r>
      <w:r>
        <w:rPr>
          <w:rFonts w:hint="eastAsia" w:ascii="仿宋_GB2312" w:hAnsi="仿宋_GB2312" w:eastAsia="仿宋_GB2312" w:cs="仿宋_GB2312"/>
          <w:b w:val="0"/>
          <w:bCs w:val="0"/>
          <w:color w:val="000000"/>
          <w:kern w:val="0"/>
          <w:sz w:val="32"/>
          <w:szCs w:val="32"/>
          <w:lang w:val="en-US" w:eastAsia="zh-CN" w:bidi="ar-SA"/>
        </w:rPr>
        <w:t>、“世界野生动植物日”“世界湿地日”“世界环境日”“全国生态日”等节庆宣传活动，展示了洞庭湖生态保护的系列成果；通过电视、报纸、网络、直播、科普讲座等多种方式，进行习近平生态文明思想传播；2022年7月，我局正式启动“国家林草科普基地”的申报工作，今年5月，获批成为我国首批“国家林草科普基地”，为岳阳乃至全省再添一张“国字号”名片。</w:t>
      </w:r>
    </w:p>
    <w:p w14:paraId="3B53B16E">
      <w:pPr>
        <w:pStyle w:val="15"/>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（三）</w:t>
      </w:r>
      <w:r>
        <w:rPr>
          <w:rFonts w:hint="eastAsia" w:ascii="楷体" w:hAnsi="楷体" w:eastAsia="楷体" w:cs="楷体"/>
          <w:b/>
          <w:bCs/>
          <w:sz w:val="32"/>
          <w:szCs w:val="32"/>
        </w:rPr>
        <w:t>存在的问题及原因分析</w:t>
      </w:r>
    </w:p>
    <w:p w14:paraId="2DB0621C">
      <w:pPr>
        <w:autoSpaceDE w:val="0"/>
        <w:autoSpaceDN w:val="0"/>
        <w:adjustRightInd w:val="0"/>
        <w:ind w:firstLine="640" w:firstLineChars="20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color w:val="000000"/>
          <w:kern w:val="0"/>
          <w:sz w:val="32"/>
          <w:szCs w:val="32"/>
          <w:lang w:val="en-US" w:eastAsia="zh-CN" w:bidi="ar-SA"/>
        </w:rPr>
        <w:t>存在的主要问题及原因：一是</w:t>
      </w:r>
      <w:r>
        <w:rPr>
          <w:rFonts w:hint="eastAsia" w:ascii="仿宋_GB2312" w:hAnsi="仿宋" w:eastAsia="仿宋_GB2312"/>
          <w:sz w:val="32"/>
          <w:szCs w:val="32"/>
          <w:lang w:val="en-US" w:eastAsia="zh-CN"/>
        </w:rPr>
        <w:t>因各种原因，部分项目建设进度缓慢。二是地方配套资金短缺，按上级要求项目实施较困难。</w:t>
      </w:r>
      <w:r>
        <w:rPr>
          <w:rFonts w:hint="eastAsia" w:ascii="仿宋_GB2312" w:hAnsi="仿宋_GB2312" w:eastAsia="仿宋_GB2312" w:cs="仿宋_GB2312"/>
          <w:b w:val="0"/>
          <w:bCs w:val="0"/>
          <w:color w:val="000000"/>
          <w:kern w:val="0"/>
          <w:sz w:val="32"/>
          <w:szCs w:val="32"/>
          <w:lang w:val="en-US" w:eastAsia="zh-CN" w:bidi="ar-SA"/>
        </w:rPr>
        <w:t>下一步改进措施：一是</w:t>
      </w:r>
      <w:r>
        <w:rPr>
          <w:rFonts w:hint="eastAsia" w:ascii="仿宋_GB2312" w:hAnsi="仿宋" w:eastAsia="仿宋_GB2312"/>
          <w:sz w:val="32"/>
          <w:szCs w:val="32"/>
          <w:lang w:val="en-US" w:eastAsia="zh-CN"/>
        </w:rPr>
        <w:t>抓住有利时机推进部分项目建设进度，确保项目如质如期完成；二是建议相关项目（如生态修复）制定统一的验收标准；三是建议加大项目配套资金预算，项目才能按概算完成实施。</w:t>
      </w:r>
      <w:r>
        <w:rPr>
          <w:rFonts w:hint="eastAsia" w:ascii="仿宋_GB2312" w:hAnsi="仿宋_GB2312" w:eastAsia="仿宋_GB2312" w:cs="仿宋_GB2312"/>
          <w:b w:val="0"/>
          <w:bCs w:val="0"/>
          <w:sz w:val="32"/>
          <w:szCs w:val="32"/>
          <w:lang w:val="en-US" w:eastAsia="zh-CN"/>
        </w:rPr>
        <w:t>预算绩效管理开展情况、绩效目标和绩效评价报告等，已在市政府部门财政预决算公开平台上向社会公开，详见附件。</w:t>
      </w:r>
    </w:p>
    <w:p w14:paraId="57833501">
      <w:pPr>
        <w:numPr>
          <w:ilvl w:val="0"/>
          <w:numId w:val="0"/>
        </w:numPr>
        <w:autoSpaceDE w:val="0"/>
        <w:autoSpaceDN w:val="0"/>
        <w:adjustRightInd w:val="0"/>
        <w:jc w:val="left"/>
        <w:rPr>
          <w:rFonts w:hint="eastAsia" w:ascii="楷体" w:hAnsi="楷体" w:eastAsia="楷体" w:cs="楷体"/>
          <w:b/>
          <w:bCs/>
          <w:i w:val="0"/>
          <w:iCs w:val="0"/>
          <w:color w:val="FF0000"/>
          <w:kern w:val="0"/>
          <w:sz w:val="36"/>
          <w:szCs w:val="36"/>
          <w:lang w:val="en-US" w:eastAsia="zh-CN"/>
        </w:rPr>
      </w:pPr>
    </w:p>
    <w:p w14:paraId="201E64E4">
      <w:pPr>
        <w:pStyle w:val="15"/>
        <w:jc w:val="both"/>
        <w:rPr>
          <w:sz w:val="72"/>
          <w:szCs w:val="72"/>
        </w:rPr>
      </w:pPr>
    </w:p>
    <w:p w14:paraId="2F8B636A">
      <w:pPr>
        <w:pStyle w:val="15"/>
        <w:jc w:val="center"/>
        <w:rPr>
          <w:sz w:val="72"/>
          <w:szCs w:val="72"/>
        </w:rPr>
      </w:pPr>
    </w:p>
    <w:p w14:paraId="14D9CFD6">
      <w:pPr>
        <w:pStyle w:val="15"/>
        <w:jc w:val="center"/>
        <w:rPr>
          <w:rFonts w:hint="eastAsia" w:ascii="方正小标宋_GBK" w:hAnsi="方正小标宋_GBK" w:eastAsia="方正小标宋_GBK" w:cs="方正小标宋_GBK"/>
          <w:sz w:val="70"/>
          <w:szCs w:val="70"/>
          <w:lang w:eastAsia="zh-CN"/>
        </w:rPr>
      </w:pPr>
    </w:p>
    <w:p w14:paraId="0790A916">
      <w:pPr>
        <w:pStyle w:val="15"/>
        <w:jc w:val="center"/>
        <w:rPr>
          <w:rFonts w:hint="eastAsia" w:ascii="方正小标宋_GBK" w:hAnsi="方正小标宋_GBK" w:eastAsia="方正小标宋_GBK" w:cs="方正小标宋_GBK"/>
          <w:sz w:val="70"/>
          <w:szCs w:val="70"/>
          <w:lang w:eastAsia="zh-CN"/>
        </w:rPr>
      </w:pPr>
    </w:p>
    <w:p w14:paraId="38DD9013">
      <w:pPr>
        <w:pStyle w:val="15"/>
        <w:jc w:val="center"/>
        <w:rPr>
          <w:rFonts w:hint="eastAsia" w:ascii="方正小标宋_GBK" w:hAnsi="方正小标宋_GBK" w:eastAsia="方正小标宋_GBK" w:cs="方正小标宋_GBK"/>
          <w:sz w:val="72"/>
          <w:szCs w:val="72"/>
        </w:rPr>
      </w:pPr>
    </w:p>
    <w:p w14:paraId="0290146D">
      <w:pPr>
        <w:pStyle w:val="15"/>
        <w:jc w:val="center"/>
        <w:rPr>
          <w:rFonts w:hint="eastAsia" w:ascii="方正小标宋_GBK" w:hAnsi="方正小标宋_GBK" w:eastAsia="方正小标宋_GBK" w:cs="方正小标宋_GBK"/>
          <w:sz w:val="72"/>
          <w:szCs w:val="72"/>
        </w:rPr>
      </w:pPr>
    </w:p>
    <w:p w14:paraId="64ECFA85">
      <w:pPr>
        <w:pStyle w:val="15"/>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14:paraId="6E86C9D0">
      <w:pPr>
        <w:jc w:val="center"/>
        <w:rPr>
          <w:rFonts w:hint="eastAsia" w:ascii="方正小标宋_GBK" w:hAnsi="方正小标宋_GBK" w:eastAsia="方正小标宋_GBK" w:cs="方正小标宋_GBK"/>
          <w:color w:val="000000"/>
          <w:kern w:val="0"/>
          <w:sz w:val="70"/>
          <w:szCs w:val="70"/>
        </w:rPr>
      </w:pPr>
    </w:p>
    <w:p w14:paraId="475CBF6F">
      <w:pPr>
        <w:pStyle w:val="15"/>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color w:val="000000"/>
          <w:kern w:val="0"/>
          <w:sz w:val="70"/>
          <w:szCs w:val="70"/>
        </w:rPr>
        <w:t>名词解释</w:t>
      </w:r>
    </w:p>
    <w:p w14:paraId="3831D278">
      <w:pPr>
        <w:pStyle w:val="10"/>
      </w:pPr>
    </w:p>
    <w:p w14:paraId="22623E3F">
      <w:pPr>
        <w:pStyle w:val="7"/>
      </w:pPr>
    </w:p>
    <w:p w14:paraId="1DCF611D"/>
    <w:p w14:paraId="3810DB7D">
      <w:pPr>
        <w:pStyle w:val="10"/>
      </w:pPr>
    </w:p>
    <w:p w14:paraId="3895A6CA">
      <w:pPr>
        <w:pStyle w:val="7"/>
      </w:pPr>
    </w:p>
    <w:p w14:paraId="2D4DA55A"/>
    <w:p w14:paraId="7E439B44">
      <w:pPr>
        <w:pStyle w:val="10"/>
      </w:pPr>
    </w:p>
    <w:p w14:paraId="2C1CB8E1">
      <w:pPr>
        <w:pStyle w:val="7"/>
      </w:pPr>
    </w:p>
    <w:p w14:paraId="011BDEA7"/>
    <w:p w14:paraId="523230B7">
      <w:pPr>
        <w:pStyle w:val="10"/>
      </w:pPr>
    </w:p>
    <w:p w14:paraId="152AF271">
      <w:pPr>
        <w:pStyle w:val="7"/>
      </w:pPr>
    </w:p>
    <w:p w14:paraId="3DED7032"/>
    <w:p w14:paraId="3E852CDE">
      <w:pPr>
        <w:pStyle w:val="10"/>
      </w:pPr>
    </w:p>
    <w:p w14:paraId="282EC3D5">
      <w:pPr>
        <w:pStyle w:val="7"/>
      </w:pPr>
    </w:p>
    <w:p w14:paraId="57348B8D"/>
    <w:p w14:paraId="619E7C77">
      <w:pPr>
        <w:pStyle w:val="10"/>
      </w:pPr>
    </w:p>
    <w:p w14:paraId="3C314985">
      <w:pPr>
        <w:pStyle w:val="7"/>
      </w:pPr>
    </w:p>
    <w:p w14:paraId="3747556E"/>
    <w:p w14:paraId="6319FC75">
      <w:pPr>
        <w:pStyle w:val="10"/>
      </w:pPr>
    </w:p>
    <w:p w14:paraId="3A0176DA">
      <w:pPr>
        <w:pStyle w:val="7"/>
      </w:pPr>
    </w:p>
    <w:p w14:paraId="4A83929E"/>
    <w:p w14:paraId="050EF8CE">
      <w:pPr>
        <w:pStyle w:val="10"/>
      </w:pPr>
    </w:p>
    <w:p w14:paraId="746F359D">
      <w:pPr>
        <w:pStyle w:val="7"/>
      </w:pPr>
    </w:p>
    <w:p w14:paraId="6FD3A343"/>
    <w:p w14:paraId="31CCB3FF">
      <w:pPr>
        <w:pStyle w:val="10"/>
      </w:pPr>
    </w:p>
    <w:p w14:paraId="283467C0">
      <w:pPr>
        <w:pStyle w:val="7"/>
      </w:pPr>
    </w:p>
    <w:p w14:paraId="4711CCC1"/>
    <w:p w14:paraId="25E7AE8D">
      <w:pPr>
        <w:pStyle w:val="10"/>
      </w:pPr>
    </w:p>
    <w:p w14:paraId="5A67FD08">
      <w:pPr>
        <w:pStyle w:val="7"/>
      </w:pPr>
    </w:p>
    <w:p w14:paraId="0728C934"/>
    <w:p w14:paraId="3FB4FF47">
      <w:pPr>
        <w:pStyle w:val="10"/>
      </w:pPr>
    </w:p>
    <w:p w14:paraId="2AFA1418">
      <w:pPr>
        <w:pStyle w:val="7"/>
      </w:pPr>
    </w:p>
    <w:p w14:paraId="498F91EF">
      <w:pPr>
        <w:pStyle w:val="7"/>
      </w:pPr>
    </w:p>
    <w:p w14:paraId="7B85D4BD"/>
    <w:p w14:paraId="341C47A4">
      <w:pPr>
        <w:pStyle w:val="10"/>
      </w:pPr>
    </w:p>
    <w:p w14:paraId="21F73209">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82D42D7">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二、机关运行经费</w:t>
      </w:r>
      <w:r>
        <w:rPr>
          <w:rFonts w:hint="eastAsia" w:ascii="仿宋_GB2312" w:hAnsi="仿宋_GB2312" w:eastAsia="仿宋_GB2312" w:cs="仿宋_GB2312"/>
          <w:color w:val="000000"/>
          <w:kern w:val="0"/>
          <w:sz w:val="32"/>
          <w:szCs w:val="32"/>
          <w:lang w:eastAsia="zh-CN"/>
        </w:rPr>
        <w:t>，指为保障行政单位（包括参照公务员法管理的事业单位）运行用于购买货物和服务的各项资金</w:t>
      </w:r>
      <w:r>
        <w:rPr>
          <w:rFonts w:hint="eastAsia" w:ascii="仿宋_GB2312" w:hAnsi="仿宋_GB2312" w:eastAsia="仿宋_GB2312" w:cs="仿宋_GB2312"/>
          <w:color w:val="000000"/>
          <w:kern w:val="0"/>
          <w:sz w:val="32"/>
          <w:szCs w:val="32"/>
        </w:rPr>
        <w:t>，包括办公</w:t>
      </w:r>
      <w:r>
        <w:rPr>
          <w:rFonts w:hint="eastAsia" w:ascii="仿宋_GB2312" w:hAnsi="仿宋_GB2312" w:eastAsia="仿宋_GB2312" w:cs="仿宋_GB2312"/>
          <w:color w:val="000000"/>
          <w:kern w:val="0"/>
          <w:sz w:val="32"/>
          <w:szCs w:val="32"/>
          <w:lang w:eastAsia="zh-CN"/>
        </w:rPr>
        <w:t>费、</w:t>
      </w:r>
      <w:r>
        <w:rPr>
          <w:rFonts w:hint="eastAsia" w:ascii="仿宋_GB2312" w:hAnsi="仿宋_GB2312" w:eastAsia="仿宋_GB2312" w:cs="仿宋_GB2312"/>
          <w:color w:val="000000"/>
          <w:kern w:val="0"/>
          <w:sz w:val="32"/>
          <w:szCs w:val="32"/>
        </w:rPr>
        <w:t>印刷费、邮电费、差旅费、会议费、日常维修费、专用材料及一般设备购置费、办公用房水电费、办公用房取暖费、办公用房物业管理费、公务用车运行维护费以及其他费用。</w:t>
      </w:r>
    </w:p>
    <w:p w14:paraId="2B78BBD8">
      <w:pPr>
        <w:ind w:firstLine="640" w:firstLineChars="200"/>
        <w:jc w:val="left"/>
        <w:rPr>
          <w:rFonts w:hint="default"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eastAsia="zh-CN"/>
        </w:rPr>
        <w:t>三</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lang w:eastAsia="zh-CN"/>
        </w:rPr>
        <w:t>财政拨款收入：指市级财政当年拨付的资金</w:t>
      </w:r>
    </w:p>
    <w:p w14:paraId="31C73211">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四</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lang w:eastAsia="zh-CN"/>
        </w:rPr>
        <w:t>其他收入：指除“财政拨款收入”以外的收入</w:t>
      </w:r>
    </w:p>
    <w:p w14:paraId="2893A16A">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五</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lang w:eastAsia="zh-CN"/>
        </w:rPr>
        <w:t>年初结转和结余：指以前年度尚未完成、结转到本年按有关规定继续使用的资金。</w:t>
      </w:r>
    </w:p>
    <w:p w14:paraId="0B961542">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六、社会保障和就业支出：指基本养老保险缴费。</w:t>
      </w:r>
    </w:p>
    <w:p w14:paraId="3B96DB0E">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七、卫生健康支出：指单位职工基本医疗保险缴费。</w:t>
      </w:r>
    </w:p>
    <w:p w14:paraId="70B4D75C">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八、节能环保支出：指湿地保护与恢复工程、生态环境监测项目、市级环保专项。</w:t>
      </w:r>
    </w:p>
    <w:p w14:paraId="4F5E9FF3">
      <w:pPr>
        <w:ind w:firstLine="640" w:firstLineChars="200"/>
        <w:jc w:val="left"/>
        <w:rPr>
          <w:rFonts w:hint="default"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 xml:space="preserve"> 九、城乡社区支出：指2022年湿地保护与修复项目、野生动植物保护项目、长江岸线候鸟栖息地生态保护与修复项目、2023年湿地保护与恢复项目等。</w:t>
      </w:r>
    </w:p>
    <w:p w14:paraId="053EFE58">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十、农林水支出：指为保障机构正常运行及开展日常工作的基本支出、野生动植物保护、湿地生态效益补偿项目、市级林业专项等。</w:t>
      </w:r>
    </w:p>
    <w:p w14:paraId="3A45A914">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十一、自然资源海洋气象等支出：指长江岸线候鸟栖息地生态保护与修复工程等。</w:t>
      </w:r>
    </w:p>
    <w:p w14:paraId="3B25E0A7">
      <w:pPr>
        <w:pStyle w:val="2"/>
        <w:ind w:firstLine="640" w:firstLineChars="200"/>
        <w:rPr>
          <w:rFonts w:hint="eastAsia"/>
          <w:lang w:eastAsia="zh-CN"/>
        </w:rPr>
      </w:pPr>
      <w:r>
        <w:rPr>
          <w:rFonts w:hint="eastAsia" w:ascii="仿宋_GB2312" w:hAnsi="仿宋_GB2312" w:eastAsia="仿宋_GB2312" w:cs="仿宋_GB2312"/>
          <w:color w:val="000000"/>
          <w:kern w:val="0"/>
          <w:sz w:val="32"/>
          <w:szCs w:val="32"/>
          <w:lang w:eastAsia="zh-CN"/>
        </w:rPr>
        <w:t>十二、住房保障支出：指单位住房公积金。</w:t>
      </w:r>
    </w:p>
    <w:p w14:paraId="33502ADD">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十三、年末结转和结余：指本年度或以前年度预算安排、因客观条件发生变化无法按原计划实施，需延迟到以后年度按有关规定继续使用的资金。</w:t>
      </w:r>
    </w:p>
    <w:p w14:paraId="705AAC76">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十四、基本支出：指为保障机构正常运转、完成日常工作任务而发生的人员支出和公用经费。</w:t>
      </w:r>
    </w:p>
    <w:p w14:paraId="02CAAD14">
      <w:pPr>
        <w:ind w:firstLine="640" w:firstLineChars="200"/>
        <w:jc w:val="left"/>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eastAsia="zh-CN"/>
        </w:rPr>
        <w:t>十五、项目支出</w:t>
      </w:r>
      <w:r>
        <w:rPr>
          <w:rFonts w:hint="eastAsia" w:ascii="仿宋_GB2312" w:hAnsi="仿宋_GB2312" w:eastAsia="仿宋_GB2312" w:cs="仿宋_GB2312"/>
          <w:color w:val="000000"/>
          <w:kern w:val="0"/>
          <w:sz w:val="32"/>
          <w:szCs w:val="32"/>
          <w:lang w:val="en-US" w:eastAsia="zh-CN"/>
        </w:rPr>
        <w:t>;指在基本支出之外为完成特定行政任务和林业发展目标所发生的支出。</w:t>
      </w:r>
    </w:p>
    <w:p w14:paraId="5E4ECB8A">
      <w:pPr>
        <w:ind w:firstLine="640" w:firstLineChars="200"/>
        <w:jc w:val="left"/>
        <w:rPr>
          <w:rFonts w:hint="eastAsia" w:ascii="仿宋_GB2312" w:hAnsi="仿宋_GB2312" w:eastAsia="仿宋_GB2312" w:cs="仿宋_GB2312"/>
          <w:color w:val="000000"/>
          <w:kern w:val="0"/>
          <w:sz w:val="32"/>
          <w:szCs w:val="32"/>
        </w:rPr>
      </w:pPr>
    </w:p>
    <w:p w14:paraId="430E4526">
      <w:pPr>
        <w:ind w:firstLine="640" w:firstLineChars="200"/>
        <w:jc w:val="left"/>
        <w:rPr>
          <w:rFonts w:hint="eastAsia" w:ascii="仿宋_GB2312" w:hAnsi="仿宋_GB2312" w:eastAsia="仿宋_GB2312" w:cs="仿宋_GB2312"/>
          <w:color w:val="000000"/>
          <w:kern w:val="0"/>
          <w:sz w:val="32"/>
          <w:szCs w:val="32"/>
        </w:rPr>
      </w:pPr>
    </w:p>
    <w:p w14:paraId="555244A8">
      <w:pPr>
        <w:ind w:firstLine="640" w:firstLineChars="200"/>
        <w:jc w:val="left"/>
        <w:rPr>
          <w:rFonts w:hint="eastAsia" w:ascii="仿宋_GB2312" w:hAnsi="仿宋_GB2312" w:eastAsia="仿宋_GB2312" w:cs="仿宋_GB2312"/>
          <w:color w:val="000000"/>
          <w:kern w:val="0"/>
          <w:sz w:val="32"/>
          <w:szCs w:val="32"/>
        </w:rPr>
      </w:pPr>
    </w:p>
    <w:p w14:paraId="3F4B34D6">
      <w:pPr>
        <w:ind w:firstLine="640" w:firstLineChars="200"/>
        <w:jc w:val="left"/>
        <w:rPr>
          <w:rFonts w:hint="eastAsia" w:ascii="仿宋_GB2312" w:hAnsi="仿宋_GB2312" w:eastAsia="仿宋_GB2312" w:cs="仿宋_GB2312"/>
          <w:color w:val="000000"/>
          <w:kern w:val="0"/>
          <w:sz w:val="32"/>
          <w:szCs w:val="32"/>
        </w:rPr>
      </w:pPr>
    </w:p>
    <w:p w14:paraId="4509CDB8">
      <w:pPr>
        <w:ind w:firstLine="640" w:firstLineChars="200"/>
        <w:jc w:val="left"/>
        <w:rPr>
          <w:rFonts w:hint="eastAsia" w:ascii="仿宋_GB2312" w:hAnsi="仿宋_GB2312" w:eastAsia="仿宋_GB2312" w:cs="仿宋_GB2312"/>
          <w:color w:val="000000"/>
          <w:kern w:val="0"/>
          <w:sz w:val="32"/>
          <w:szCs w:val="32"/>
        </w:rPr>
      </w:pPr>
    </w:p>
    <w:p w14:paraId="3A6F44A0">
      <w:pPr>
        <w:ind w:firstLine="640" w:firstLineChars="200"/>
        <w:jc w:val="left"/>
        <w:rPr>
          <w:rFonts w:hint="eastAsia" w:ascii="仿宋_GB2312" w:hAnsi="仿宋_GB2312" w:eastAsia="仿宋_GB2312" w:cs="仿宋_GB2312"/>
          <w:color w:val="000000"/>
          <w:kern w:val="0"/>
          <w:sz w:val="32"/>
          <w:szCs w:val="32"/>
        </w:rPr>
      </w:pPr>
    </w:p>
    <w:p w14:paraId="5B37CBDF">
      <w:pPr>
        <w:ind w:firstLine="640" w:firstLineChars="200"/>
        <w:jc w:val="left"/>
        <w:rPr>
          <w:rFonts w:hint="eastAsia" w:ascii="仿宋_GB2312" w:hAnsi="仿宋_GB2312" w:eastAsia="仿宋_GB2312" w:cs="仿宋_GB2312"/>
          <w:color w:val="000000"/>
          <w:kern w:val="0"/>
          <w:sz w:val="32"/>
          <w:szCs w:val="32"/>
        </w:rPr>
      </w:pPr>
    </w:p>
    <w:p w14:paraId="58593DFB">
      <w:pPr>
        <w:ind w:firstLine="640" w:firstLineChars="200"/>
        <w:jc w:val="left"/>
        <w:rPr>
          <w:rFonts w:hint="eastAsia" w:ascii="仿宋_GB2312" w:hAnsi="仿宋_GB2312" w:eastAsia="仿宋_GB2312" w:cs="仿宋_GB2312"/>
          <w:color w:val="000000"/>
          <w:kern w:val="0"/>
          <w:sz w:val="32"/>
          <w:szCs w:val="32"/>
        </w:rPr>
      </w:pPr>
    </w:p>
    <w:p w14:paraId="7852382A">
      <w:pPr>
        <w:ind w:firstLine="640" w:firstLineChars="200"/>
        <w:jc w:val="left"/>
        <w:rPr>
          <w:rFonts w:hint="eastAsia" w:ascii="仿宋_GB2312" w:hAnsi="仿宋_GB2312" w:eastAsia="仿宋_GB2312" w:cs="仿宋_GB2312"/>
          <w:color w:val="000000"/>
          <w:kern w:val="0"/>
          <w:sz w:val="32"/>
          <w:szCs w:val="32"/>
        </w:rPr>
      </w:pPr>
    </w:p>
    <w:p w14:paraId="1913212B">
      <w:pPr>
        <w:ind w:firstLine="640" w:firstLineChars="200"/>
        <w:jc w:val="left"/>
        <w:rPr>
          <w:rFonts w:hint="eastAsia" w:ascii="仿宋_GB2312" w:hAnsi="仿宋_GB2312" w:eastAsia="仿宋_GB2312" w:cs="仿宋_GB2312"/>
          <w:color w:val="000000"/>
          <w:kern w:val="0"/>
          <w:sz w:val="32"/>
          <w:szCs w:val="32"/>
        </w:rPr>
      </w:pPr>
    </w:p>
    <w:p w14:paraId="4FE05059">
      <w:pPr>
        <w:ind w:firstLine="640" w:firstLineChars="200"/>
        <w:jc w:val="left"/>
        <w:rPr>
          <w:rFonts w:hint="eastAsia" w:ascii="仿宋_GB2312" w:hAnsi="仿宋_GB2312" w:eastAsia="仿宋_GB2312" w:cs="仿宋_GB2312"/>
          <w:color w:val="000000"/>
          <w:kern w:val="0"/>
          <w:sz w:val="32"/>
          <w:szCs w:val="32"/>
        </w:rPr>
      </w:pPr>
    </w:p>
    <w:p w14:paraId="69781021">
      <w:pPr>
        <w:ind w:firstLine="640" w:firstLineChars="200"/>
        <w:jc w:val="left"/>
        <w:rPr>
          <w:rFonts w:hint="eastAsia" w:ascii="仿宋_GB2312" w:hAnsi="仿宋_GB2312" w:eastAsia="仿宋_GB2312" w:cs="仿宋_GB2312"/>
          <w:color w:val="000000"/>
          <w:kern w:val="0"/>
          <w:sz w:val="32"/>
          <w:szCs w:val="32"/>
        </w:rPr>
      </w:pPr>
    </w:p>
    <w:p w14:paraId="665F3869">
      <w:pPr>
        <w:ind w:firstLine="640" w:firstLineChars="200"/>
        <w:jc w:val="left"/>
        <w:rPr>
          <w:rFonts w:hint="eastAsia" w:ascii="仿宋_GB2312" w:hAnsi="仿宋_GB2312" w:eastAsia="仿宋_GB2312" w:cs="仿宋_GB2312"/>
          <w:color w:val="000000"/>
          <w:kern w:val="0"/>
          <w:sz w:val="32"/>
          <w:szCs w:val="32"/>
        </w:rPr>
      </w:pPr>
    </w:p>
    <w:p w14:paraId="5FD9DBCC">
      <w:pPr>
        <w:ind w:firstLine="640" w:firstLineChars="200"/>
        <w:jc w:val="left"/>
        <w:rPr>
          <w:rFonts w:hint="eastAsia" w:ascii="仿宋_GB2312" w:hAnsi="仿宋_GB2312" w:eastAsia="仿宋_GB2312" w:cs="仿宋_GB2312"/>
          <w:color w:val="000000"/>
          <w:kern w:val="0"/>
          <w:sz w:val="32"/>
          <w:szCs w:val="32"/>
        </w:rPr>
      </w:pPr>
    </w:p>
    <w:p w14:paraId="227FCDCC">
      <w:pPr>
        <w:ind w:firstLine="640" w:firstLineChars="200"/>
        <w:jc w:val="left"/>
        <w:rPr>
          <w:rFonts w:hint="eastAsia" w:ascii="仿宋_GB2312" w:hAnsi="仿宋_GB2312" w:eastAsia="仿宋_GB2312" w:cs="仿宋_GB2312"/>
          <w:color w:val="000000"/>
          <w:kern w:val="0"/>
          <w:sz w:val="32"/>
          <w:szCs w:val="32"/>
        </w:rPr>
      </w:pPr>
    </w:p>
    <w:p w14:paraId="068F288D">
      <w:pPr>
        <w:ind w:firstLine="640" w:firstLineChars="200"/>
        <w:jc w:val="left"/>
        <w:rPr>
          <w:rFonts w:hint="eastAsia" w:ascii="仿宋_GB2312" w:hAnsi="仿宋_GB2312" w:eastAsia="仿宋_GB2312" w:cs="仿宋_GB2312"/>
          <w:color w:val="000000"/>
          <w:kern w:val="0"/>
          <w:sz w:val="32"/>
          <w:szCs w:val="32"/>
        </w:rPr>
      </w:pPr>
    </w:p>
    <w:p w14:paraId="755951B1">
      <w:pPr>
        <w:ind w:firstLine="640" w:firstLineChars="200"/>
        <w:jc w:val="left"/>
        <w:rPr>
          <w:rFonts w:hint="eastAsia" w:ascii="仿宋_GB2312" w:hAnsi="仿宋_GB2312" w:eastAsia="仿宋_GB2312" w:cs="仿宋_GB2312"/>
          <w:color w:val="000000"/>
          <w:kern w:val="0"/>
          <w:sz w:val="32"/>
          <w:szCs w:val="32"/>
        </w:rPr>
      </w:pPr>
    </w:p>
    <w:p w14:paraId="3CF5E91C">
      <w:pPr>
        <w:ind w:firstLine="640" w:firstLineChars="200"/>
        <w:jc w:val="left"/>
        <w:rPr>
          <w:rFonts w:hint="eastAsia" w:ascii="仿宋_GB2312" w:hAnsi="仿宋_GB2312" w:eastAsia="仿宋_GB2312" w:cs="仿宋_GB2312"/>
          <w:color w:val="000000"/>
          <w:kern w:val="0"/>
          <w:sz w:val="32"/>
          <w:szCs w:val="32"/>
        </w:rPr>
      </w:pPr>
    </w:p>
    <w:p w14:paraId="7FA79344">
      <w:pPr>
        <w:ind w:firstLine="640" w:firstLineChars="200"/>
        <w:jc w:val="left"/>
        <w:rPr>
          <w:rFonts w:hint="eastAsia" w:ascii="仿宋_GB2312" w:hAnsi="仿宋_GB2312" w:eastAsia="仿宋_GB2312" w:cs="仿宋_GB2312"/>
          <w:color w:val="000000"/>
          <w:kern w:val="0"/>
          <w:sz w:val="32"/>
          <w:szCs w:val="32"/>
        </w:rPr>
      </w:pPr>
    </w:p>
    <w:p w14:paraId="240A19FC">
      <w:pPr>
        <w:ind w:firstLine="640" w:firstLineChars="200"/>
        <w:jc w:val="left"/>
        <w:rPr>
          <w:rFonts w:hint="eastAsia" w:ascii="仿宋_GB2312" w:hAnsi="仿宋_GB2312" w:eastAsia="仿宋_GB2312" w:cs="仿宋_GB2312"/>
          <w:color w:val="000000"/>
          <w:kern w:val="0"/>
          <w:sz w:val="32"/>
          <w:szCs w:val="32"/>
        </w:rPr>
      </w:pPr>
    </w:p>
    <w:p w14:paraId="6BFD0B5E">
      <w:pPr>
        <w:pStyle w:val="15"/>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2"/>
          <w:szCs w:val="72"/>
        </w:rPr>
        <w:t>第</w:t>
      </w:r>
      <w:r>
        <w:rPr>
          <w:rFonts w:hint="eastAsia" w:ascii="方正小标宋_GBK" w:hAnsi="方正小标宋_GBK" w:eastAsia="方正小标宋_GBK" w:cs="方正小标宋_GBK"/>
          <w:sz w:val="72"/>
          <w:szCs w:val="72"/>
          <w:lang w:eastAsia="zh-CN"/>
        </w:rPr>
        <w:t>五</w:t>
      </w:r>
      <w:r>
        <w:rPr>
          <w:rFonts w:hint="eastAsia" w:ascii="方正小标宋_GBK" w:hAnsi="方正小标宋_GBK" w:eastAsia="方正小标宋_GBK" w:cs="方正小标宋_GBK"/>
          <w:sz w:val="72"/>
          <w:szCs w:val="72"/>
        </w:rPr>
        <w:t>部分</w:t>
      </w:r>
    </w:p>
    <w:p w14:paraId="5DE60F24">
      <w:pPr>
        <w:pStyle w:val="15"/>
        <w:jc w:val="both"/>
        <w:rPr>
          <w:rFonts w:hint="eastAsia" w:ascii="方正小标宋_GBK" w:hAnsi="方正小标宋_GBK" w:eastAsia="方正小标宋_GBK" w:cs="方正小标宋_GBK"/>
          <w:sz w:val="70"/>
          <w:szCs w:val="70"/>
          <w:lang w:eastAsia="zh-CN"/>
        </w:rPr>
      </w:pPr>
    </w:p>
    <w:p w14:paraId="67189A2E">
      <w:pPr>
        <w:pStyle w:val="15"/>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sz w:val="70"/>
          <w:szCs w:val="70"/>
          <w:lang w:eastAsia="zh-CN"/>
        </w:rPr>
        <w:t>附</w:t>
      </w:r>
      <w:r>
        <w:rPr>
          <w:rFonts w:hint="eastAsia" w:ascii="方正小标宋_GBK" w:hAnsi="方正小标宋_GBK" w:eastAsia="方正小标宋_GBK" w:cs="方正小标宋_GBK"/>
          <w:sz w:val="70"/>
          <w:szCs w:val="70"/>
          <w:lang w:val="en-US" w:eastAsia="zh-CN"/>
        </w:rPr>
        <w:t xml:space="preserve"> </w:t>
      </w:r>
      <w:r>
        <w:rPr>
          <w:rFonts w:hint="eastAsia" w:ascii="方正小标宋_GBK" w:hAnsi="方正小标宋_GBK" w:eastAsia="方正小标宋_GBK" w:cs="方正小标宋_GBK"/>
          <w:sz w:val="70"/>
          <w:szCs w:val="70"/>
          <w:lang w:eastAsia="zh-CN"/>
        </w:rPr>
        <w:t>件</w:t>
      </w:r>
    </w:p>
    <w:p w14:paraId="552A10CE">
      <w:pPr>
        <w:ind w:firstLine="640" w:firstLineChars="200"/>
        <w:jc w:val="left"/>
        <w:rPr>
          <w:rFonts w:hint="eastAsia" w:ascii="宋体" w:hAnsi="宋体" w:eastAsia="宋体" w:cs="黑体"/>
          <w:b/>
          <w:color w:val="000000"/>
          <w:kern w:val="0"/>
          <w:sz w:val="32"/>
          <w:szCs w:val="32"/>
          <w:lang w:val="en-US" w:eastAsia="zh-CN"/>
        </w:rPr>
      </w:pPr>
    </w:p>
    <w:p w14:paraId="3769EE49">
      <w:pPr>
        <w:ind w:firstLine="640" w:firstLineChars="200"/>
        <w:jc w:val="left"/>
        <w:rPr>
          <w:rFonts w:hint="eastAsia" w:ascii="宋体" w:hAnsi="宋体" w:eastAsia="宋体" w:cs="黑体"/>
          <w:b/>
          <w:color w:val="000000"/>
          <w:kern w:val="0"/>
          <w:sz w:val="32"/>
          <w:szCs w:val="32"/>
          <w:lang w:val="en-US" w:eastAsia="zh-CN"/>
        </w:rPr>
      </w:pPr>
      <w:r>
        <w:rPr>
          <w:rFonts w:hint="eastAsia" w:ascii="宋体" w:hAnsi="宋体" w:eastAsia="宋体" w:cs="黑体"/>
          <w:b/>
          <w:color w:val="000000"/>
          <w:kern w:val="0"/>
          <w:sz w:val="32"/>
          <w:szCs w:val="32"/>
          <w:lang w:val="en-US" w:eastAsia="zh-CN"/>
        </w:rPr>
        <w:t>1、2023年部门决算公开表格</w:t>
      </w:r>
    </w:p>
    <w:p w14:paraId="0FA6C8A1">
      <w:pPr>
        <w:ind w:firstLine="640" w:firstLineChars="200"/>
        <w:jc w:val="left"/>
        <w:rPr>
          <w:rFonts w:ascii="宋体" w:hAnsi="宋体" w:eastAsia="宋体" w:cs="黑体"/>
          <w:color w:val="000000"/>
          <w:kern w:val="0"/>
          <w:sz w:val="32"/>
          <w:szCs w:val="32"/>
        </w:rPr>
      </w:pPr>
      <w:r>
        <w:rPr>
          <w:rFonts w:hint="eastAsia" w:ascii="宋体" w:hAnsi="宋体" w:eastAsia="宋体" w:cs="黑体"/>
          <w:b/>
          <w:color w:val="000000"/>
          <w:kern w:val="0"/>
          <w:sz w:val="32"/>
          <w:szCs w:val="32"/>
          <w:lang w:val="en-US" w:eastAsia="zh-CN"/>
        </w:rPr>
        <w:t>2、</w:t>
      </w:r>
      <w:r>
        <w:rPr>
          <w:rFonts w:hint="eastAsia" w:ascii="宋体" w:hAnsi="宋体" w:eastAsia="宋体" w:cs="黑体"/>
          <w:b/>
          <w:color w:val="000000"/>
          <w:kern w:val="0"/>
          <w:sz w:val="32"/>
          <w:szCs w:val="32"/>
        </w:rPr>
        <w:t>202</w:t>
      </w:r>
      <w:r>
        <w:rPr>
          <w:rFonts w:hint="eastAsia" w:ascii="宋体" w:hAnsi="宋体" w:eastAsia="宋体" w:cs="黑体"/>
          <w:b/>
          <w:color w:val="000000"/>
          <w:kern w:val="0"/>
          <w:sz w:val="32"/>
          <w:szCs w:val="32"/>
          <w:lang w:val="en-US" w:eastAsia="zh-CN"/>
        </w:rPr>
        <w:t>3</w:t>
      </w:r>
      <w:r>
        <w:rPr>
          <w:rFonts w:hint="eastAsia" w:ascii="宋体" w:hAnsi="宋体" w:eastAsia="宋体" w:cs="黑体"/>
          <w:b/>
          <w:color w:val="000000"/>
          <w:kern w:val="0"/>
          <w:sz w:val="32"/>
          <w:szCs w:val="32"/>
        </w:rPr>
        <w:t>年度部门整体支出绩效评价报告</w:t>
      </w:r>
    </w:p>
    <w:p w14:paraId="20ADDAC3"/>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4NWZmOGRjYjgyMzBkNjY4OGE4ZThkOWE2MDMyOTYifQ=="/>
  </w:docVars>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16FE2"/>
    <w:rsid w:val="00E37D6C"/>
    <w:rsid w:val="00E55B68"/>
    <w:rsid w:val="00E561AE"/>
    <w:rsid w:val="00E67BE6"/>
    <w:rsid w:val="00E8683C"/>
    <w:rsid w:val="00EA2B72"/>
    <w:rsid w:val="00F74360"/>
    <w:rsid w:val="00FB462F"/>
    <w:rsid w:val="00FE16FA"/>
    <w:rsid w:val="00FE328A"/>
    <w:rsid w:val="00FE6269"/>
    <w:rsid w:val="00FF5CD6"/>
    <w:rsid w:val="059958AD"/>
    <w:rsid w:val="0BA47589"/>
    <w:rsid w:val="12583BA5"/>
    <w:rsid w:val="13AE5F35"/>
    <w:rsid w:val="13BA5B9C"/>
    <w:rsid w:val="19EC6CCB"/>
    <w:rsid w:val="1C8A6328"/>
    <w:rsid w:val="1D97DEFF"/>
    <w:rsid w:val="1DFF72E5"/>
    <w:rsid w:val="1E695942"/>
    <w:rsid w:val="1EFC6F07"/>
    <w:rsid w:val="22AC03C2"/>
    <w:rsid w:val="244024F2"/>
    <w:rsid w:val="27304943"/>
    <w:rsid w:val="2A370DFB"/>
    <w:rsid w:val="2FDF85B8"/>
    <w:rsid w:val="2FFFEE04"/>
    <w:rsid w:val="31C95635"/>
    <w:rsid w:val="34DF85B0"/>
    <w:rsid w:val="35B71AE4"/>
    <w:rsid w:val="38F24122"/>
    <w:rsid w:val="3B8F36BC"/>
    <w:rsid w:val="3DAB2038"/>
    <w:rsid w:val="491FF225"/>
    <w:rsid w:val="4D8367CC"/>
    <w:rsid w:val="4DB03590"/>
    <w:rsid w:val="4FFD214C"/>
    <w:rsid w:val="5005386E"/>
    <w:rsid w:val="501C49BC"/>
    <w:rsid w:val="5352765A"/>
    <w:rsid w:val="5777D4F5"/>
    <w:rsid w:val="590D7AE9"/>
    <w:rsid w:val="59DD8326"/>
    <w:rsid w:val="5DA97692"/>
    <w:rsid w:val="5DEF592A"/>
    <w:rsid w:val="5FC6BB1E"/>
    <w:rsid w:val="5FF720F1"/>
    <w:rsid w:val="67FF5C0B"/>
    <w:rsid w:val="6BAA4A2F"/>
    <w:rsid w:val="6EFC0924"/>
    <w:rsid w:val="6FB74722"/>
    <w:rsid w:val="6FEF8B7E"/>
    <w:rsid w:val="71A6591B"/>
    <w:rsid w:val="71B8620B"/>
    <w:rsid w:val="737D59BA"/>
    <w:rsid w:val="737F32B1"/>
    <w:rsid w:val="75A153E9"/>
    <w:rsid w:val="77C37683"/>
    <w:rsid w:val="79641D75"/>
    <w:rsid w:val="79FF515B"/>
    <w:rsid w:val="7B130B37"/>
    <w:rsid w:val="7D607ABF"/>
    <w:rsid w:val="7E9E1962"/>
    <w:rsid w:val="7E9F11B4"/>
    <w:rsid w:val="7F37EC1E"/>
    <w:rsid w:val="7F7DCD9D"/>
    <w:rsid w:val="7F970A6F"/>
    <w:rsid w:val="7FC1FFF3"/>
    <w:rsid w:val="7FC69637"/>
    <w:rsid w:val="7FDF8620"/>
    <w:rsid w:val="7FFB242F"/>
    <w:rsid w:val="7FFDB408"/>
    <w:rsid w:val="7FFE4EEB"/>
    <w:rsid w:val="95FB2B98"/>
    <w:rsid w:val="9A639BC2"/>
    <w:rsid w:val="9FF7D786"/>
    <w:rsid w:val="ABBFB23D"/>
    <w:rsid w:val="C3B4DA5A"/>
    <w:rsid w:val="CBFF70E0"/>
    <w:rsid w:val="CFF50B82"/>
    <w:rsid w:val="CFFFAD89"/>
    <w:rsid w:val="DFFE359E"/>
    <w:rsid w:val="DFFE4FFD"/>
    <w:rsid w:val="EEABED75"/>
    <w:rsid w:val="F56FDF51"/>
    <w:rsid w:val="F6B69F17"/>
    <w:rsid w:val="F77F1D61"/>
    <w:rsid w:val="F7FED3A9"/>
    <w:rsid w:val="F8C9DB26"/>
    <w:rsid w:val="F97E8EAE"/>
    <w:rsid w:val="FB36E1A6"/>
    <w:rsid w:val="FB3BE134"/>
    <w:rsid w:val="FCFF4275"/>
    <w:rsid w:val="FD7FEEEA"/>
    <w:rsid w:val="FDFFB577"/>
    <w:rsid w:val="FEEA50FE"/>
    <w:rsid w:val="FF7D47A9"/>
    <w:rsid w:val="FFCF21CB"/>
    <w:rsid w:val="FFFF1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next w:val="4"/>
    <w:qFormat/>
    <w:uiPriority w:val="0"/>
    <w:pPr>
      <w:spacing w:after="120" w:afterAutospacing="0"/>
    </w:pPr>
  </w:style>
  <w:style w:type="paragraph" w:customStyle="1" w:styleId="4">
    <w:name w:val="Body Text Indent 21"/>
    <w:basedOn w:val="1"/>
    <w:next w:val="5"/>
    <w:qFormat/>
    <w:uiPriority w:val="0"/>
    <w:pPr>
      <w:widowControl/>
      <w:overflowPunct w:val="0"/>
      <w:autoSpaceDE w:val="0"/>
      <w:autoSpaceDN w:val="0"/>
      <w:adjustRightInd w:val="0"/>
      <w:spacing w:line="360" w:lineRule="auto"/>
      <w:ind w:firstLine="555"/>
      <w:textAlignment w:val="baseline"/>
    </w:pPr>
    <w:rPr>
      <w:rFonts w:ascii="宋体"/>
      <w:spacing w:val="12"/>
      <w:kern w:val="0"/>
      <w:sz w:val="24"/>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Indent"/>
    <w:basedOn w:val="1"/>
    <w:next w:val="7"/>
    <w:unhideWhenUsed/>
    <w:qFormat/>
    <w:uiPriority w:val="99"/>
    <w:pPr>
      <w:widowControl/>
      <w:spacing w:after="120"/>
      <w:ind w:left="420" w:leftChars="200"/>
      <w:jc w:val="left"/>
    </w:pPr>
    <w:rPr>
      <w:rFonts w:ascii="宋体" w:hAnsi="宋体" w:eastAsia="宋体" w:cs="宋体"/>
      <w:kern w:val="0"/>
      <w:sz w:val="24"/>
    </w:rPr>
  </w:style>
  <w:style w:type="paragraph" w:styleId="7">
    <w:name w:val="Body Text First Indent 2"/>
    <w:basedOn w:val="6"/>
    <w:next w:val="1"/>
    <w:unhideWhenUsed/>
    <w:qFormat/>
    <w:uiPriority w:val="99"/>
    <w:pPr>
      <w:ind w:firstLine="420" w:firstLineChars="200"/>
    </w:pPr>
  </w:style>
  <w:style w:type="paragraph" w:styleId="8">
    <w:name w:val="Balloon Text"/>
    <w:basedOn w:val="1"/>
    <w:link w:val="17"/>
    <w:semiHidden/>
    <w:unhideWhenUsed/>
    <w:qFormat/>
    <w:uiPriority w:val="99"/>
    <w:rPr>
      <w:sz w:val="18"/>
      <w:szCs w:val="18"/>
    </w:rPr>
  </w:style>
  <w:style w:type="paragraph" w:styleId="9">
    <w:name w:val="footer"/>
    <w:basedOn w:val="1"/>
    <w:link w:val="14"/>
    <w:unhideWhenUsed/>
    <w:qFormat/>
    <w:uiPriority w:val="99"/>
    <w:pPr>
      <w:tabs>
        <w:tab w:val="center" w:pos="4153"/>
        <w:tab w:val="right" w:pos="8306"/>
      </w:tabs>
      <w:snapToGrid w:val="0"/>
      <w:jc w:val="left"/>
    </w:pPr>
    <w:rPr>
      <w:sz w:val="18"/>
      <w:szCs w:val="18"/>
    </w:rPr>
  </w:style>
  <w:style w:type="paragraph" w:styleId="10">
    <w:name w:val="footnote text"/>
    <w:basedOn w:val="1"/>
    <w:next w:val="7"/>
    <w:semiHidden/>
    <w:qFormat/>
    <w:uiPriority w:val="0"/>
    <w:pPr>
      <w:snapToGrid w:val="0"/>
      <w:jc w:val="left"/>
    </w:pPr>
    <w:rPr>
      <w:sz w:val="18"/>
      <w:szCs w:val="18"/>
    </w:rPr>
  </w:style>
  <w:style w:type="character" w:customStyle="1" w:styleId="13">
    <w:name w:val="页眉 Char"/>
    <w:basedOn w:val="12"/>
    <w:link w:val="5"/>
    <w:qFormat/>
    <w:uiPriority w:val="99"/>
    <w:rPr>
      <w:sz w:val="18"/>
      <w:szCs w:val="18"/>
    </w:rPr>
  </w:style>
  <w:style w:type="character" w:customStyle="1" w:styleId="14">
    <w:name w:val="页脚 Char"/>
    <w:basedOn w:val="12"/>
    <w:link w:val="9"/>
    <w:qFormat/>
    <w:uiPriority w:val="99"/>
    <w:rPr>
      <w:sz w:val="18"/>
      <w:szCs w:val="18"/>
    </w:rPr>
  </w:style>
  <w:style w:type="paragraph" w:customStyle="1" w:styleId="15">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6">
    <w:name w:val="List Paragraph"/>
    <w:basedOn w:val="1"/>
    <w:qFormat/>
    <w:uiPriority w:val="34"/>
    <w:pPr>
      <w:ind w:firstLine="420" w:firstLineChars="200"/>
    </w:pPr>
  </w:style>
  <w:style w:type="character" w:customStyle="1" w:styleId="17">
    <w:name w:val="批注框文本 Char"/>
    <w:basedOn w:val="12"/>
    <w:link w:val="8"/>
    <w:semiHidden/>
    <w:qFormat/>
    <w:uiPriority w:val="99"/>
    <w:rPr>
      <w:sz w:val="18"/>
      <w:szCs w:val="18"/>
    </w:rPr>
  </w:style>
  <w:style w:type="character" w:customStyle="1" w:styleId="18">
    <w:name w:val="font01"/>
    <w:basedOn w:val="12"/>
    <w:qFormat/>
    <w:uiPriority w:val="0"/>
    <w:rPr>
      <w:rFonts w:hint="eastAsia" w:ascii="宋体" w:hAnsi="宋体" w:eastAsia="宋体" w:cs="宋体"/>
      <w:color w:val="000000"/>
      <w:sz w:val="22"/>
      <w:szCs w:val="22"/>
      <w:u w:val="none"/>
    </w:rPr>
  </w:style>
  <w:style w:type="character" w:customStyle="1" w:styleId="19">
    <w:name w:val="font21"/>
    <w:basedOn w:val="12"/>
    <w:qFormat/>
    <w:uiPriority w:val="0"/>
    <w:rPr>
      <w:rFonts w:hint="eastAsia" w:ascii="宋体" w:hAnsi="宋体" w:eastAsia="宋体" w:cs="宋体"/>
      <w:color w:val="000000"/>
      <w:sz w:val="24"/>
      <w:szCs w:val="24"/>
      <w:u w:val="none"/>
    </w:rPr>
  </w:style>
  <w:style w:type="character" w:customStyle="1" w:styleId="20">
    <w:name w:val="font11"/>
    <w:basedOn w:val="12"/>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19</Pages>
  <Words>7159</Words>
  <Characters>7823</Characters>
  <Lines>63</Lines>
  <Paragraphs>18</Paragraphs>
  <TotalTime>62</TotalTime>
  <ScaleCrop>false</ScaleCrop>
  <LinksUpToDate>false</LinksUpToDate>
  <CharactersWithSpaces>7844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2020-07-08T02:32:00Z</dcterms:created>
  <dc:creator>李航 null</dc:creator>
  <cp:lastModifiedBy>丫丫</cp:lastModifiedBy>
  <cp:lastPrinted>2024-08-08T10:20:00Z</cp:lastPrinted>
  <dcterms:modified xsi:type="dcterms:W3CDTF">2025-08-26T01:42:07Z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98623D6660B449428EB8E073C6C952EA</vt:lpwstr>
  </property>
  <property fmtid="{D5CDD505-2E9C-101B-9397-08002B2CF9AE}" pid="4" name="KSOTemplateDocerSaveRecord">
    <vt:lpwstr>eyJoZGlkIjoiMGI4NWZmOGRjYjgyMzBkNjY4OGE4ZThkOWE2MDMyOTYiLCJ1c2VySWQiOiIxMDEwMDg0ODM1In0=</vt:lpwstr>
  </property>
</Properties>
</file>