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B80A8">
      <w:pPr>
        <w:pStyle w:val="15"/>
        <w:jc w:val="center"/>
        <w:rPr>
          <w:sz w:val="56"/>
          <w:szCs w:val="56"/>
        </w:rPr>
      </w:pPr>
    </w:p>
    <w:p w14:paraId="3085629F">
      <w:pPr>
        <w:pStyle w:val="15"/>
        <w:jc w:val="center"/>
        <w:rPr>
          <w:sz w:val="56"/>
          <w:szCs w:val="56"/>
        </w:rPr>
      </w:pPr>
    </w:p>
    <w:p w14:paraId="314E3974">
      <w:pPr>
        <w:pStyle w:val="15"/>
        <w:jc w:val="center"/>
        <w:rPr>
          <w:sz w:val="84"/>
          <w:szCs w:val="84"/>
        </w:rPr>
      </w:pPr>
    </w:p>
    <w:p w14:paraId="34D55948">
      <w:pPr>
        <w:pStyle w:val="15"/>
        <w:jc w:val="center"/>
        <w:rPr>
          <w:sz w:val="84"/>
          <w:szCs w:val="84"/>
        </w:rPr>
      </w:pPr>
    </w:p>
    <w:p w14:paraId="70593EDC">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F5FD9E9">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岳阳市巴陵戏传承研究院</w:t>
      </w:r>
    </w:p>
    <w:p w14:paraId="1681ED37">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单位</w:t>
      </w:r>
      <w:r>
        <w:rPr>
          <w:rFonts w:hint="eastAsia" w:ascii="方正小标宋_GBK" w:hAnsi="方正小标宋_GBK" w:eastAsia="方正小标宋_GBK" w:cs="方正小标宋_GBK"/>
          <w:sz w:val="84"/>
          <w:szCs w:val="84"/>
        </w:rPr>
        <w:t>决算</w:t>
      </w:r>
    </w:p>
    <w:p w14:paraId="46596354">
      <w:pPr>
        <w:pStyle w:val="15"/>
        <w:jc w:val="center"/>
        <w:rPr>
          <w:rFonts w:hint="eastAsia" w:ascii="方正小标宋_GBK" w:hAnsi="方正小标宋_GBK" w:eastAsia="方正小标宋_GBK" w:cs="方正小标宋_GBK"/>
          <w:sz w:val="56"/>
          <w:szCs w:val="56"/>
        </w:rPr>
      </w:pPr>
    </w:p>
    <w:p w14:paraId="6A222335">
      <w:pPr>
        <w:pStyle w:val="15"/>
        <w:jc w:val="center"/>
        <w:rPr>
          <w:sz w:val="56"/>
          <w:szCs w:val="56"/>
        </w:rPr>
      </w:pPr>
    </w:p>
    <w:p w14:paraId="599B8512">
      <w:pPr>
        <w:pStyle w:val="15"/>
        <w:jc w:val="center"/>
        <w:rPr>
          <w:sz w:val="56"/>
          <w:szCs w:val="56"/>
        </w:rPr>
      </w:pPr>
    </w:p>
    <w:p w14:paraId="104F30EA">
      <w:pPr>
        <w:pStyle w:val="15"/>
        <w:jc w:val="center"/>
        <w:rPr>
          <w:sz w:val="56"/>
          <w:szCs w:val="56"/>
        </w:rPr>
      </w:pPr>
    </w:p>
    <w:p w14:paraId="5C65A5E5">
      <w:pPr>
        <w:pStyle w:val="15"/>
        <w:jc w:val="center"/>
        <w:rPr>
          <w:sz w:val="32"/>
          <w:szCs w:val="32"/>
        </w:rPr>
      </w:pPr>
    </w:p>
    <w:p w14:paraId="3B86C702">
      <w:pPr>
        <w:pStyle w:val="15"/>
        <w:jc w:val="center"/>
        <w:rPr>
          <w:sz w:val="32"/>
          <w:szCs w:val="32"/>
        </w:rPr>
      </w:pPr>
    </w:p>
    <w:p w14:paraId="3CF98D51">
      <w:pPr>
        <w:pStyle w:val="15"/>
        <w:jc w:val="center"/>
        <w:rPr>
          <w:sz w:val="32"/>
          <w:szCs w:val="32"/>
        </w:rPr>
      </w:pPr>
    </w:p>
    <w:p w14:paraId="774EDC1A">
      <w:pPr>
        <w:pStyle w:val="15"/>
        <w:jc w:val="center"/>
        <w:rPr>
          <w:sz w:val="32"/>
          <w:szCs w:val="32"/>
        </w:rPr>
      </w:pPr>
    </w:p>
    <w:p w14:paraId="496B7C05">
      <w:pPr>
        <w:pStyle w:val="15"/>
        <w:jc w:val="center"/>
        <w:rPr>
          <w:sz w:val="32"/>
          <w:szCs w:val="32"/>
        </w:rPr>
      </w:pPr>
    </w:p>
    <w:p w14:paraId="315E28C5">
      <w:pPr>
        <w:pStyle w:val="15"/>
        <w:spacing w:line="540" w:lineRule="exact"/>
        <w:jc w:val="center"/>
        <w:rPr>
          <w:sz w:val="56"/>
          <w:szCs w:val="56"/>
        </w:rPr>
      </w:pPr>
    </w:p>
    <w:p w14:paraId="0C9C6C4D">
      <w:pPr>
        <w:pStyle w:val="15"/>
        <w:spacing w:line="500" w:lineRule="exact"/>
        <w:jc w:val="both"/>
        <w:rPr>
          <w:b/>
          <w:sz w:val="36"/>
          <w:szCs w:val="28"/>
        </w:rPr>
      </w:pPr>
    </w:p>
    <w:p w14:paraId="4E387550">
      <w:pPr>
        <w:pStyle w:val="15"/>
        <w:spacing w:line="500" w:lineRule="exact"/>
        <w:jc w:val="center"/>
        <w:rPr>
          <w:b/>
          <w:sz w:val="36"/>
          <w:szCs w:val="28"/>
        </w:rPr>
      </w:pPr>
      <w:r>
        <w:rPr>
          <w:rFonts w:hint="eastAsia"/>
          <w:b/>
          <w:sz w:val="36"/>
          <w:szCs w:val="28"/>
        </w:rPr>
        <w:t>目录</w:t>
      </w:r>
    </w:p>
    <w:p w14:paraId="0E0BE8B5">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岳阳市巴陵戏传承研究院单位</w:t>
      </w:r>
      <w:r>
        <w:rPr>
          <w:rFonts w:hint="eastAsia" w:ascii="黑体" w:hAnsi="黑体" w:eastAsia="黑体" w:cs="黑体"/>
          <w:b w:val="0"/>
          <w:bCs/>
          <w:sz w:val="28"/>
          <w:szCs w:val="28"/>
        </w:rPr>
        <w:t>概况</w:t>
      </w:r>
    </w:p>
    <w:p w14:paraId="0C4F433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52322B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F45CFD4">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3D233A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9EBC3C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B6B024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B08EAE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E06F6F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0BDE3E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CC00DC5">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C69CE2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6EF3DB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C60AF6D">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9B810D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3D7C85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E960E2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BCD4FF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5B3D5C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069D53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FF8327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0D21289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32EF037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115D282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3145FB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0E7D026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03AE566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04BCBFB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04BA72F">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743D355">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77E1630">
      <w:pPr>
        <w:pStyle w:val="15"/>
        <w:jc w:val="center"/>
        <w:rPr>
          <w:rFonts w:hint="eastAsia" w:ascii="方正小标宋_GBK" w:hAnsi="方正小标宋_GBK" w:eastAsia="方正小标宋_GBK" w:cs="方正小标宋_GBK"/>
          <w:sz w:val="84"/>
          <w:szCs w:val="84"/>
        </w:rPr>
      </w:pPr>
    </w:p>
    <w:p w14:paraId="20CCA1C3">
      <w:pPr>
        <w:pStyle w:val="15"/>
        <w:jc w:val="center"/>
        <w:rPr>
          <w:rFonts w:hint="eastAsia" w:ascii="方正小标宋_GBK" w:hAnsi="方正小标宋_GBK" w:eastAsia="方正小标宋_GBK" w:cs="方正小标宋_GBK"/>
          <w:sz w:val="84"/>
          <w:szCs w:val="84"/>
        </w:rPr>
      </w:pPr>
    </w:p>
    <w:p w14:paraId="651A306F">
      <w:pPr>
        <w:pStyle w:val="15"/>
        <w:jc w:val="center"/>
        <w:rPr>
          <w:rFonts w:hint="eastAsia" w:ascii="方正小标宋_GBK" w:hAnsi="方正小标宋_GBK" w:eastAsia="方正小标宋_GBK" w:cs="方正小标宋_GBK"/>
          <w:sz w:val="84"/>
          <w:szCs w:val="84"/>
        </w:rPr>
      </w:pPr>
    </w:p>
    <w:p w14:paraId="18C7F40D">
      <w:pPr>
        <w:pStyle w:val="15"/>
        <w:jc w:val="center"/>
        <w:rPr>
          <w:rFonts w:hint="eastAsia" w:ascii="方正小标宋_GBK" w:hAnsi="方正小标宋_GBK" w:eastAsia="方正小标宋_GBK" w:cs="方正小标宋_GBK"/>
          <w:sz w:val="84"/>
          <w:szCs w:val="84"/>
        </w:rPr>
      </w:pPr>
    </w:p>
    <w:p w14:paraId="7F929E79">
      <w:pPr>
        <w:pStyle w:val="15"/>
        <w:jc w:val="center"/>
        <w:rPr>
          <w:rFonts w:hint="eastAsia" w:ascii="方正小标宋_GBK" w:hAnsi="方正小标宋_GBK" w:eastAsia="方正小标宋_GBK" w:cs="方正小标宋_GBK"/>
          <w:sz w:val="84"/>
          <w:szCs w:val="84"/>
        </w:rPr>
      </w:pPr>
    </w:p>
    <w:p w14:paraId="4EA28CD7">
      <w:pPr>
        <w:pStyle w:val="15"/>
        <w:jc w:val="center"/>
        <w:rPr>
          <w:rFonts w:hint="eastAsia" w:ascii="方正小标宋_GBK" w:hAnsi="方正小标宋_GBK" w:eastAsia="方正小标宋_GBK" w:cs="方正小标宋_GBK"/>
          <w:sz w:val="84"/>
          <w:szCs w:val="84"/>
        </w:rPr>
      </w:pPr>
    </w:p>
    <w:p w14:paraId="496C8B34">
      <w:pPr>
        <w:pStyle w:val="15"/>
        <w:jc w:val="center"/>
        <w:rPr>
          <w:rFonts w:hint="eastAsia" w:ascii="方正小标宋_GBK" w:hAnsi="方正小标宋_GBK" w:eastAsia="方正小标宋_GBK" w:cs="方正小标宋_GBK"/>
          <w:sz w:val="84"/>
          <w:szCs w:val="84"/>
        </w:rPr>
      </w:pPr>
    </w:p>
    <w:p w14:paraId="56D22804">
      <w:pPr>
        <w:pStyle w:val="15"/>
        <w:jc w:val="center"/>
        <w:rPr>
          <w:rFonts w:hint="eastAsia" w:ascii="方正小标宋_GBK" w:hAnsi="方正小标宋_GBK" w:eastAsia="方正小标宋_GBK" w:cs="方正小标宋_GBK"/>
          <w:sz w:val="84"/>
          <w:szCs w:val="84"/>
        </w:rPr>
      </w:pPr>
    </w:p>
    <w:p w14:paraId="03B71D81">
      <w:pPr>
        <w:pStyle w:val="15"/>
        <w:jc w:val="center"/>
        <w:rPr>
          <w:rFonts w:hint="eastAsia" w:ascii="方正小标宋_GBK" w:hAnsi="方正小标宋_GBK" w:eastAsia="方正小标宋_GBK" w:cs="方正小标宋_GBK"/>
          <w:sz w:val="84"/>
          <w:szCs w:val="84"/>
        </w:rPr>
      </w:pPr>
    </w:p>
    <w:p w14:paraId="0DFF6B2B">
      <w:pPr>
        <w:pStyle w:val="15"/>
        <w:jc w:val="center"/>
        <w:rPr>
          <w:rFonts w:hint="eastAsia" w:ascii="方正小标宋_GBK" w:hAnsi="方正小标宋_GBK" w:eastAsia="方正小标宋_GBK" w:cs="方正小标宋_GBK"/>
          <w:sz w:val="84"/>
          <w:szCs w:val="84"/>
        </w:rPr>
      </w:pPr>
    </w:p>
    <w:p w14:paraId="6E707C6E">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8DA297D">
      <w:pPr>
        <w:pStyle w:val="15"/>
        <w:jc w:val="center"/>
        <w:rPr>
          <w:rFonts w:hint="eastAsia" w:ascii="方正小标宋_GBK" w:hAnsi="方正小标宋_GBK" w:eastAsia="方正小标宋_GBK" w:cs="方正小标宋_GBK"/>
          <w:sz w:val="84"/>
          <w:szCs w:val="84"/>
        </w:rPr>
      </w:pPr>
    </w:p>
    <w:p w14:paraId="2B7F8309">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岳阳市巴陵戏传承研究院</w:t>
      </w:r>
    </w:p>
    <w:p w14:paraId="196F625A">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单位</w:t>
      </w:r>
      <w:r>
        <w:rPr>
          <w:rFonts w:hint="eastAsia" w:ascii="方正小标宋_GBK" w:hAnsi="方正小标宋_GBK" w:eastAsia="方正小标宋_GBK" w:cs="方正小标宋_GBK"/>
          <w:sz w:val="84"/>
          <w:szCs w:val="84"/>
        </w:rPr>
        <w:t>概况</w:t>
      </w:r>
    </w:p>
    <w:p w14:paraId="2D4ECE17">
      <w:pPr>
        <w:pStyle w:val="9"/>
        <w:rPr>
          <w:rFonts w:hint="eastAsia" w:ascii="方正小标宋_GBK" w:hAnsi="方正小标宋_GBK" w:eastAsia="方正小标宋_GBK" w:cs="方正小标宋_GBK"/>
          <w:sz w:val="84"/>
          <w:szCs w:val="84"/>
        </w:rPr>
      </w:pPr>
    </w:p>
    <w:p w14:paraId="1FA160AB">
      <w:pPr>
        <w:rPr>
          <w:rFonts w:hint="eastAsia" w:ascii="方正小标宋_GBK" w:hAnsi="方正小标宋_GBK" w:eastAsia="方正小标宋_GBK" w:cs="方正小标宋_GBK"/>
          <w:sz w:val="84"/>
          <w:szCs w:val="84"/>
        </w:rPr>
      </w:pPr>
    </w:p>
    <w:p w14:paraId="0E2D84D0">
      <w:pPr>
        <w:pStyle w:val="9"/>
        <w:rPr>
          <w:rFonts w:hint="eastAsia"/>
        </w:rPr>
      </w:pPr>
    </w:p>
    <w:p w14:paraId="3D4CBE72">
      <w:pPr>
        <w:pStyle w:val="16"/>
        <w:numPr>
          <w:ilvl w:val="0"/>
          <w:numId w:val="0"/>
        </w:numPr>
        <w:ind w:leftChars="0"/>
        <w:jc w:val="left"/>
        <w:rPr>
          <w:rFonts w:hint="eastAsia" w:ascii="黑体" w:hAnsi="黑体" w:eastAsia="黑体" w:cs="黑体"/>
          <w:b w:val="0"/>
          <w:bCs w:val="0"/>
          <w:sz w:val="32"/>
          <w:szCs w:val="32"/>
        </w:rPr>
      </w:pPr>
    </w:p>
    <w:p w14:paraId="314922A5">
      <w:pPr>
        <w:pStyle w:val="16"/>
        <w:numPr>
          <w:ilvl w:val="0"/>
          <w:numId w:val="0"/>
        </w:numPr>
        <w:ind w:leftChars="0"/>
        <w:jc w:val="left"/>
        <w:rPr>
          <w:rFonts w:hint="eastAsia" w:ascii="黑体" w:hAnsi="黑体" w:eastAsia="黑体" w:cs="黑体"/>
          <w:b w:val="0"/>
          <w:bCs w:val="0"/>
          <w:sz w:val="32"/>
          <w:szCs w:val="32"/>
        </w:rPr>
      </w:pPr>
    </w:p>
    <w:p w14:paraId="2151CD00">
      <w:pPr>
        <w:pStyle w:val="16"/>
        <w:numPr>
          <w:ilvl w:val="0"/>
          <w:numId w:val="0"/>
        </w:numPr>
        <w:ind w:leftChars="0"/>
        <w:jc w:val="left"/>
        <w:rPr>
          <w:rFonts w:hint="eastAsia" w:ascii="黑体" w:hAnsi="黑体" w:eastAsia="黑体" w:cs="黑体"/>
          <w:b w:val="0"/>
          <w:bCs w:val="0"/>
          <w:sz w:val="32"/>
          <w:szCs w:val="32"/>
        </w:rPr>
      </w:pPr>
    </w:p>
    <w:p w14:paraId="33B74952">
      <w:pPr>
        <w:pStyle w:val="16"/>
        <w:numPr>
          <w:ilvl w:val="0"/>
          <w:numId w:val="0"/>
        </w:numPr>
        <w:ind w:leftChars="0"/>
        <w:jc w:val="left"/>
        <w:rPr>
          <w:rFonts w:hint="eastAsia" w:ascii="黑体" w:hAnsi="黑体" w:eastAsia="黑体" w:cs="黑体"/>
          <w:b w:val="0"/>
          <w:bCs w:val="0"/>
          <w:sz w:val="32"/>
          <w:szCs w:val="32"/>
        </w:rPr>
      </w:pPr>
    </w:p>
    <w:p w14:paraId="5B0E0B17">
      <w:pPr>
        <w:pStyle w:val="16"/>
        <w:numPr>
          <w:ilvl w:val="0"/>
          <w:numId w:val="0"/>
        </w:numPr>
        <w:ind w:leftChars="0"/>
        <w:jc w:val="left"/>
        <w:rPr>
          <w:rFonts w:hint="eastAsia" w:ascii="黑体" w:hAnsi="黑体" w:eastAsia="黑体" w:cs="黑体"/>
          <w:b w:val="0"/>
          <w:bCs w:val="0"/>
          <w:sz w:val="32"/>
          <w:szCs w:val="32"/>
        </w:rPr>
      </w:pPr>
    </w:p>
    <w:p w14:paraId="401713FE">
      <w:pPr>
        <w:pStyle w:val="16"/>
        <w:numPr>
          <w:ilvl w:val="0"/>
          <w:numId w:val="0"/>
        </w:numPr>
        <w:ind w:leftChars="0"/>
        <w:jc w:val="left"/>
        <w:rPr>
          <w:rFonts w:hint="eastAsia" w:ascii="黑体" w:hAnsi="黑体" w:eastAsia="黑体" w:cs="黑体"/>
          <w:b w:val="0"/>
          <w:bCs w:val="0"/>
          <w:sz w:val="32"/>
          <w:szCs w:val="32"/>
        </w:rPr>
      </w:pPr>
    </w:p>
    <w:p w14:paraId="6C68D946">
      <w:pPr>
        <w:pStyle w:val="16"/>
        <w:numPr>
          <w:ilvl w:val="0"/>
          <w:numId w:val="0"/>
        </w:numPr>
        <w:ind w:leftChars="0"/>
        <w:jc w:val="left"/>
        <w:rPr>
          <w:rFonts w:hint="eastAsia" w:ascii="黑体" w:hAnsi="黑体" w:eastAsia="黑体" w:cs="黑体"/>
          <w:b w:val="0"/>
          <w:bCs w:val="0"/>
          <w:sz w:val="32"/>
          <w:szCs w:val="32"/>
        </w:rPr>
      </w:pPr>
    </w:p>
    <w:p w14:paraId="3F56FA94">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D5A5FFE">
      <w:pPr>
        <w:ind w:firstLine="800" w:firstLineChars="250"/>
        <w:jc w:val="left"/>
        <w:rPr>
          <w:rFonts w:asciiTheme="minorEastAsia" w:hAnsiTheme="minorEastAsia"/>
          <w:sz w:val="32"/>
          <w:szCs w:val="32"/>
        </w:rPr>
      </w:pPr>
      <w:r>
        <w:rPr>
          <w:rFonts w:hint="eastAsia" w:asciiTheme="minorEastAsia" w:hAnsiTheme="minorEastAsia"/>
          <w:sz w:val="32"/>
          <w:szCs w:val="32"/>
        </w:rPr>
        <w:t>（一）宣传党的文艺方针政策。</w:t>
      </w:r>
    </w:p>
    <w:p w14:paraId="00CEF46F">
      <w:pPr>
        <w:ind w:firstLine="800" w:firstLineChars="250"/>
        <w:jc w:val="left"/>
        <w:rPr>
          <w:rFonts w:asciiTheme="minorEastAsia" w:hAnsiTheme="minorEastAsia"/>
          <w:sz w:val="32"/>
          <w:szCs w:val="32"/>
        </w:rPr>
      </w:pPr>
      <w:r>
        <w:rPr>
          <w:rFonts w:hint="eastAsia" w:asciiTheme="minorEastAsia" w:hAnsiTheme="minorEastAsia"/>
          <w:sz w:val="32"/>
          <w:szCs w:val="32"/>
        </w:rPr>
        <w:t>（二）传承和保护国家非遗物质文化遗产</w:t>
      </w:r>
      <w:r>
        <w:rPr>
          <w:rFonts w:asciiTheme="minorEastAsia" w:hAnsiTheme="minorEastAsia"/>
          <w:sz w:val="32"/>
          <w:szCs w:val="32"/>
        </w:rPr>
        <w:t>—</w:t>
      </w:r>
      <w:r>
        <w:rPr>
          <w:rFonts w:hint="eastAsia" w:asciiTheme="minorEastAsia" w:hAnsiTheme="minorEastAsia"/>
          <w:sz w:val="32"/>
          <w:szCs w:val="32"/>
        </w:rPr>
        <w:t>巴陵戏。</w:t>
      </w:r>
    </w:p>
    <w:p w14:paraId="760DBE46">
      <w:pPr>
        <w:ind w:firstLine="800" w:firstLineChars="250"/>
        <w:jc w:val="left"/>
        <w:rPr>
          <w:rFonts w:asciiTheme="minorEastAsia" w:hAnsiTheme="minorEastAsia"/>
          <w:sz w:val="32"/>
          <w:szCs w:val="32"/>
        </w:rPr>
      </w:pPr>
      <w:r>
        <w:rPr>
          <w:rFonts w:hint="eastAsia" w:asciiTheme="minorEastAsia" w:hAnsiTheme="minorEastAsia"/>
          <w:sz w:val="32"/>
          <w:szCs w:val="32"/>
        </w:rPr>
        <w:t>（三）从事各类公益性演出、“文化惠民”、“送戏下乡”活动。</w:t>
      </w:r>
    </w:p>
    <w:p w14:paraId="4E925009">
      <w:pPr>
        <w:ind w:firstLine="800" w:firstLineChars="250"/>
        <w:jc w:val="left"/>
        <w:rPr>
          <w:rFonts w:asciiTheme="minorEastAsia" w:hAnsiTheme="minorEastAsia"/>
          <w:sz w:val="32"/>
          <w:szCs w:val="32"/>
        </w:rPr>
      </w:pPr>
      <w:r>
        <w:rPr>
          <w:rFonts w:hint="eastAsia" w:asciiTheme="minorEastAsia" w:hAnsiTheme="minorEastAsia"/>
          <w:sz w:val="32"/>
          <w:szCs w:val="32"/>
        </w:rPr>
        <w:t>（四）对外开展文化交流活动。</w:t>
      </w:r>
    </w:p>
    <w:p w14:paraId="699CD4E4">
      <w:pPr>
        <w:ind w:firstLine="800" w:firstLineChars="250"/>
        <w:jc w:val="left"/>
        <w:rPr>
          <w:rFonts w:asciiTheme="minorEastAsia" w:hAnsiTheme="minorEastAsia"/>
          <w:sz w:val="32"/>
          <w:szCs w:val="32"/>
        </w:rPr>
      </w:pPr>
      <w:r>
        <w:rPr>
          <w:rFonts w:hint="eastAsia" w:asciiTheme="minorEastAsia" w:hAnsiTheme="minorEastAsia"/>
          <w:sz w:val="32"/>
          <w:szCs w:val="32"/>
        </w:rPr>
        <w:t>（五）负责完成上级部门交办的其他工作。</w:t>
      </w:r>
    </w:p>
    <w:p w14:paraId="6F8BDF68">
      <w:pPr>
        <w:widowControl/>
        <w:spacing w:line="600" w:lineRule="exact"/>
        <w:rPr>
          <w:rFonts w:hint="eastAsia" w:ascii="黑体" w:hAnsi="黑体" w:eastAsia="黑体" w:cs="黑体"/>
          <w:b w:val="0"/>
          <w:bCs/>
          <w:kern w:val="0"/>
          <w:sz w:val="32"/>
          <w:szCs w:val="32"/>
        </w:rPr>
      </w:pPr>
    </w:p>
    <w:p w14:paraId="591AE678">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07E3B26">
      <w:pPr>
        <w:ind w:firstLine="800" w:firstLineChars="250"/>
        <w:jc w:val="left"/>
        <w:rPr>
          <w:rFonts w:hint="eastAsia" w:asciiTheme="minorEastAsia" w:hAnsiTheme="minorEastAsia"/>
          <w:sz w:val="32"/>
          <w:szCs w:val="32"/>
        </w:rPr>
      </w:pPr>
      <w:r>
        <w:rPr>
          <w:rFonts w:hint="eastAsia" w:ascii="Times New Roman" w:hAnsi="Times New Roman" w:eastAsia="仿宋_GB2312" w:cs="仿宋_GB2312"/>
          <w:bCs/>
          <w:kern w:val="0"/>
          <w:sz w:val="32"/>
          <w:szCs w:val="32"/>
        </w:rPr>
        <w:t>（一）</w:t>
      </w:r>
      <w:r>
        <w:rPr>
          <w:rFonts w:hint="eastAsia" w:asciiTheme="minorEastAsia" w:hAnsiTheme="minorEastAsia"/>
          <w:bCs/>
          <w:kern w:val="0"/>
          <w:sz w:val="32"/>
          <w:szCs w:val="32"/>
          <w:lang w:eastAsia="zh-CN"/>
        </w:rPr>
        <w:t>巴陵戏传承研究院</w:t>
      </w:r>
      <w:r>
        <w:rPr>
          <w:rFonts w:hint="eastAsia" w:asciiTheme="minorEastAsia" w:hAnsiTheme="minorEastAsia"/>
          <w:sz w:val="32"/>
          <w:szCs w:val="32"/>
        </w:rPr>
        <w:t>内设</w:t>
      </w:r>
      <w:r>
        <w:rPr>
          <w:rFonts w:hint="eastAsia" w:asciiTheme="minorEastAsia" w:hAnsiTheme="minorEastAsia"/>
          <w:sz w:val="32"/>
          <w:szCs w:val="32"/>
          <w:lang w:eastAsia="zh-CN"/>
        </w:rPr>
        <w:t>机构包括</w:t>
      </w:r>
      <w:r>
        <w:rPr>
          <w:rFonts w:hint="eastAsia" w:asciiTheme="minorEastAsia" w:hAnsiTheme="minorEastAsia"/>
          <w:sz w:val="32"/>
          <w:szCs w:val="32"/>
        </w:rPr>
        <w:t>：综合部、巴陵戏剧室、花鼓戏剧室、民乐队、歌舞工作室、舞美工作室、宣传普教室、艺术研究室、后勤保障部</w:t>
      </w:r>
      <w:r>
        <w:rPr>
          <w:rFonts w:hint="eastAsia" w:asciiTheme="minorEastAsia" w:hAnsiTheme="minorEastAsia"/>
          <w:sz w:val="32"/>
          <w:szCs w:val="32"/>
          <w:lang w:val="en-US" w:eastAsia="zh-CN"/>
        </w:rPr>
        <w:t>9个部室</w:t>
      </w:r>
      <w:r>
        <w:rPr>
          <w:rFonts w:hint="eastAsia" w:asciiTheme="minorEastAsia" w:hAnsiTheme="minorEastAsia"/>
          <w:sz w:val="32"/>
          <w:szCs w:val="32"/>
        </w:rPr>
        <w:t>。</w:t>
      </w:r>
    </w:p>
    <w:p w14:paraId="7269D470">
      <w:pPr>
        <w:widowControl/>
        <w:spacing w:line="600" w:lineRule="exact"/>
        <w:rPr>
          <w:rFonts w:hint="eastAsia" w:asciiTheme="minorEastAsia" w:hAnsiTheme="minorEastAsia"/>
          <w:bCs/>
          <w:kern w:val="0"/>
          <w:sz w:val="32"/>
          <w:szCs w:val="32"/>
          <w:lang w:eastAsia="zh-CN"/>
        </w:rPr>
      </w:pPr>
    </w:p>
    <w:p w14:paraId="5818F9A6">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eastAsia="zh-CN"/>
        </w:rPr>
        <w:t>（二）决算单位构成。本单位无独立核算的下属单位，</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3</w:t>
      </w:r>
      <w:r>
        <w:rPr>
          <w:rFonts w:hint="eastAsia" w:asciiTheme="minorEastAsia" w:hAnsiTheme="minorEastAsia"/>
          <w:bCs/>
          <w:kern w:val="0"/>
          <w:sz w:val="32"/>
          <w:szCs w:val="32"/>
        </w:rPr>
        <w:t>年部门决算汇总公开单位</w:t>
      </w:r>
      <w:r>
        <w:rPr>
          <w:rFonts w:hint="eastAsia" w:asciiTheme="minorEastAsia" w:hAnsiTheme="minorEastAsia"/>
          <w:bCs/>
          <w:kern w:val="0"/>
          <w:sz w:val="32"/>
          <w:szCs w:val="32"/>
          <w:lang w:eastAsia="zh-CN"/>
        </w:rPr>
        <w:t>仅</w:t>
      </w:r>
      <w:r>
        <w:rPr>
          <w:rFonts w:hint="eastAsia" w:asciiTheme="minorEastAsia" w:hAnsiTheme="minorEastAsia"/>
          <w:bCs/>
          <w:kern w:val="0"/>
          <w:sz w:val="32"/>
          <w:szCs w:val="32"/>
        </w:rPr>
        <w:t>包括岳阳市巴陵戏传承研究院</w:t>
      </w:r>
      <w:r>
        <w:rPr>
          <w:rFonts w:hint="eastAsia" w:asciiTheme="minorEastAsia" w:hAnsiTheme="minorEastAsia"/>
          <w:bCs/>
          <w:kern w:val="0"/>
          <w:sz w:val="32"/>
          <w:szCs w:val="32"/>
          <w:lang w:eastAsia="zh-CN"/>
        </w:rPr>
        <w:t>本级</w:t>
      </w:r>
      <w:r>
        <w:rPr>
          <w:rFonts w:hint="eastAsia" w:asciiTheme="minorEastAsia" w:hAnsiTheme="minorEastAsia"/>
          <w:bCs/>
          <w:kern w:val="0"/>
          <w:sz w:val="32"/>
          <w:szCs w:val="32"/>
        </w:rPr>
        <w:t>。</w:t>
      </w:r>
    </w:p>
    <w:p w14:paraId="452D7AB3">
      <w:pPr>
        <w:jc w:val="left"/>
        <w:rPr>
          <w:rFonts w:ascii="仿宋_GB2312" w:eastAsia="仿宋_GB2312" w:hAnsiTheme="minorEastAsia"/>
          <w:sz w:val="28"/>
          <w:szCs w:val="32"/>
        </w:rPr>
      </w:pPr>
    </w:p>
    <w:p w14:paraId="7C079347">
      <w:pPr>
        <w:jc w:val="left"/>
        <w:rPr>
          <w:rFonts w:ascii="仿宋_GB2312" w:eastAsia="仿宋_GB2312" w:hAnsiTheme="minorEastAsia"/>
          <w:sz w:val="28"/>
          <w:szCs w:val="32"/>
        </w:rPr>
      </w:pPr>
    </w:p>
    <w:p w14:paraId="2A7CC8A1"/>
    <w:p w14:paraId="75C964B1">
      <w:pPr>
        <w:pStyle w:val="9"/>
      </w:pPr>
    </w:p>
    <w:p w14:paraId="26755DD0">
      <w:pPr>
        <w:pStyle w:val="5"/>
      </w:pPr>
    </w:p>
    <w:p w14:paraId="33ED36CD"/>
    <w:p w14:paraId="46FEF7F0">
      <w:pPr>
        <w:pStyle w:val="9"/>
      </w:pPr>
    </w:p>
    <w:p w14:paraId="7AC78401">
      <w:pPr>
        <w:pStyle w:val="5"/>
      </w:pPr>
    </w:p>
    <w:p w14:paraId="4973DDEF"/>
    <w:p w14:paraId="491A58B0">
      <w:pPr>
        <w:pStyle w:val="9"/>
      </w:pPr>
    </w:p>
    <w:p w14:paraId="7600DB0B">
      <w:pPr>
        <w:pStyle w:val="5"/>
      </w:pPr>
    </w:p>
    <w:p w14:paraId="1D37BD76"/>
    <w:p w14:paraId="6AC48D7F">
      <w:pPr>
        <w:pStyle w:val="9"/>
      </w:pPr>
    </w:p>
    <w:p w14:paraId="5D9A2A51">
      <w:pPr>
        <w:pStyle w:val="5"/>
      </w:pPr>
    </w:p>
    <w:p w14:paraId="07C7990E"/>
    <w:p w14:paraId="7D36F75D">
      <w:pPr>
        <w:pStyle w:val="9"/>
      </w:pPr>
    </w:p>
    <w:p w14:paraId="1520CCD1">
      <w:pPr>
        <w:pStyle w:val="5"/>
      </w:pPr>
    </w:p>
    <w:p w14:paraId="36B93DCC"/>
    <w:p w14:paraId="1837973E">
      <w:pPr>
        <w:pStyle w:val="9"/>
      </w:pPr>
    </w:p>
    <w:p w14:paraId="501F31C7">
      <w:pPr>
        <w:pStyle w:val="5"/>
      </w:pPr>
    </w:p>
    <w:p w14:paraId="59C2F709"/>
    <w:p w14:paraId="0D574679">
      <w:pPr>
        <w:pStyle w:val="9"/>
      </w:pPr>
    </w:p>
    <w:p w14:paraId="50503BC9">
      <w:pPr>
        <w:pStyle w:val="5"/>
      </w:pPr>
    </w:p>
    <w:p w14:paraId="0F9A24AD"/>
    <w:p w14:paraId="26625570">
      <w:pPr>
        <w:pStyle w:val="9"/>
      </w:pPr>
    </w:p>
    <w:p w14:paraId="19251B50">
      <w:pPr>
        <w:pStyle w:val="5"/>
      </w:pPr>
    </w:p>
    <w:p w14:paraId="0F8F58D2">
      <w:pPr>
        <w:pStyle w:val="15"/>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89044B4">
      <w:pPr>
        <w:pStyle w:val="15"/>
        <w:jc w:val="center"/>
        <w:rPr>
          <w:rFonts w:hint="eastAsia" w:ascii="方正小标宋_GBK" w:hAnsi="方正小标宋_GBK" w:eastAsia="方正小标宋_GBK" w:cs="方正小标宋_GBK"/>
          <w:sz w:val="84"/>
          <w:szCs w:val="84"/>
        </w:rPr>
      </w:pPr>
    </w:p>
    <w:p w14:paraId="64BED357">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73D1BAE">
      <w:pPr>
        <w:pStyle w:val="15"/>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058B1955">
      <w:pPr>
        <w:pStyle w:val="15"/>
        <w:jc w:val="center"/>
        <w:rPr>
          <w:rFonts w:hint="eastAsia" w:ascii="仿宋_GB2312" w:hAnsi="仿宋_GB2312" w:eastAsia="仿宋_GB2312" w:cs="仿宋_GB2312"/>
          <w:b w:val="0"/>
          <w:bCs w:val="0"/>
          <w:sz w:val="72"/>
          <w:szCs w:val="72"/>
          <w:lang w:eastAsia="zh-CN"/>
        </w:rPr>
      </w:pPr>
    </w:p>
    <w:p w14:paraId="50F7931F">
      <w:pPr>
        <w:pStyle w:val="15"/>
        <w:jc w:val="center"/>
        <w:rPr>
          <w:rFonts w:hint="eastAsia" w:ascii="仿宋_GB2312" w:hAnsi="仿宋_GB2312" w:eastAsia="仿宋_GB2312" w:cs="仿宋_GB2312"/>
          <w:b w:val="0"/>
          <w:bCs w:val="0"/>
          <w:sz w:val="72"/>
          <w:szCs w:val="72"/>
          <w:lang w:eastAsia="zh-CN"/>
        </w:rPr>
      </w:pPr>
    </w:p>
    <w:p w14:paraId="11D233B5">
      <w:pPr>
        <w:pStyle w:val="15"/>
        <w:jc w:val="center"/>
        <w:rPr>
          <w:rFonts w:hint="eastAsia" w:ascii="仿宋_GB2312" w:hAnsi="仿宋_GB2312" w:eastAsia="仿宋_GB2312" w:cs="仿宋_GB2312"/>
          <w:b w:val="0"/>
          <w:bCs w:val="0"/>
          <w:sz w:val="72"/>
          <w:szCs w:val="72"/>
          <w:lang w:eastAsia="zh-CN"/>
        </w:rPr>
      </w:pPr>
    </w:p>
    <w:p w14:paraId="5A840A87">
      <w:pPr>
        <w:pStyle w:val="15"/>
        <w:jc w:val="center"/>
        <w:rPr>
          <w:rFonts w:hint="eastAsia" w:ascii="仿宋_GB2312" w:hAnsi="仿宋_GB2312" w:eastAsia="仿宋_GB2312" w:cs="仿宋_GB2312"/>
          <w:b w:val="0"/>
          <w:bCs w:val="0"/>
          <w:sz w:val="72"/>
          <w:szCs w:val="72"/>
          <w:lang w:eastAsia="zh-CN"/>
        </w:rPr>
      </w:pPr>
    </w:p>
    <w:p w14:paraId="1A3400B4">
      <w:pPr>
        <w:pStyle w:val="15"/>
        <w:jc w:val="center"/>
        <w:rPr>
          <w:rFonts w:hint="eastAsia" w:ascii="仿宋_GB2312" w:hAnsi="仿宋_GB2312" w:eastAsia="仿宋_GB2312" w:cs="仿宋_GB2312"/>
          <w:b w:val="0"/>
          <w:bCs w:val="0"/>
          <w:sz w:val="72"/>
          <w:szCs w:val="72"/>
          <w:lang w:eastAsia="zh-CN"/>
        </w:rPr>
      </w:pPr>
    </w:p>
    <w:p w14:paraId="05CE5D18">
      <w:pPr>
        <w:pStyle w:val="15"/>
        <w:jc w:val="center"/>
        <w:rPr>
          <w:rFonts w:hint="eastAsia" w:ascii="仿宋_GB2312" w:hAnsi="仿宋_GB2312" w:eastAsia="仿宋_GB2312" w:cs="仿宋_GB2312"/>
          <w:b w:val="0"/>
          <w:bCs w:val="0"/>
          <w:sz w:val="72"/>
          <w:szCs w:val="72"/>
          <w:lang w:eastAsia="zh-CN"/>
        </w:rPr>
      </w:pPr>
    </w:p>
    <w:p w14:paraId="5EFA82CE">
      <w:pPr>
        <w:pStyle w:val="15"/>
        <w:jc w:val="center"/>
        <w:rPr>
          <w:rFonts w:hint="eastAsia" w:ascii="仿宋_GB2312" w:hAnsi="仿宋_GB2312" w:eastAsia="仿宋_GB2312" w:cs="仿宋_GB2312"/>
          <w:b w:val="0"/>
          <w:bCs w:val="0"/>
          <w:sz w:val="72"/>
          <w:szCs w:val="72"/>
          <w:lang w:eastAsia="zh-CN"/>
        </w:rPr>
      </w:pPr>
    </w:p>
    <w:p w14:paraId="3E8D14AA">
      <w:pPr>
        <w:pStyle w:val="15"/>
        <w:jc w:val="center"/>
        <w:rPr>
          <w:rFonts w:hint="eastAsia" w:ascii="方正小标宋_GBK" w:hAnsi="方正小标宋_GBK" w:eastAsia="方正小标宋_GBK" w:cs="方正小标宋_GBK"/>
          <w:sz w:val="72"/>
          <w:szCs w:val="72"/>
        </w:rPr>
      </w:pPr>
    </w:p>
    <w:p w14:paraId="3D520103">
      <w:pPr>
        <w:pStyle w:val="15"/>
        <w:jc w:val="center"/>
        <w:rPr>
          <w:rFonts w:hint="eastAsia" w:ascii="方正小标宋_GBK" w:hAnsi="方正小标宋_GBK" w:eastAsia="方正小标宋_GBK" w:cs="方正小标宋_GBK"/>
          <w:sz w:val="72"/>
          <w:szCs w:val="72"/>
        </w:rPr>
      </w:pPr>
    </w:p>
    <w:p w14:paraId="62B89681">
      <w:pPr>
        <w:pStyle w:val="15"/>
        <w:ind w:firstLine="3600" w:firstLineChars="5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69D0786">
      <w:pPr>
        <w:pStyle w:val="15"/>
        <w:jc w:val="center"/>
        <w:rPr>
          <w:rFonts w:hint="eastAsia" w:ascii="方正小标宋_GBK" w:hAnsi="方正小标宋_GBK" w:eastAsia="方正小标宋_GBK" w:cs="方正小标宋_GBK"/>
          <w:sz w:val="70"/>
          <w:szCs w:val="70"/>
        </w:rPr>
      </w:pPr>
    </w:p>
    <w:p w14:paraId="65CBFDBF">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97A586E">
      <w:pPr>
        <w:pStyle w:val="15"/>
        <w:jc w:val="center"/>
        <w:rPr>
          <w:rFonts w:hint="eastAsia" w:ascii="方正小标宋_GBK" w:hAnsi="方正小标宋_GBK" w:eastAsia="方正小标宋_GBK" w:cs="方正小标宋_GBK"/>
          <w:sz w:val="70"/>
          <w:szCs w:val="70"/>
        </w:rPr>
      </w:pPr>
    </w:p>
    <w:p w14:paraId="7230B4B9">
      <w:pPr>
        <w:pStyle w:val="15"/>
        <w:jc w:val="center"/>
        <w:rPr>
          <w:rFonts w:hint="eastAsia" w:ascii="方正小标宋_GBK" w:hAnsi="方正小标宋_GBK" w:eastAsia="方正小标宋_GBK" w:cs="方正小标宋_GBK"/>
          <w:sz w:val="70"/>
          <w:szCs w:val="70"/>
        </w:rPr>
      </w:pPr>
    </w:p>
    <w:p w14:paraId="30195BA1">
      <w:pPr>
        <w:pStyle w:val="15"/>
        <w:jc w:val="center"/>
        <w:rPr>
          <w:rFonts w:hint="eastAsia" w:ascii="方正小标宋_GBK" w:hAnsi="方正小标宋_GBK" w:eastAsia="方正小标宋_GBK" w:cs="方正小标宋_GBK"/>
          <w:sz w:val="70"/>
          <w:szCs w:val="70"/>
        </w:rPr>
      </w:pPr>
    </w:p>
    <w:p w14:paraId="73CC453D">
      <w:pPr>
        <w:pStyle w:val="15"/>
        <w:jc w:val="center"/>
        <w:rPr>
          <w:rFonts w:hint="eastAsia" w:ascii="方正小标宋_GBK" w:hAnsi="方正小标宋_GBK" w:eastAsia="方正小标宋_GBK" w:cs="方正小标宋_GBK"/>
          <w:sz w:val="70"/>
          <w:szCs w:val="70"/>
        </w:rPr>
      </w:pPr>
    </w:p>
    <w:p w14:paraId="2F5EF24A">
      <w:pPr>
        <w:pStyle w:val="15"/>
        <w:jc w:val="center"/>
        <w:rPr>
          <w:rFonts w:hint="eastAsia" w:ascii="方正小标宋_GBK" w:hAnsi="方正小标宋_GBK" w:eastAsia="方正小标宋_GBK" w:cs="方正小标宋_GBK"/>
          <w:sz w:val="70"/>
          <w:szCs w:val="70"/>
        </w:rPr>
      </w:pPr>
    </w:p>
    <w:p w14:paraId="0B26207C">
      <w:pPr>
        <w:pStyle w:val="15"/>
        <w:jc w:val="center"/>
        <w:rPr>
          <w:rFonts w:hint="eastAsia" w:ascii="方正小标宋_GBK" w:hAnsi="方正小标宋_GBK" w:eastAsia="方正小标宋_GBK" w:cs="方正小标宋_GBK"/>
          <w:sz w:val="70"/>
          <w:szCs w:val="70"/>
        </w:rPr>
      </w:pPr>
    </w:p>
    <w:p w14:paraId="5AD17C8D">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77201E2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3CDB8E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3690.81</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1054.19</w:t>
      </w:r>
      <w:r>
        <w:rPr>
          <w:rFonts w:hint="eastAsia" w:ascii="仿宋_GB2312" w:hAnsi="仿宋_GB2312" w:eastAsia="仿宋_GB2312" w:cs="仿宋_GB2312"/>
          <w:sz w:val="32"/>
          <w:szCs w:val="32"/>
        </w:rPr>
        <w:t>万元，增减少</w:t>
      </w:r>
      <w:r>
        <w:rPr>
          <w:rFonts w:hint="eastAsia" w:ascii="仿宋_GB2312" w:hAnsi="仿宋_GB2312" w:eastAsia="仿宋_GB2312" w:cs="仿宋_GB2312"/>
          <w:sz w:val="32"/>
          <w:szCs w:val="32"/>
          <w:lang w:val="en-US" w:eastAsia="zh-CN"/>
        </w:rPr>
        <w:t>22.22</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2023年度巴陵戏展演中心建设费减少。</w:t>
      </w:r>
    </w:p>
    <w:p w14:paraId="5A43DBF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5DAE4A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3690.81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3487.23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94.48</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203.58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5.52</w:t>
      </w:r>
      <w:r>
        <w:rPr>
          <w:rFonts w:hint="eastAsia" w:ascii="仿宋_GB2312" w:hAnsi="仿宋_GB2312" w:eastAsia="仿宋_GB2312" w:cs="仿宋_GB2312"/>
          <w:sz w:val="32"/>
          <w:szCs w:val="32"/>
        </w:rPr>
        <w:t>%。</w:t>
      </w:r>
    </w:p>
    <w:p w14:paraId="13CD541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148F68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3668.19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2232.16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60.85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1436.03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39.15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46EAA6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11CD76E">
      <w:pPr>
        <w:pStyle w:val="15"/>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3487.23</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889.46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20.32</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缩减开支，习惯过紧日子。</w:t>
      </w:r>
    </w:p>
    <w:p w14:paraId="3436109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7DB17D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6E28679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2888.43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78.74</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223.84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7.19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缩减开支，习惯过紧日子。</w:t>
      </w:r>
    </w:p>
    <w:p w14:paraId="131D1FB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6EDF1BA3">
      <w:pPr>
        <w:pStyle w:val="15"/>
        <w:ind w:firstLine="640" w:firstLineChars="200"/>
        <w:rPr>
          <w:rFonts w:hint="default" w:asciiTheme="minorEastAsia" w:hAnsiTheme="minorEastAsia" w:eastAsiaTheme="minorEastAsia"/>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2888.43</w:t>
      </w:r>
      <w:r>
        <w:rPr>
          <w:rFonts w:hint="eastAsia" w:ascii="仿宋_GB2312" w:hAnsi="仿宋_GB2312" w:eastAsia="仿宋_GB2312" w:cs="仿宋_GB2312"/>
          <w:sz w:val="32"/>
          <w:szCs w:val="32"/>
        </w:rPr>
        <w:t>万元，主要用于以下方面：</w:t>
      </w:r>
      <w:r>
        <w:rPr>
          <w:rFonts w:hint="eastAsia" w:asciiTheme="minorEastAsia" w:hAnsiTheme="minorEastAsia" w:eastAsiaTheme="minorEastAsia"/>
          <w:sz w:val="32"/>
          <w:szCs w:val="32"/>
          <w:lang w:eastAsia="zh-CN"/>
        </w:rPr>
        <w:t>文化旅游体育与传媒支出</w:t>
      </w:r>
      <w:r>
        <w:rPr>
          <w:rFonts w:hint="eastAsia" w:asciiTheme="minorEastAsia" w:hAnsiTheme="minorEastAsia" w:eastAsiaTheme="minorEastAsia"/>
          <w:sz w:val="32"/>
          <w:szCs w:val="32"/>
          <w:lang w:val="en-US" w:eastAsia="zh-CN"/>
        </w:rPr>
        <w:t>2217.13万元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76.76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，其中：一般行政管理事务支出</w:t>
      </w:r>
      <w:r>
        <w:rPr>
          <w:rFonts w:hint="eastAsia" w:asciiTheme="minorEastAsia" w:hAnsiTheme="minorEastAsia" w:eastAsiaTheme="minorEastAsia"/>
          <w:sz w:val="32"/>
          <w:szCs w:val="32"/>
          <w:lang w:val="en-US" w:eastAsia="zh-CN"/>
        </w:rPr>
        <w:t>0.32万元，艺术表演团体支出1438.24万元，文化创作与保护支出28.19万元，其他文化和旅游支出714.38万元，行政运行支出26万元，其他文化旅游体育与传媒支出10万元；</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lang w:val="en-US" w:eastAsia="zh-CN"/>
        </w:rPr>
        <w:t>425.41万元，占14.73%；其中：事业单位离退休支出287.70万元，机关事业单位养老保险缴费支出129.51万元，其他优抚支出4.31万元，其他社会保障和就业支出3.89万元；卫生健康支出121.84万元，占4.22%，其中：事业单位医疗支出121.84万元。住房保障支出124.06万元，占4.29%，其中：住房公积金支出124.06万元。</w:t>
      </w:r>
    </w:p>
    <w:p w14:paraId="682E7A9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594A6E9">
      <w:pPr>
        <w:pStyle w:val="15"/>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lang w:val="en-US" w:eastAsia="zh-CN"/>
        </w:rPr>
        <w:t>1845.47</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2888.43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156.51</w:t>
      </w:r>
      <w:r>
        <w:rPr>
          <w:rFonts w:hint="eastAsia" w:asciiTheme="minorEastAsia" w:hAnsiTheme="minorEastAsia" w:eastAsiaTheme="minorEastAsia"/>
          <w:sz w:val="32"/>
          <w:szCs w:val="32"/>
        </w:rPr>
        <w:t>%，其中：</w:t>
      </w:r>
    </w:p>
    <w:p w14:paraId="6BDF732C">
      <w:pPr>
        <w:pStyle w:val="15"/>
        <w:ind w:firstLine="640" w:firstLineChars="200"/>
        <w:rPr>
          <w:rFonts w:hint="eastAsia" w:asciiTheme="minorEastAsia" w:hAnsiTheme="minorEastAsia" w:eastAsiaTheme="minorEastAsia"/>
          <w:sz w:val="32"/>
          <w:szCs w:val="32"/>
          <w:lang w:val="en-US" w:eastAsia="zh-CN"/>
        </w:rPr>
      </w:pPr>
      <w:r>
        <w:rPr>
          <w:rFonts w:hint="eastAsia" w:ascii="Times New Roman" w:hAnsi="Times New Roman" w:eastAsia="仿宋_GB2312"/>
          <w:sz w:val="32"/>
          <w:szCs w:val="32"/>
        </w:rPr>
        <w:t>1、</w:t>
      </w:r>
      <w:r>
        <w:rPr>
          <w:rFonts w:hint="eastAsia" w:asciiTheme="minorEastAsia" w:hAnsiTheme="minorEastAsia" w:eastAsiaTheme="minorEastAsia"/>
          <w:sz w:val="32"/>
          <w:szCs w:val="32"/>
          <w:lang w:val="en-US" w:eastAsia="zh-CN"/>
        </w:rPr>
        <w:t>文化旅游体育与传媒支出（类）文化和旅游（款）一般行政管理事务（项）。</w:t>
      </w:r>
    </w:p>
    <w:p w14:paraId="42469B72">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年初预算为0万元，支出决算为0.32万元，由于预算数为0，无法计算百分比。决算数大于年初预算数的主要原因是：上年结余收入弥补了日常公用经费。</w:t>
      </w:r>
    </w:p>
    <w:p w14:paraId="67F06E36">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2、文化旅游体育与传媒支出（类）文化和旅游（款）艺术表演团体（项）。</w:t>
      </w:r>
    </w:p>
    <w:p w14:paraId="4103DC38">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年初预算为1245.85万元，支出决算为1438.24万元，完成年初预算的115.44%，决算数大于年初预算数的原因是上年结余收入弥补了日常公用经费。</w:t>
      </w:r>
    </w:p>
    <w:p w14:paraId="095C998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sz w:val="32"/>
          <w:szCs w:val="32"/>
          <w:lang w:val="en-US" w:eastAsia="zh-CN"/>
        </w:rPr>
      </w:pPr>
    </w:p>
    <w:p w14:paraId="24E64D95">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3、文化旅游体育与传媒支出（类）文化和旅游（款）文化创作与保护（项）。</w:t>
      </w:r>
    </w:p>
    <w:p w14:paraId="5D262046">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年初预算为0万元，支出决算为28.19万元，由于预算数为0，无法计算百分比。决算数大于年初预算数的主要原因是今年新排剧目参加省艺术节的比赛。</w:t>
      </w:r>
    </w:p>
    <w:p w14:paraId="4AC869DF">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4、文化旅游体育与传媒支出（类）文化和旅游（款）其他文化和旅游支出（项）。</w:t>
      </w:r>
    </w:p>
    <w:p w14:paraId="23FFBCD7">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年初预算为0万元，支出决算为714.38万元，由于预算数为0，无法计算百分比。决算数大于年初预算数的主要原因是：上年结转收入弥补了日常公用经费。</w:t>
      </w:r>
    </w:p>
    <w:p w14:paraId="6B34EB9D">
      <w:pPr>
        <w:pStyle w:val="15"/>
        <w:numPr>
          <w:ilvl w:val="0"/>
          <w:numId w:val="2"/>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文化旅游体育与传媒支出（类）广播电视（款）行政运行（项）。</w:t>
      </w:r>
    </w:p>
    <w:p w14:paraId="18DF7B49">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年初预算为0万元，支出决算为26万元，由于预算数为0，无法计算百分比。决算数大于年初预算数的主要原因是：上年结转收入弥补了日常公用经费。</w:t>
      </w:r>
    </w:p>
    <w:p w14:paraId="4FDDBEDC">
      <w:pPr>
        <w:pStyle w:val="15"/>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6、文化旅游体育与传媒支出（类）其他文化旅游体育与传媒支出（款）其他文化旅游体育与传媒支出（项）。</w:t>
      </w:r>
    </w:p>
    <w:p w14:paraId="0F9D51FE">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年初预算为0万元，支出决算为10万元，由于预算数为0，无法计算百分比。决算数大于年初预算数的主要原因是：上年结转收入弥补了日常公用经费。</w:t>
      </w:r>
    </w:p>
    <w:p w14:paraId="57197D34">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7、社会保障和就业支出（类）行政事业单位养老支出（款）事业单位离退休支出（项）。</w:t>
      </w:r>
    </w:p>
    <w:p w14:paraId="1FEC0A8E">
      <w:pPr>
        <w:pStyle w:val="15"/>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年初预算为220.32万元，支出决算为287.70万元，完成年初预算的130.58%，决算数大于年初预算数的主要原因是：退休人员的基础绩效奖年初是按人平2万预拨的。</w:t>
      </w:r>
    </w:p>
    <w:p w14:paraId="4E8F5988">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8、社会保障和就业支出（类）行政事业单位养老支出（款）机关事业单位基本养老保险缴费支出（项）。</w:t>
      </w:r>
    </w:p>
    <w:p w14:paraId="28121BB6">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年初预算为129.51万元，支出决算为129.51万元，完成年初预算的100%，决算数等于年初预算数。决算数等于年初预算数的主要原因是单位用其他资金弥补了异动人员的单位基本养老保险缴费支出。</w:t>
      </w:r>
    </w:p>
    <w:p w14:paraId="1C2EFA4F">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9、社会保障和就业支出（类）抚恤（款）其他优抚支出（项）。</w:t>
      </w:r>
    </w:p>
    <w:p w14:paraId="1E636352">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年初预算为0万元，支出决算为4.31万元，由于预算数为0，无法计算百分比。决算数大于年初预算数的原因是财政无法将此项支出列入预算。</w:t>
      </w:r>
    </w:p>
    <w:p w14:paraId="1B02BA25">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10、卫生健康支出（类）行政事业单位医疗（款）事业单位医疗（项）。</w:t>
      </w:r>
    </w:p>
    <w:p w14:paraId="0BDD3ED4">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年初预算为121.84万元，支出决算为121.84万元，完成年初预算的100%，决算数等于年初预算数的主要原因是：单位用其他资金弥补了异动人员的单位医疗保险费支出。</w:t>
      </w:r>
    </w:p>
    <w:p w14:paraId="5B4570D9">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11、住房保障支出（类）住房改革支出（款）住房公积金（项）。</w:t>
      </w:r>
    </w:p>
    <w:p w14:paraId="3DED557F">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年初预算为124.06万元，支出决算为124.06万元，完成年初预算的100%，决算数等于年初预算数的主要原因是：住房公积金单位部分是严格按照比例计提的。</w:t>
      </w:r>
    </w:p>
    <w:p w14:paraId="09CE3958">
      <w:pPr>
        <w:pStyle w:val="15"/>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一般公共预算财政拨款基本支出决算情况说明</w:t>
      </w:r>
    </w:p>
    <w:p w14:paraId="48618E36">
      <w:pPr>
        <w:pStyle w:val="15"/>
        <w:ind w:firstLine="640" w:firstLineChars="200"/>
        <w:rPr>
          <w:rFonts w:hint="eastAsia" w:asciiTheme="minorEastAsia" w:hAnsiTheme="minorEastAsia" w:eastAsiaTheme="minorEastAsia"/>
          <w:sz w:val="32"/>
          <w:szCs w:val="32"/>
          <w:lang w:eastAsia="zh-CN"/>
        </w:rPr>
      </w:pPr>
      <w:r>
        <w:rPr>
          <w:rFonts w:hint="eastAsia" w:hAnsi="黑体" w:cs="黑体"/>
          <w:b w:val="0"/>
          <w:bCs/>
          <w:sz w:val="32"/>
          <w:szCs w:val="32"/>
          <w:lang w:val="en-US" w:eastAsia="zh-CN"/>
        </w:rPr>
        <w:t xml:space="preserve">   </w:t>
      </w: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2159.38</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1968.25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91.15</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eastAsia="zh-CN"/>
        </w:rPr>
        <w:t>津贴补贴、</w:t>
      </w:r>
      <w:r>
        <w:rPr>
          <w:rFonts w:hint="eastAsia" w:asciiTheme="minorEastAsia" w:hAnsiTheme="minorEastAsia" w:eastAsiaTheme="minorEastAsia"/>
          <w:sz w:val="32"/>
          <w:szCs w:val="32"/>
        </w:rPr>
        <w:t>奖金、伙食补助费、绩效工资、机关事业单位基本养老保险缴费、职工基本医疗保险</w:t>
      </w:r>
      <w:r>
        <w:rPr>
          <w:rFonts w:hint="eastAsia" w:asciiTheme="minorEastAsia" w:hAnsiTheme="minorEastAsia" w:eastAsiaTheme="minorEastAsia"/>
          <w:sz w:val="32"/>
          <w:szCs w:val="32"/>
          <w:lang w:eastAsia="zh-CN"/>
        </w:rPr>
        <w:t>缴费</w:t>
      </w:r>
      <w:r>
        <w:rPr>
          <w:rFonts w:hint="eastAsia" w:asciiTheme="minorEastAsia" w:hAnsiTheme="minorEastAsia" w:eastAsiaTheme="minorEastAsia"/>
          <w:sz w:val="32"/>
          <w:szCs w:val="32"/>
        </w:rPr>
        <w:t>、其他社会保障缴费、</w:t>
      </w:r>
      <w:r>
        <w:rPr>
          <w:rFonts w:hint="eastAsia" w:asciiTheme="minorEastAsia" w:hAnsiTheme="minorEastAsia" w:eastAsiaTheme="minorEastAsia"/>
          <w:sz w:val="32"/>
          <w:szCs w:val="32"/>
          <w:lang w:eastAsia="zh-CN"/>
        </w:rPr>
        <w:t>医疗费、其他工资福利支出、</w:t>
      </w:r>
      <w:r>
        <w:rPr>
          <w:rFonts w:hint="eastAsia" w:asciiTheme="minorEastAsia" w:hAnsiTheme="minorEastAsia" w:eastAsiaTheme="minorEastAsia"/>
          <w:sz w:val="32"/>
          <w:szCs w:val="32"/>
        </w:rPr>
        <w:t>退休费、抚恤金、奖励金、其他对个人和家庭的补助；公用经费</w:t>
      </w:r>
      <w:r>
        <w:rPr>
          <w:rFonts w:hint="eastAsia" w:asciiTheme="minorEastAsia" w:hAnsiTheme="minorEastAsia" w:eastAsiaTheme="minorEastAsia"/>
          <w:sz w:val="32"/>
          <w:szCs w:val="32"/>
          <w:lang w:val="en-US" w:eastAsia="zh-CN"/>
        </w:rPr>
        <w:t>191.13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8.85</w:t>
      </w:r>
      <w:r>
        <w:rPr>
          <w:rFonts w:hint="eastAsia" w:asciiTheme="minorEastAsia" w:hAnsiTheme="minorEastAsia" w:eastAsiaTheme="minorEastAsia"/>
          <w:sz w:val="32"/>
          <w:szCs w:val="32"/>
        </w:rPr>
        <w:t>%，主要包括办公费、印刷费、水费、电费、邮电费、差旅费、维修（护）费、</w:t>
      </w:r>
      <w:r>
        <w:rPr>
          <w:rFonts w:hint="eastAsia" w:asciiTheme="minorEastAsia" w:hAnsiTheme="minorEastAsia" w:eastAsiaTheme="minorEastAsia"/>
          <w:sz w:val="32"/>
          <w:szCs w:val="32"/>
          <w:lang w:eastAsia="zh-CN"/>
        </w:rPr>
        <w:t>培训费、</w:t>
      </w:r>
      <w:r>
        <w:rPr>
          <w:rFonts w:hint="eastAsia" w:asciiTheme="minorEastAsia" w:hAnsiTheme="minorEastAsia" w:eastAsiaTheme="minorEastAsia"/>
          <w:sz w:val="32"/>
          <w:szCs w:val="32"/>
        </w:rPr>
        <w:t>公务接待费、</w:t>
      </w:r>
      <w:r>
        <w:rPr>
          <w:rFonts w:hint="eastAsia" w:asciiTheme="minorEastAsia" w:hAnsiTheme="minorEastAsia" w:eastAsiaTheme="minorEastAsia"/>
          <w:sz w:val="32"/>
          <w:szCs w:val="32"/>
          <w:lang w:eastAsia="zh-CN"/>
        </w:rPr>
        <w:t>劳务费、</w:t>
      </w:r>
      <w:r>
        <w:rPr>
          <w:rFonts w:hint="eastAsia" w:asciiTheme="minorEastAsia" w:hAnsiTheme="minorEastAsia" w:eastAsiaTheme="minorEastAsia"/>
          <w:sz w:val="32"/>
          <w:szCs w:val="32"/>
        </w:rPr>
        <w:t>委托业务费、工会经费、其他交通费用、其他商品和服务支出、办公设备购置</w:t>
      </w:r>
      <w:r>
        <w:rPr>
          <w:rFonts w:hint="eastAsia" w:asciiTheme="minorEastAsia" w:hAnsiTheme="minorEastAsia" w:eastAsiaTheme="minorEastAsia"/>
          <w:sz w:val="32"/>
          <w:szCs w:val="32"/>
          <w:lang w:eastAsia="zh-CN"/>
        </w:rPr>
        <w:t>。</w:t>
      </w:r>
    </w:p>
    <w:p w14:paraId="1BB4B9B7">
      <w:pPr>
        <w:pStyle w:val="15"/>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黑体" w:hAnsi="黑体" w:eastAsia="黑体" w:cs="黑体"/>
          <w:b w:val="0"/>
          <w:bCs/>
          <w:sz w:val="32"/>
          <w:szCs w:val="32"/>
          <w:lang w:val="en-US" w:eastAsia="zh-CN"/>
        </w:rPr>
      </w:pPr>
    </w:p>
    <w:p w14:paraId="3927EDFB">
      <w:pPr>
        <w:pStyle w:val="15"/>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政府性基金预算收入支出决算情况</w:t>
      </w:r>
    </w:p>
    <w:p w14:paraId="538D7AC2">
      <w:pPr>
        <w:pStyle w:val="15"/>
        <w:ind w:firstLine="640" w:firstLineChars="200"/>
        <w:rPr>
          <w:rFonts w:hint="eastAsia" w:asciiTheme="minorEastAsia" w:hAnsiTheme="minorEastAsia" w:eastAsiaTheme="minorEastAsia"/>
          <w:sz w:val="32"/>
          <w:szCs w:val="32"/>
        </w:rPr>
      </w:pPr>
      <w:r>
        <w:rPr>
          <w:rFonts w:hint="eastAsia" w:hAnsi="黑体" w:cs="黑体"/>
          <w:b w:val="0"/>
          <w:bCs/>
          <w:sz w:val="32"/>
          <w:szCs w:val="32"/>
          <w:lang w:val="en-US" w:eastAsia="zh-CN"/>
        </w:rPr>
        <w:t xml:space="preserve">    </w:t>
      </w: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年度政府性基金预算财政拨款收入</w:t>
      </w:r>
      <w:r>
        <w:rPr>
          <w:rFonts w:hint="eastAsia" w:asciiTheme="minorEastAsia" w:hAnsiTheme="minorEastAsia" w:eastAsiaTheme="minorEastAsia"/>
          <w:sz w:val="32"/>
          <w:szCs w:val="32"/>
          <w:lang w:val="en-US" w:eastAsia="zh-CN"/>
        </w:rPr>
        <w:t>598.80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598.80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598.80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14:paraId="15678785">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1、城乡社区支出（类）国有土地使用权出让收入安排的支出（款）其他国有土地使用权出让收入安排的支出（项）</w:t>
      </w:r>
    </w:p>
    <w:p w14:paraId="2DD05652">
      <w:pPr>
        <w:pStyle w:val="15"/>
        <w:numPr>
          <w:ilvl w:val="0"/>
          <w:numId w:val="0"/>
        </w:numPr>
        <w:ind w:firstLine="640" w:firstLineChars="200"/>
        <w:rPr>
          <w:rFonts w:hint="eastAsia" w:hAnsi="黑体"/>
          <w:b/>
          <w:sz w:val="32"/>
          <w:szCs w:val="32"/>
          <w:lang w:eastAsia="zh-CN"/>
        </w:rPr>
      </w:pPr>
      <w:r>
        <w:rPr>
          <w:rFonts w:hint="eastAsia" w:asciiTheme="minorEastAsia" w:hAnsiTheme="minorEastAsia" w:eastAsiaTheme="minorEastAsia"/>
          <w:sz w:val="32"/>
          <w:szCs w:val="32"/>
          <w:lang w:val="en-US" w:eastAsia="zh-CN"/>
        </w:rPr>
        <w:t>年初预算为0万元，支出决算为598.80万元，由于预算数为0，无法计算百分比。决算数大于年初预算数的主要原因是上年未完的工程项目。</w:t>
      </w:r>
    </w:p>
    <w:p w14:paraId="5753F203">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国有资本经营预算财政拨款支出决算情况</w:t>
      </w:r>
    </w:p>
    <w:p w14:paraId="666E04B7">
      <w:pPr>
        <w:pStyle w:val="15"/>
        <w:ind w:firstLine="480" w:firstLineChars="200"/>
        <w:rPr>
          <w:rFonts w:hint="eastAsia" w:asciiTheme="minorEastAsia" w:hAnsiTheme="minorEastAsia" w:eastAsiaTheme="minorEastAsia"/>
          <w:sz w:val="32"/>
          <w:szCs w:val="32"/>
        </w:rPr>
      </w:pPr>
      <w:r>
        <w:rPr>
          <w:rFonts w:hint="eastAsia"/>
          <w:lang w:val="en-US" w:eastAsia="zh-CN"/>
        </w:rPr>
        <w:t xml:space="preserve">  </w:t>
      </w: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年度国有资本经营预算财政拨款</w:t>
      </w:r>
      <w:r>
        <w:rPr>
          <w:rFonts w:hint="eastAsia" w:asciiTheme="minorEastAsia" w:hAnsiTheme="minorEastAsia" w:eastAsiaTheme="minorEastAsia"/>
          <w:sz w:val="32"/>
          <w:szCs w:val="32"/>
          <w:lang w:eastAsia="zh-CN"/>
        </w:rPr>
        <w:t>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14:paraId="7E3DD0C4">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年度岳阳市巴陵戏传承研究院无国有资本经营预算财政拨款支出。</w:t>
      </w:r>
    </w:p>
    <w:p w14:paraId="778F5E6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325047A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DAF3C8C">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年度“三公”经费财政拨款支出预算为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69B14C9C">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决算数等于预算数，</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我单位严格按预算执行决算；与上年一致，无增减变动，</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未安排因公出国（境）活动</w:t>
      </w:r>
      <w:r>
        <w:rPr>
          <w:rFonts w:hint="eastAsia" w:asciiTheme="minorEastAsia" w:hAnsiTheme="minorEastAsia" w:eastAsiaTheme="minorEastAsia"/>
          <w:sz w:val="32"/>
          <w:szCs w:val="32"/>
        </w:rPr>
        <w:t>。</w:t>
      </w:r>
    </w:p>
    <w:p w14:paraId="2AF801EC">
      <w:pPr>
        <w:pStyle w:val="15"/>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严格按照预算执行，执行中央八项规定；</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0.1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33.33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rPr>
        <w:t>的主要原因是</w:t>
      </w:r>
      <w:r>
        <w:rPr>
          <w:rFonts w:hint="eastAsia" w:asciiTheme="minorEastAsia" w:hAnsiTheme="minorEastAsia" w:eastAsiaTheme="minorEastAsia"/>
          <w:sz w:val="32"/>
          <w:szCs w:val="32"/>
          <w:lang w:eastAsia="zh-CN"/>
        </w:rPr>
        <w:t>新排剧目需专家审查。</w:t>
      </w:r>
    </w:p>
    <w:p w14:paraId="375A1315">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决算数等于预算数，</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我单位严格按预算执行决算；与上年一致，无增减变动，</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两年均未购置公务用车</w:t>
      </w:r>
      <w:r>
        <w:rPr>
          <w:rFonts w:hint="eastAsia" w:asciiTheme="minorEastAsia" w:hAnsiTheme="minorEastAsia" w:eastAsiaTheme="minorEastAsia"/>
          <w:sz w:val="32"/>
          <w:szCs w:val="32"/>
        </w:rPr>
        <w:t>。</w:t>
      </w:r>
    </w:p>
    <w:p w14:paraId="71ED7C00">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决算数等于预算数，</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我单位严格按预算执行决算；与上年一致，无增减变动，</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两年均无公务用车需要运行维护</w:t>
      </w:r>
      <w:r>
        <w:rPr>
          <w:rFonts w:hint="eastAsia" w:asciiTheme="minorEastAsia" w:hAnsiTheme="minorEastAsia" w:eastAsiaTheme="minorEastAsia"/>
          <w:sz w:val="32"/>
          <w:szCs w:val="32"/>
        </w:rPr>
        <w:t>。</w:t>
      </w:r>
    </w:p>
    <w:p w14:paraId="2090294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p>
    <w:p w14:paraId="53D551F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41C4ADB">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其中：</w:t>
      </w:r>
    </w:p>
    <w:p w14:paraId="0671D2CE">
      <w:pPr>
        <w:pStyle w:val="15"/>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我单位</w:t>
      </w:r>
      <w:r>
        <w:rPr>
          <w:rFonts w:hint="eastAsia" w:asciiTheme="minorEastAsia" w:hAnsiTheme="minorEastAsia" w:eastAsiaTheme="minorEastAsia"/>
          <w:sz w:val="32"/>
          <w:szCs w:val="32"/>
          <w:lang w:val="en-US" w:eastAsia="zh-CN"/>
        </w:rPr>
        <w:t>2023年度无</w:t>
      </w:r>
      <w:r>
        <w:rPr>
          <w:rFonts w:hint="eastAsia" w:asciiTheme="minorEastAsia" w:hAnsiTheme="minorEastAsia" w:eastAsiaTheme="minorEastAsia"/>
          <w:sz w:val="32"/>
          <w:szCs w:val="32"/>
        </w:rPr>
        <w:t>因公出国（境）费支出</w:t>
      </w:r>
      <w:r>
        <w:rPr>
          <w:rFonts w:hint="eastAsia" w:asciiTheme="minorEastAsia" w:hAnsiTheme="minorEastAsia" w:eastAsiaTheme="minorEastAsia"/>
          <w:sz w:val="32"/>
          <w:szCs w:val="32"/>
          <w:lang w:eastAsia="zh-CN"/>
        </w:rPr>
        <w:t>。</w:t>
      </w:r>
    </w:p>
    <w:p w14:paraId="25B20E5F">
      <w:pPr>
        <w:pStyle w:val="15"/>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2、公务接待费支出决算为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演出业务交流</w:t>
      </w:r>
      <w:r>
        <w:rPr>
          <w:rFonts w:hint="eastAsia" w:asciiTheme="minorEastAsia" w:hAnsiTheme="minorEastAsia" w:eastAsiaTheme="minorEastAsia"/>
          <w:sz w:val="32"/>
          <w:szCs w:val="32"/>
        </w:rPr>
        <w:t>发生的接待支出。</w:t>
      </w:r>
    </w:p>
    <w:p w14:paraId="61071DBD">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当年没有购置</w:t>
      </w:r>
      <w:r>
        <w:rPr>
          <w:rFonts w:hint="eastAsia" w:asciiTheme="minorEastAsia" w:hAnsiTheme="minorEastAsia"/>
          <w:sz w:val="32"/>
          <w:szCs w:val="32"/>
        </w:rPr>
        <w:t>公务用车</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w:t>
      </w:r>
      <w:r>
        <w:rPr>
          <w:rFonts w:hint="eastAsia" w:asciiTheme="minorEastAsia" w:hAnsiTheme="minorEastAsia"/>
          <w:sz w:val="32"/>
          <w:szCs w:val="32"/>
          <w:lang w:val="en-US" w:eastAsia="zh-CN"/>
        </w:rPr>
        <w:t>3</w:t>
      </w:r>
      <w:r>
        <w:rPr>
          <w:rFonts w:hint="eastAsia" w:asciiTheme="minorEastAsia" w:hAnsiTheme="minorEastAsia"/>
          <w:sz w:val="32"/>
          <w:szCs w:val="32"/>
        </w:rPr>
        <w:t>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14:paraId="5C846F8F">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sz w:val="32"/>
          <w:szCs w:val="32"/>
        </w:rPr>
      </w:pPr>
    </w:p>
    <w:p w14:paraId="155ABE8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7057ED8E">
      <w:pPr>
        <w:pStyle w:val="15"/>
        <w:ind w:firstLine="640" w:firstLineChars="200"/>
        <w:rPr>
          <w:rFonts w:hint="eastAsia" w:asciiTheme="minorEastAsia" w:hAnsiTheme="minorEastAsia" w:eastAsiaTheme="minorEastAsia"/>
          <w:sz w:val="32"/>
          <w:szCs w:val="32"/>
        </w:rPr>
      </w:pPr>
    </w:p>
    <w:p w14:paraId="250B25B9">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部门</w:t>
      </w: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主要原因是：</w:t>
      </w:r>
    </w:p>
    <w:p w14:paraId="2A609176">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级和所属单位均为事业单位，按照机关运行经费的口径，本</w:t>
      </w:r>
      <w:r>
        <w:rPr>
          <w:rFonts w:hint="eastAsia" w:asciiTheme="minorEastAsia" w:hAnsiTheme="minorEastAsia" w:eastAsiaTheme="minorEastAsia"/>
          <w:sz w:val="32"/>
          <w:szCs w:val="32"/>
          <w:lang w:val="en-US" w:eastAsia="zh-CN"/>
        </w:rPr>
        <w:t>年</w:t>
      </w:r>
      <w:r>
        <w:rPr>
          <w:rFonts w:hint="eastAsia" w:asciiTheme="minorEastAsia" w:hAnsiTheme="minorEastAsia" w:eastAsiaTheme="minorEastAsia"/>
          <w:sz w:val="32"/>
          <w:szCs w:val="32"/>
        </w:rPr>
        <w:t>度机关运行经费</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53EC826D">
      <w:pPr>
        <w:pStyle w:val="15"/>
        <w:ind w:firstLine="640" w:firstLineChars="200"/>
        <w:rPr>
          <w:rFonts w:hint="eastAsia" w:asciiTheme="minorEastAsia" w:hAnsiTheme="minorEastAsia" w:eastAsiaTheme="minorEastAsia"/>
          <w:sz w:val="32"/>
          <w:szCs w:val="32"/>
        </w:rPr>
      </w:pPr>
    </w:p>
    <w:p w14:paraId="106628C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25872FD4">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eastAsia="zh-CN"/>
        </w:rPr>
        <w:t>度</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lang w:eastAsia="zh-CN"/>
        </w:rPr>
        <w:t>会议费年初预算为</w:t>
      </w:r>
      <w:r>
        <w:rPr>
          <w:rFonts w:hint="eastAsia" w:asciiTheme="minorEastAsia" w:hAnsiTheme="minorEastAsia" w:eastAsiaTheme="minorEastAsia"/>
          <w:sz w:val="32"/>
          <w:szCs w:val="32"/>
          <w:lang w:val="en-US" w:eastAsia="zh-CN"/>
        </w:rPr>
        <w:t>0万元，支出决算为0万元，本单位无会议费的预算和支出决算数。</w:t>
      </w:r>
    </w:p>
    <w:p w14:paraId="5D1A4ECE">
      <w:pPr>
        <w:pStyle w:val="15"/>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培训费年初预算</w:t>
      </w:r>
      <w:r>
        <w:rPr>
          <w:rFonts w:hint="eastAsia" w:asciiTheme="minorEastAsia" w:hAnsiTheme="minorEastAsia" w:eastAsiaTheme="minorEastAsia"/>
          <w:sz w:val="32"/>
          <w:szCs w:val="32"/>
          <w:lang w:val="en-US" w:eastAsia="zh-CN"/>
        </w:rPr>
        <w:t>3.3万元，支出决算为2.43元，完成年初预算的73.64%。用于开展事业单位工作人员人事平台培训，人数113人，内容为专业课程培训。</w:t>
      </w:r>
    </w:p>
    <w:p w14:paraId="0C97DE3B">
      <w:pPr>
        <w:pStyle w:val="15"/>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举办节庆、晚会、论坛、赛事活动年初预算0万元，支出决算为0万元。本单位无举办节庆、晚会、论坛、赛事活动的预算和支出决算数。</w:t>
      </w:r>
    </w:p>
    <w:p w14:paraId="05C24368">
      <w:pPr>
        <w:pStyle w:val="15"/>
        <w:ind w:firstLine="640" w:firstLineChars="200"/>
        <w:rPr>
          <w:rFonts w:hint="eastAsia" w:ascii="仿宋_GB2312" w:hAnsi="仿宋_GB2312" w:eastAsia="仿宋_GB2312" w:cs="仿宋_GB2312"/>
          <w:sz w:val="32"/>
          <w:szCs w:val="32"/>
        </w:rPr>
      </w:pPr>
    </w:p>
    <w:p w14:paraId="0A637B4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32EE31F8">
      <w:pPr>
        <w:pStyle w:val="15"/>
        <w:ind w:firstLine="640" w:firstLineChars="200"/>
        <w:rPr>
          <w:rFonts w:hint="eastAsia" w:asciiTheme="minorEastAsia" w:hAnsiTheme="minorEastAsia" w:eastAsiaTheme="minorEastAsia"/>
          <w:sz w:val="32"/>
          <w:szCs w:val="32"/>
        </w:rPr>
      </w:pPr>
    </w:p>
    <w:p w14:paraId="16258395">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年度政府采购支出总额</w:t>
      </w:r>
      <w:r>
        <w:rPr>
          <w:rFonts w:hint="eastAsia" w:asciiTheme="minorEastAsia" w:hAnsiTheme="minorEastAsia" w:eastAsiaTheme="minorEastAsia"/>
          <w:sz w:val="32"/>
          <w:szCs w:val="32"/>
          <w:lang w:val="en-US" w:eastAsia="zh-CN"/>
        </w:rPr>
        <w:t>455.5</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277</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178.5</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455.5</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455.5</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eastAsia="zh-CN"/>
        </w:rPr>
        <w:t>比重，由于此项合同金额为</w:t>
      </w:r>
      <w:r>
        <w:rPr>
          <w:rFonts w:hint="eastAsia" w:asciiTheme="minorEastAsia" w:hAnsiTheme="minorEastAsia" w:eastAsiaTheme="minorEastAsia"/>
          <w:sz w:val="32"/>
          <w:szCs w:val="32"/>
          <w:lang w:val="en-US" w:eastAsia="zh-CN"/>
        </w:rPr>
        <w:t>0，故无法计算此项占比</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60.81</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39.19</w:t>
      </w:r>
      <w:r>
        <w:rPr>
          <w:rFonts w:hint="eastAsia" w:asciiTheme="minorEastAsia" w:hAnsiTheme="minorEastAsia" w:eastAsiaTheme="minorEastAsia"/>
          <w:sz w:val="32"/>
          <w:szCs w:val="32"/>
        </w:rPr>
        <w:t>%。</w:t>
      </w:r>
    </w:p>
    <w:p w14:paraId="559C14F4">
      <w:pPr>
        <w:pStyle w:val="15"/>
        <w:ind w:firstLine="640" w:firstLineChars="200"/>
        <w:rPr>
          <w:rFonts w:hint="eastAsia" w:asciiTheme="minorEastAsia" w:hAnsiTheme="minorEastAsia" w:eastAsiaTheme="minorEastAsia"/>
          <w:sz w:val="32"/>
          <w:szCs w:val="32"/>
        </w:rPr>
      </w:pPr>
    </w:p>
    <w:p w14:paraId="1B01F0F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65D3495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i w:val="0"/>
          <w:iCs/>
          <w:color w:val="auto"/>
          <w:sz w:val="32"/>
          <w:szCs w:val="32"/>
          <w:lang w:val="en-US" w:eastAsia="zh-CN"/>
        </w:rPr>
      </w:pPr>
      <w:r>
        <w:rPr>
          <w:rFonts w:hint="eastAsia" w:ascii="仿宋_GB2312" w:hAnsi="仿宋_GB2312" w:eastAsia="仿宋_GB2312" w:cs="仿宋_GB2312"/>
          <w:i w:val="0"/>
          <w:iCs/>
          <w:color w:val="auto"/>
          <w:sz w:val="32"/>
          <w:szCs w:val="32"/>
          <w:lang w:val="en-US" w:eastAsia="zh-CN"/>
        </w:rPr>
        <w:t>截至2023年12月31日，本单位共有车辆3辆，其中，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Theme="minorEastAsia" w:hAnsiTheme="minorEastAsia" w:eastAsiaTheme="minorEastAsia"/>
          <w:color w:val="auto"/>
          <w:sz w:val="32"/>
          <w:szCs w:val="32"/>
        </w:rPr>
        <w:t>其他用车主要是演出车1辆、通勤车2辆，主要用于送戏下乡演出；</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r>
        <w:rPr>
          <w:rFonts w:hint="eastAsia" w:ascii="仿宋_GB2312" w:hAnsi="仿宋_GB2312" w:eastAsia="仿宋_GB2312" w:cs="仿宋_GB2312"/>
          <w:color w:val="auto"/>
          <w:sz w:val="32"/>
          <w:szCs w:val="32"/>
          <w:lang w:eastAsia="zh-CN"/>
        </w:rPr>
        <w:t>。</w:t>
      </w:r>
    </w:p>
    <w:p w14:paraId="4CC14BB1">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p>
    <w:p w14:paraId="36968BA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AB28F7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47B09E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0A6A1F3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2888.43万元，政府性基金预算支出598.8万元，国有资本经营预算支出0万元。从评价情况来看，整体支出绩效评价中，2023年整体支出3668.19万元，其中：基本支出2232.16万元，项目支出1436.03万元，本单位整体支出绩效自评综合评分98分，评价结果等次为优。</w:t>
      </w:r>
    </w:p>
    <w:p w14:paraId="2F38BDFB">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组织对一般公共预算项目支出全面开展绩效自评，项目5个，共涉及资金729.06</w:t>
      </w:r>
      <w:bookmarkStart w:id="0" w:name="_GoBack"/>
      <w:bookmarkEnd w:id="0"/>
      <w:r>
        <w:rPr>
          <w:rFonts w:hint="eastAsia" w:ascii="仿宋_GB2312" w:hAnsi="仿宋_GB2312" w:eastAsia="仿宋_GB2312" w:cs="仿宋_GB2312"/>
          <w:b w:val="0"/>
          <w:bCs w:val="0"/>
          <w:color w:val="000000"/>
          <w:kern w:val="0"/>
          <w:sz w:val="32"/>
          <w:szCs w:val="32"/>
          <w:lang w:val="en-US" w:eastAsia="zh-CN" w:bidi="ar-SA"/>
        </w:rPr>
        <w:t>万元,占一般公共预算项目支出总额的100%。组织对政府性基金预算项目支出开展绩效自评，项目1个，共涉及资金598.8万元，占政府性基金预算项目支出总额的100%。组织对国有资本经营预算项目支出开展绩效自评，项目0个，共涉及资金0万元（由于国有资本经营预算项目支出总额为0，故无法计算占国有资本经营预算项目支出总额的比重）。从评价情况来看，项目绩效自评得分100分，评价结果等次为优。</w:t>
      </w:r>
    </w:p>
    <w:p w14:paraId="724BA40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D154ED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根据年初设定的绩效目标，绩效自评得分为98分。全年预算数为3668.19万元，执行数为3668.19万元，完成预算的100%。绩效目标完成情况：</w:t>
      </w:r>
    </w:p>
    <w:p w14:paraId="439BA81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1、深入学习党的理论和路线方针政策，为各项工作的开展凝聚强大共识，提供精神支撑；组进行群众对党员的民主评议；组织学习岳阳市八届纪委三次全会精神、清廉岳阳”文章精神，传承院干部职工签署承诺书，坚决杜绝酒驾醉驾，以优良的党风政风带动社风民风向上向善。2、精心编排《天女散花》《打花鼓》《失子惊疯》等经典巴陵戏剧目进行展演，为市民、游客献上了丰盛的传统文化盛宴；每周六汴河街岳舞台合计演出传统大戏36场，折子戏14场；3、</w:t>
      </w:r>
      <w:r>
        <w:rPr>
          <w:rFonts w:hint="eastAsia" w:ascii="仿宋_GB2312" w:hAnsi="仿宋_GB2312" w:eastAsia="仿宋_GB2312" w:cs="仿宋_GB2312"/>
          <w:b w:val="0"/>
          <w:bCs w:val="0"/>
          <w:color w:val="000000"/>
          <w:kern w:val="0"/>
          <w:sz w:val="32"/>
          <w:szCs w:val="32"/>
          <w:lang w:val="en-US" w:eastAsia="zh-CN" w:bidi="ar-SA"/>
        </w:rPr>
        <w:t>完成巴陵戏《共饮一江水》的首演工作，注重艺术创作戏曲宣传。4、打造巴陵戏剧场品牌，做好非遗传承与发展。</w:t>
      </w:r>
    </w:p>
    <w:p w14:paraId="3C8E81E5">
      <w:pPr>
        <w:pStyle w:val="15"/>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存在的问题及原因分析</w:t>
      </w:r>
    </w:p>
    <w:p w14:paraId="29700237">
      <w:pPr>
        <w:widowControl/>
        <w:spacing w:line="600" w:lineRule="exact"/>
        <w:ind w:firstLine="640" w:firstLineChars="200"/>
        <w:jc w:val="left"/>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lang w:val="en-US" w:eastAsia="zh-CN"/>
        </w:rPr>
        <w:t>一、部分项目未按计划开展。因下半年我院国家艺术基金项目《共饮一江水》首演、岳阳市第五届艺术节开幕大戏、承接艺术节非遗等几大板块的文艺展演和闭幕晚会，部分项目未能如期开展，导致项目资金当年无法支出，结转至下年，影响资金使用效益。</w:t>
      </w:r>
    </w:p>
    <w:p w14:paraId="590079F2">
      <w:pPr>
        <w:widowControl/>
        <w:spacing w:line="600" w:lineRule="exact"/>
        <w:ind w:firstLine="640" w:firstLineChars="200"/>
        <w:jc w:val="left"/>
        <w:rPr>
          <w:rFonts w:hint="default"/>
        </w:rPr>
      </w:pPr>
      <w:r>
        <w:rPr>
          <w:rFonts w:hint="eastAsia" w:ascii="仿宋" w:hAnsi="仿宋" w:eastAsia="仿宋" w:cs="仿宋"/>
          <w:sz w:val="32"/>
          <w:szCs w:val="32"/>
          <w:lang w:val="en-US" w:eastAsia="zh-CN"/>
        </w:rPr>
        <w:t>二、</w:t>
      </w:r>
      <w:r>
        <w:rPr>
          <w:rFonts w:hint="eastAsia" w:ascii="仿宋" w:hAnsi="仿宋" w:eastAsia="仿宋" w:cs="仿宋"/>
          <w:sz w:val="32"/>
          <w:szCs w:val="32"/>
        </w:rPr>
        <w:t>总体绩效目标设置基本合理，</w:t>
      </w:r>
      <w:r>
        <w:rPr>
          <w:rFonts w:hint="eastAsia" w:ascii="仿宋" w:hAnsi="仿宋" w:eastAsia="仿宋" w:cs="仿宋"/>
          <w:sz w:val="32"/>
          <w:szCs w:val="32"/>
          <w:lang w:val="en-US" w:eastAsia="zh-CN"/>
        </w:rPr>
        <w:t>预算编制测算还不够精确，编制依据和测算深度不够，</w:t>
      </w:r>
      <w:r>
        <w:rPr>
          <w:rFonts w:hint="eastAsia" w:ascii="仿宋" w:hAnsi="仿宋" w:eastAsia="仿宋" w:cs="仿宋"/>
          <w:sz w:val="32"/>
          <w:szCs w:val="32"/>
        </w:rPr>
        <w:t>年初未将绩效目标分解为清晰、可衡量的绩效指标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实际执行与项目预算绩效存在偏差。</w:t>
      </w:r>
    </w:p>
    <w:p w14:paraId="3DA2CD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right="0" w:firstLine="640" w:firstLineChars="200"/>
        <w:textAlignment w:val="center"/>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b w:val="0"/>
          <w:bCs w:val="0"/>
          <w:color w:val="000000"/>
          <w:kern w:val="0"/>
          <w:sz w:val="32"/>
          <w:szCs w:val="32"/>
          <w:lang w:val="en-US" w:eastAsia="zh-CN" w:bidi="ar-SA"/>
        </w:rPr>
        <w:t>下一步改进措施：</w:t>
      </w:r>
      <w:r>
        <w:rPr>
          <w:rFonts w:hint="eastAsia" w:ascii="仿宋" w:hAnsi="仿宋" w:eastAsia="仿宋" w:cs="仿宋"/>
          <w:i w:val="0"/>
          <w:iCs w:val="0"/>
          <w:caps w:val="0"/>
          <w:color w:val="333333"/>
          <w:spacing w:val="0"/>
          <w:sz w:val="32"/>
          <w:szCs w:val="32"/>
          <w:shd w:val="clear" w:fill="FFFFFF"/>
        </w:rPr>
        <w:t>细化预算编制工作，认真做好预算的编制。进一步加强单位预算管理意识，严格按照预算编制的相关制度和要求进行预算编制。提高预算编制的科学性、严谨性和可控性，加强内部预算编制的审核和预算指标的下达。</w:t>
      </w:r>
    </w:p>
    <w:p w14:paraId="1C92A8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leftChars="0" w:right="0" w:firstLine="640" w:firstLineChars="200"/>
        <w:textAlignment w:val="center"/>
        <w:rPr>
          <w:rFonts w:hint="default" w:ascii="Times New Roman" w:hAnsi="Times New Roman" w:eastAsia="黑体" w:cs="Times New Roman"/>
          <w:sz w:val="32"/>
          <w:szCs w:val="32"/>
        </w:rPr>
      </w:pPr>
      <w:r>
        <w:rPr>
          <w:rFonts w:hint="eastAsia" w:ascii="仿宋" w:hAnsi="仿宋" w:eastAsia="仿宋" w:cs="仿宋"/>
          <w:i w:val="0"/>
          <w:iCs w:val="0"/>
          <w:caps w:val="0"/>
          <w:color w:val="333333"/>
          <w:spacing w:val="0"/>
          <w:sz w:val="32"/>
          <w:szCs w:val="32"/>
          <w:shd w:val="clear" w:fill="FFFFFF"/>
        </w:rPr>
        <w:t>单位尽可能</w:t>
      </w:r>
      <w:r>
        <w:rPr>
          <w:rFonts w:hint="eastAsia" w:ascii="仿宋" w:hAnsi="仿宋" w:eastAsia="仿宋" w:cs="仿宋"/>
          <w:i w:val="0"/>
          <w:iCs w:val="0"/>
          <w:caps w:val="0"/>
          <w:color w:val="333333"/>
          <w:spacing w:val="0"/>
          <w:sz w:val="32"/>
          <w:szCs w:val="32"/>
          <w:shd w:val="clear" w:fill="FFFFFF"/>
          <w:lang w:val="en-US" w:eastAsia="zh-CN"/>
        </w:rPr>
        <w:t>加快文艺作品的审核申报、演出生产</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推动项目按计划实施，</w:t>
      </w:r>
      <w:r>
        <w:rPr>
          <w:rFonts w:hint="eastAsia" w:ascii="仿宋" w:hAnsi="仿宋" w:eastAsia="仿宋" w:cs="仿宋"/>
          <w:i w:val="0"/>
          <w:iCs w:val="0"/>
          <w:caps w:val="0"/>
          <w:color w:val="333333"/>
          <w:spacing w:val="0"/>
          <w:sz w:val="32"/>
          <w:szCs w:val="32"/>
          <w:shd w:val="clear" w:fill="FFFFFF"/>
        </w:rPr>
        <w:t>减少年底结转结余资金，以有效提高预算完成率。</w:t>
      </w:r>
    </w:p>
    <w:p w14:paraId="4F0F0907">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7F783134">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055F7B6A">
      <w:pPr>
        <w:pStyle w:val="15"/>
        <w:jc w:val="center"/>
        <w:rPr>
          <w:sz w:val="72"/>
          <w:szCs w:val="72"/>
        </w:rPr>
      </w:pPr>
    </w:p>
    <w:p w14:paraId="0C9EAD44">
      <w:pPr>
        <w:pStyle w:val="15"/>
        <w:jc w:val="center"/>
        <w:rPr>
          <w:rFonts w:hint="eastAsia" w:ascii="方正小标宋_GBK" w:hAnsi="方正小标宋_GBK" w:eastAsia="方正小标宋_GBK" w:cs="方正小标宋_GBK"/>
          <w:sz w:val="70"/>
          <w:szCs w:val="70"/>
          <w:lang w:eastAsia="zh-CN"/>
        </w:rPr>
      </w:pPr>
    </w:p>
    <w:p w14:paraId="0B4CF834">
      <w:pPr>
        <w:pStyle w:val="15"/>
        <w:jc w:val="center"/>
        <w:rPr>
          <w:rFonts w:hint="eastAsia" w:ascii="方正小标宋_GBK" w:hAnsi="方正小标宋_GBK" w:eastAsia="方正小标宋_GBK" w:cs="方正小标宋_GBK"/>
          <w:sz w:val="70"/>
          <w:szCs w:val="70"/>
          <w:lang w:eastAsia="zh-CN"/>
        </w:rPr>
      </w:pPr>
    </w:p>
    <w:p w14:paraId="38F486D2">
      <w:pPr>
        <w:pStyle w:val="15"/>
        <w:jc w:val="center"/>
        <w:rPr>
          <w:rFonts w:hint="eastAsia" w:ascii="方正小标宋_GBK" w:hAnsi="方正小标宋_GBK" w:eastAsia="方正小标宋_GBK" w:cs="方正小标宋_GBK"/>
          <w:sz w:val="72"/>
          <w:szCs w:val="72"/>
        </w:rPr>
      </w:pPr>
    </w:p>
    <w:p w14:paraId="33DAE2CF">
      <w:pPr>
        <w:pStyle w:val="15"/>
        <w:ind w:firstLine="4320" w:firstLineChars="6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04B7DB5">
      <w:pPr>
        <w:jc w:val="center"/>
        <w:rPr>
          <w:rFonts w:hint="eastAsia" w:ascii="方正小标宋_GBK" w:hAnsi="方正小标宋_GBK" w:eastAsia="方正小标宋_GBK" w:cs="方正小标宋_GBK"/>
          <w:color w:val="000000"/>
          <w:kern w:val="0"/>
          <w:sz w:val="70"/>
          <w:szCs w:val="70"/>
        </w:rPr>
      </w:pPr>
    </w:p>
    <w:p w14:paraId="0E6C960E">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lang w:val="en-US" w:eastAsia="zh-CN"/>
        </w:rPr>
        <w:t xml:space="preserve">  </w:t>
      </w:r>
      <w:r>
        <w:rPr>
          <w:rFonts w:hint="eastAsia" w:ascii="方正小标宋_GBK" w:hAnsi="方正小标宋_GBK" w:eastAsia="方正小标宋_GBK" w:cs="方正小标宋_GBK"/>
          <w:color w:val="000000"/>
          <w:kern w:val="0"/>
          <w:sz w:val="70"/>
          <w:szCs w:val="70"/>
        </w:rPr>
        <w:t>名词解释</w:t>
      </w:r>
    </w:p>
    <w:p w14:paraId="6FE84E4B">
      <w:pPr>
        <w:pStyle w:val="9"/>
      </w:pPr>
    </w:p>
    <w:p w14:paraId="53E18F38">
      <w:pPr>
        <w:pStyle w:val="5"/>
      </w:pPr>
    </w:p>
    <w:p w14:paraId="087E027F"/>
    <w:p w14:paraId="482DA57B">
      <w:pPr>
        <w:pStyle w:val="9"/>
      </w:pPr>
    </w:p>
    <w:p w14:paraId="3C070507">
      <w:pPr>
        <w:jc w:val="left"/>
        <w:rPr>
          <w:rFonts w:hint="eastAsia" w:ascii="仿宋_GB2312" w:hAnsi="仿宋_GB2312" w:eastAsia="仿宋_GB2312" w:cs="仿宋_GB2312"/>
          <w:color w:val="000000"/>
          <w:kern w:val="0"/>
          <w:sz w:val="32"/>
          <w:szCs w:val="32"/>
        </w:rPr>
      </w:pPr>
    </w:p>
    <w:p w14:paraId="114E2B4D">
      <w:pPr>
        <w:jc w:val="left"/>
        <w:rPr>
          <w:rFonts w:hint="eastAsia" w:ascii="仿宋_GB2312" w:hAnsi="仿宋_GB2312" w:eastAsia="仿宋_GB2312" w:cs="仿宋_GB2312"/>
          <w:color w:val="000000"/>
          <w:kern w:val="0"/>
          <w:sz w:val="32"/>
          <w:szCs w:val="32"/>
        </w:rPr>
      </w:pPr>
    </w:p>
    <w:p w14:paraId="4A49C260">
      <w:pPr>
        <w:jc w:val="left"/>
        <w:rPr>
          <w:rFonts w:hint="eastAsia" w:ascii="仿宋_GB2312" w:hAnsi="仿宋_GB2312" w:eastAsia="仿宋_GB2312" w:cs="仿宋_GB2312"/>
          <w:color w:val="000000"/>
          <w:kern w:val="0"/>
          <w:sz w:val="32"/>
          <w:szCs w:val="32"/>
        </w:rPr>
      </w:pPr>
    </w:p>
    <w:p w14:paraId="5B4A7D9B">
      <w:pPr>
        <w:jc w:val="left"/>
        <w:rPr>
          <w:rFonts w:hint="eastAsia" w:ascii="仿宋_GB2312" w:hAnsi="仿宋_GB2312" w:eastAsia="仿宋_GB2312" w:cs="仿宋_GB2312"/>
          <w:color w:val="000000"/>
          <w:kern w:val="0"/>
          <w:sz w:val="32"/>
          <w:szCs w:val="32"/>
        </w:rPr>
      </w:pPr>
    </w:p>
    <w:p w14:paraId="78A58169">
      <w:pPr>
        <w:jc w:val="left"/>
        <w:rPr>
          <w:rFonts w:hint="eastAsia" w:ascii="仿宋_GB2312" w:hAnsi="仿宋_GB2312" w:eastAsia="仿宋_GB2312" w:cs="仿宋_GB2312"/>
          <w:color w:val="000000"/>
          <w:kern w:val="0"/>
          <w:sz w:val="32"/>
          <w:szCs w:val="32"/>
        </w:rPr>
      </w:pPr>
    </w:p>
    <w:p w14:paraId="1E9A06EB">
      <w:pPr>
        <w:jc w:val="left"/>
        <w:rPr>
          <w:rFonts w:hint="eastAsia" w:ascii="仿宋_GB2312" w:hAnsi="仿宋_GB2312" w:eastAsia="仿宋_GB2312" w:cs="仿宋_GB2312"/>
          <w:color w:val="000000"/>
          <w:kern w:val="0"/>
          <w:sz w:val="32"/>
          <w:szCs w:val="32"/>
        </w:rPr>
      </w:pPr>
    </w:p>
    <w:p w14:paraId="28641DF7">
      <w:pPr>
        <w:jc w:val="left"/>
        <w:rPr>
          <w:rFonts w:hint="eastAsia" w:ascii="仿宋_GB2312" w:hAnsi="仿宋_GB2312" w:eastAsia="仿宋_GB2312" w:cs="仿宋_GB2312"/>
          <w:color w:val="000000"/>
          <w:kern w:val="0"/>
          <w:sz w:val="32"/>
          <w:szCs w:val="32"/>
        </w:rPr>
      </w:pPr>
    </w:p>
    <w:p w14:paraId="3C8A28F5">
      <w:pPr>
        <w:jc w:val="left"/>
        <w:rPr>
          <w:rFonts w:hint="eastAsia" w:ascii="仿宋_GB2312" w:hAnsi="仿宋_GB2312" w:eastAsia="仿宋_GB2312" w:cs="仿宋_GB2312"/>
          <w:color w:val="000000"/>
          <w:kern w:val="0"/>
          <w:sz w:val="32"/>
          <w:szCs w:val="32"/>
        </w:rPr>
      </w:pPr>
    </w:p>
    <w:p w14:paraId="7505DA30">
      <w:pPr>
        <w:jc w:val="left"/>
        <w:rPr>
          <w:rFonts w:hint="eastAsia" w:ascii="仿宋_GB2312" w:hAnsi="仿宋_GB2312" w:eastAsia="仿宋_GB2312" w:cs="仿宋_GB2312"/>
          <w:color w:val="000000"/>
          <w:kern w:val="0"/>
          <w:sz w:val="32"/>
          <w:szCs w:val="32"/>
        </w:rPr>
      </w:pPr>
    </w:p>
    <w:p w14:paraId="5CA505B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27636F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068109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财政拨款收入：指市级财政当年拨付的资金。</w:t>
      </w:r>
    </w:p>
    <w:p w14:paraId="19680A4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、上级补助收入：指单位从主管部门和上级单位取得的非财政性补助收入。</w:t>
      </w:r>
    </w:p>
    <w:p w14:paraId="0EDDE4F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、其他收入：指除上述“财政拨款收入”、“上级补助收入”、“事业收入”、“经营收入”、“附属单位上缴收入”等以外的收入。</w:t>
      </w:r>
    </w:p>
    <w:p w14:paraId="747031C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、上年结转和结余：指以前年度尚未完成、结转到本年按有关规定继续使用的资金。</w:t>
      </w:r>
    </w:p>
    <w:p w14:paraId="51ADBAE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、基本支出：指保障机构正常运转、完成日常工作任务而发生的人员支出和公用支出。</w:t>
      </w:r>
    </w:p>
    <w:p w14:paraId="1D3CED4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rPr>
        <w:t>、项目支出：指在基本支出之外为完成特定行政任务和事业发展目标所发生的支出。</w:t>
      </w:r>
    </w:p>
    <w:p w14:paraId="1EA4660C">
      <w:pPr>
        <w:ind w:firstLine="640" w:firstLineChars="200"/>
        <w:jc w:val="left"/>
        <w:rPr>
          <w:rFonts w:hint="eastAsia" w:ascii="仿宋_GB2312" w:hAnsi="仿宋_GB2312" w:eastAsia="仿宋_GB2312" w:cs="仿宋_GB2312"/>
          <w:color w:val="000000"/>
          <w:kern w:val="0"/>
          <w:sz w:val="32"/>
          <w:szCs w:val="32"/>
        </w:rPr>
      </w:pPr>
    </w:p>
    <w:p w14:paraId="3C397205"/>
    <w:p w14:paraId="25AF97D8">
      <w:pPr>
        <w:pStyle w:val="9"/>
      </w:pPr>
    </w:p>
    <w:p w14:paraId="6C48DF32">
      <w:pPr>
        <w:pStyle w:val="5"/>
      </w:pPr>
    </w:p>
    <w:p w14:paraId="041BBEE2">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C28FC48">
      <w:pPr>
        <w:pStyle w:val="15"/>
        <w:jc w:val="both"/>
        <w:rPr>
          <w:rFonts w:hint="eastAsia" w:ascii="方正小标宋_GBK" w:hAnsi="方正小标宋_GBK" w:eastAsia="方正小标宋_GBK" w:cs="方正小标宋_GBK"/>
          <w:sz w:val="70"/>
          <w:szCs w:val="70"/>
          <w:lang w:eastAsia="zh-CN"/>
        </w:rPr>
      </w:pPr>
    </w:p>
    <w:p w14:paraId="7EA785A8">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F420415">
      <w:pPr>
        <w:ind w:firstLine="640" w:firstLineChars="200"/>
        <w:jc w:val="left"/>
        <w:rPr>
          <w:rFonts w:hint="eastAsia" w:ascii="宋体" w:hAnsi="宋体" w:eastAsia="宋体" w:cs="黑体"/>
          <w:b/>
          <w:color w:val="000000"/>
          <w:kern w:val="0"/>
          <w:sz w:val="32"/>
          <w:szCs w:val="32"/>
          <w:lang w:val="en-US" w:eastAsia="zh-CN"/>
        </w:rPr>
      </w:pPr>
    </w:p>
    <w:p w14:paraId="6BA0137C">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77E32589">
      <w:pPr>
        <w:ind w:firstLine="640" w:firstLineChars="200"/>
        <w:jc w:val="left"/>
        <w:rPr>
          <w:rFonts w:hint="eastAsia" w:ascii="宋体" w:hAnsi="宋体" w:eastAsia="宋体" w:cs="黑体"/>
          <w:b/>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1643C09C">
      <w:pPr>
        <w:pStyle w:val="2"/>
      </w:pPr>
    </w:p>
    <w:p w14:paraId="4DBE16B1"/>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418CA"/>
    <w:multiLevelType w:val="singleLevel"/>
    <w:tmpl w:val="817418CA"/>
    <w:lvl w:ilvl="0" w:tentative="0">
      <w:start w:val="3"/>
      <w:numFmt w:val="chineseCounting"/>
      <w:suff w:val="nothing"/>
      <w:lvlText w:val="（%1）"/>
      <w:lvlJc w:val="left"/>
      <w:rPr>
        <w:rFonts w:hint="eastAsia"/>
      </w:rPr>
    </w:lvl>
  </w:abstractNum>
  <w:abstractNum w:abstractNumId="1">
    <w:nsid w:val="89DA53F5"/>
    <w:multiLevelType w:val="singleLevel"/>
    <w:tmpl w:val="89DA53F5"/>
    <w:lvl w:ilvl="0" w:tentative="0">
      <w:start w:val="5"/>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C1731"/>
    <w:multiLevelType w:val="singleLevel"/>
    <w:tmpl w:val="438C1731"/>
    <w:lvl w:ilvl="0" w:tentative="0">
      <w:start w:val="6"/>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85F20"/>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4334F9"/>
    <w:rsid w:val="01DE414E"/>
    <w:rsid w:val="059958AD"/>
    <w:rsid w:val="0828199A"/>
    <w:rsid w:val="097F0149"/>
    <w:rsid w:val="09A137B2"/>
    <w:rsid w:val="09CA0AB8"/>
    <w:rsid w:val="0A58753B"/>
    <w:rsid w:val="0C0B7609"/>
    <w:rsid w:val="0D140272"/>
    <w:rsid w:val="0E055BEC"/>
    <w:rsid w:val="112C6057"/>
    <w:rsid w:val="124C4BD7"/>
    <w:rsid w:val="12583BA5"/>
    <w:rsid w:val="13BA5B9C"/>
    <w:rsid w:val="1CC876CC"/>
    <w:rsid w:val="1D97DEFF"/>
    <w:rsid w:val="1DFF72E5"/>
    <w:rsid w:val="1EFC6F07"/>
    <w:rsid w:val="200F7270"/>
    <w:rsid w:val="207812B9"/>
    <w:rsid w:val="22AC03C2"/>
    <w:rsid w:val="24CF4DE0"/>
    <w:rsid w:val="27E12997"/>
    <w:rsid w:val="2FDF85B8"/>
    <w:rsid w:val="2FFFEE04"/>
    <w:rsid w:val="30413EE1"/>
    <w:rsid w:val="31C95635"/>
    <w:rsid w:val="34474745"/>
    <w:rsid w:val="34C9531C"/>
    <w:rsid w:val="34DF85B0"/>
    <w:rsid w:val="38251A47"/>
    <w:rsid w:val="3B8F36BC"/>
    <w:rsid w:val="3BBC00D9"/>
    <w:rsid w:val="439E2535"/>
    <w:rsid w:val="46151BD4"/>
    <w:rsid w:val="4786405A"/>
    <w:rsid w:val="47DE0339"/>
    <w:rsid w:val="48325747"/>
    <w:rsid w:val="491FF225"/>
    <w:rsid w:val="4A413C1A"/>
    <w:rsid w:val="4FFD214C"/>
    <w:rsid w:val="5352765A"/>
    <w:rsid w:val="5777D4F5"/>
    <w:rsid w:val="57EE3633"/>
    <w:rsid w:val="59A81B8C"/>
    <w:rsid w:val="59DD8326"/>
    <w:rsid w:val="5DEF592A"/>
    <w:rsid w:val="5E8358E1"/>
    <w:rsid w:val="5F0E4260"/>
    <w:rsid w:val="5FC6BB1E"/>
    <w:rsid w:val="5FF720F1"/>
    <w:rsid w:val="607E751E"/>
    <w:rsid w:val="61AD7C0D"/>
    <w:rsid w:val="67FF5C0B"/>
    <w:rsid w:val="6AE21C1B"/>
    <w:rsid w:val="6B021230"/>
    <w:rsid w:val="6BAA4A2F"/>
    <w:rsid w:val="6C3C4515"/>
    <w:rsid w:val="6E4F1D15"/>
    <w:rsid w:val="6EFC0924"/>
    <w:rsid w:val="6FB74722"/>
    <w:rsid w:val="6FEF8B7E"/>
    <w:rsid w:val="708B5A7F"/>
    <w:rsid w:val="710D57F5"/>
    <w:rsid w:val="71330819"/>
    <w:rsid w:val="71A6591B"/>
    <w:rsid w:val="737D59BA"/>
    <w:rsid w:val="737F32B1"/>
    <w:rsid w:val="74797E53"/>
    <w:rsid w:val="775F45E6"/>
    <w:rsid w:val="77C37683"/>
    <w:rsid w:val="787E7A4C"/>
    <w:rsid w:val="78BA58CA"/>
    <w:rsid w:val="79FF515B"/>
    <w:rsid w:val="7BCF55A5"/>
    <w:rsid w:val="7E761E98"/>
    <w:rsid w:val="7E9E1962"/>
    <w:rsid w:val="7E9F11B4"/>
    <w:rsid w:val="7EBA7068"/>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6447</Words>
  <Characters>7050</Characters>
  <Lines>63</Lines>
  <Paragraphs>18</Paragraphs>
  <TotalTime>30</TotalTime>
  <ScaleCrop>false</ScaleCrop>
  <LinksUpToDate>false</LinksUpToDate>
  <CharactersWithSpaces>7088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许帝</cp:lastModifiedBy>
  <cp:lastPrinted>2024-08-08T10:20:00Z</cp:lastPrinted>
  <dcterms:modified xsi:type="dcterms:W3CDTF">2025-07-29T10:39:36Z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160826D1E6CE4F198948C94EF7145CF0_13</vt:lpwstr>
  </property>
  <property fmtid="{D5CDD505-2E9C-101B-9397-08002B2CF9AE}" pid="4" name="KSOTemplateDocerSaveRecord">
    <vt:lpwstr>eyJoZGlkIjoiYTM4NDE1ZTc5N2NhM2Q5MjE1ZDAyNGIzOWQzY2I4MjQiLCJ1c2VySWQiOiI0NTkyODA2NzYifQ==</vt:lpwstr>
  </property>
</Properties>
</file>