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E7C05">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14:paraId="520D86DD">
      <w:pPr>
        <w:jc w:val="center"/>
        <w:rPr>
          <w:rFonts w:hint="default" w:ascii="Times New Roman" w:hAnsi="Times New Roman" w:eastAsia="方正小标宋_GBK" w:cs="Times New Roman"/>
          <w:sz w:val="52"/>
          <w:szCs w:val="52"/>
          <w:highlight w:val="none"/>
        </w:rPr>
      </w:pPr>
    </w:p>
    <w:p w14:paraId="41A68404">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岳阳市林业科学研究所</w:t>
      </w:r>
      <w:r>
        <w:rPr>
          <w:rFonts w:hint="eastAsia" w:ascii="方正小标宋简体" w:hAnsi="方正小标宋简体" w:eastAsia="方正小标宋简体" w:cs="方正小标宋简体"/>
          <w:sz w:val="44"/>
          <w:szCs w:val="44"/>
          <w:highlight w:val="none"/>
        </w:rPr>
        <w:t>整体支出</w:t>
      </w:r>
    </w:p>
    <w:p w14:paraId="4C21DF3B">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14:paraId="3E2B384A">
      <w:pPr>
        <w:jc w:val="center"/>
        <w:rPr>
          <w:rFonts w:hint="default" w:ascii="Times New Roman" w:hAnsi="Times New Roman" w:eastAsia="方正小标宋_GBK" w:cs="Times New Roman"/>
          <w:b/>
          <w:sz w:val="52"/>
          <w:szCs w:val="52"/>
          <w:highlight w:val="none"/>
        </w:rPr>
      </w:pPr>
    </w:p>
    <w:p w14:paraId="4996E7FD">
      <w:pPr>
        <w:jc w:val="center"/>
        <w:rPr>
          <w:rFonts w:hint="default" w:ascii="Times New Roman" w:hAnsi="Times New Roman" w:eastAsia="楷体_GB2312" w:cs="Times New Roman"/>
          <w:b/>
          <w:sz w:val="32"/>
          <w:szCs w:val="32"/>
          <w:highlight w:val="none"/>
        </w:rPr>
      </w:pPr>
    </w:p>
    <w:p w14:paraId="25842044">
      <w:pPr>
        <w:jc w:val="center"/>
        <w:rPr>
          <w:rFonts w:hint="default" w:ascii="Times New Roman" w:hAnsi="Times New Roman" w:eastAsia="楷体_GB2312" w:cs="Times New Roman"/>
          <w:b/>
          <w:sz w:val="32"/>
          <w:szCs w:val="32"/>
          <w:highlight w:val="none"/>
        </w:rPr>
      </w:pPr>
    </w:p>
    <w:p w14:paraId="01E2A56C">
      <w:pPr>
        <w:jc w:val="center"/>
        <w:rPr>
          <w:rFonts w:hint="default" w:ascii="Times New Roman" w:hAnsi="Times New Roman" w:eastAsia="楷体_GB2312" w:cs="Times New Roman"/>
          <w:b/>
          <w:sz w:val="32"/>
          <w:szCs w:val="32"/>
          <w:highlight w:val="none"/>
        </w:rPr>
      </w:pPr>
    </w:p>
    <w:p w14:paraId="6679A30F">
      <w:pPr>
        <w:jc w:val="center"/>
        <w:rPr>
          <w:rFonts w:hint="default" w:ascii="Times New Roman" w:hAnsi="Times New Roman" w:eastAsia="楷体_GB2312" w:cs="Times New Roman"/>
          <w:b/>
          <w:sz w:val="32"/>
          <w:szCs w:val="32"/>
          <w:highlight w:val="none"/>
        </w:rPr>
      </w:pPr>
    </w:p>
    <w:p w14:paraId="6A08D162">
      <w:pPr>
        <w:jc w:val="center"/>
        <w:rPr>
          <w:rFonts w:hint="default" w:ascii="Times New Roman" w:hAnsi="Times New Roman" w:eastAsia="楷体_GB2312" w:cs="Times New Roman"/>
          <w:b/>
          <w:sz w:val="32"/>
          <w:szCs w:val="32"/>
          <w:highlight w:val="none"/>
        </w:rPr>
      </w:pPr>
    </w:p>
    <w:p w14:paraId="73599065">
      <w:pPr>
        <w:jc w:val="center"/>
        <w:rPr>
          <w:rFonts w:hint="default" w:ascii="Times New Roman" w:hAnsi="Times New Roman" w:eastAsia="楷体_GB2312" w:cs="Times New Roman"/>
          <w:b/>
          <w:sz w:val="32"/>
          <w:szCs w:val="32"/>
          <w:highlight w:val="none"/>
        </w:rPr>
      </w:pPr>
    </w:p>
    <w:p w14:paraId="425A20FF">
      <w:pPr>
        <w:jc w:val="center"/>
        <w:rPr>
          <w:rFonts w:hint="default" w:ascii="Times New Roman" w:hAnsi="Times New Roman" w:eastAsia="黑体" w:cs="Times New Roman"/>
          <w:sz w:val="32"/>
          <w:szCs w:val="32"/>
          <w:highlight w:val="none"/>
        </w:rPr>
      </w:pPr>
    </w:p>
    <w:p w14:paraId="2F432FA7">
      <w:pPr>
        <w:jc w:val="center"/>
        <w:rPr>
          <w:rFonts w:hint="default" w:ascii="Times New Roman" w:hAnsi="Times New Roman" w:eastAsia="黑体" w:cs="Times New Roman"/>
          <w:sz w:val="32"/>
          <w:szCs w:val="32"/>
          <w:highlight w:val="none"/>
        </w:rPr>
      </w:pPr>
    </w:p>
    <w:p w14:paraId="5F8C1E21">
      <w:pPr>
        <w:jc w:val="center"/>
        <w:rPr>
          <w:rFonts w:hint="default" w:ascii="Times New Roman" w:hAnsi="Times New Roman" w:eastAsia="黑体" w:cs="Times New Roman"/>
          <w:sz w:val="32"/>
          <w:szCs w:val="32"/>
          <w:highlight w:val="none"/>
        </w:rPr>
      </w:pPr>
    </w:p>
    <w:p w14:paraId="31D0E38D">
      <w:pPr>
        <w:jc w:val="both"/>
        <w:rPr>
          <w:rFonts w:hint="default" w:ascii="Times New Roman" w:hAnsi="Times New Roman" w:eastAsia="黑体" w:cs="Times New Roman"/>
          <w:sz w:val="32"/>
          <w:szCs w:val="32"/>
          <w:highlight w:val="none"/>
        </w:rPr>
      </w:pPr>
    </w:p>
    <w:p w14:paraId="68AA80FB">
      <w:pPr>
        <w:jc w:val="center"/>
        <w:rPr>
          <w:rFonts w:hint="default" w:ascii="Times New Roman" w:hAnsi="Times New Roman" w:eastAsia="黑体" w:cs="Times New Roman"/>
          <w:sz w:val="32"/>
          <w:szCs w:val="32"/>
          <w:highlight w:val="none"/>
        </w:rPr>
      </w:pPr>
    </w:p>
    <w:p w14:paraId="4CFB10F4">
      <w:pPr>
        <w:jc w:val="center"/>
        <w:rPr>
          <w:rFonts w:hint="default" w:ascii="Times New Roman" w:hAnsi="Times New Roman" w:eastAsia="黑体" w:cs="Times New Roman"/>
          <w:sz w:val="32"/>
          <w:szCs w:val="32"/>
          <w:highlight w:val="none"/>
        </w:rPr>
      </w:pPr>
    </w:p>
    <w:p w14:paraId="060C408A">
      <w:pPr>
        <w:jc w:val="center"/>
        <w:rPr>
          <w:rFonts w:hint="default" w:ascii="Times New Roman" w:hAnsi="Times New Roman" w:eastAsia="黑体" w:cs="Times New Roman"/>
          <w:sz w:val="32"/>
          <w:szCs w:val="32"/>
          <w:highlight w:val="none"/>
        </w:rPr>
      </w:pPr>
    </w:p>
    <w:p w14:paraId="5C241743">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14:paraId="0FAF0BBB">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 xml:space="preserve">年 </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 xml:space="preserve"> 月 </w:t>
      </w:r>
      <w:r>
        <w:rPr>
          <w:rFonts w:hint="eastAsia" w:ascii="Times New Roman" w:hAnsi="Times New Roman" w:eastAsia="楷体_GB2312" w:cs="Times New Roman"/>
          <w:sz w:val="32"/>
          <w:szCs w:val="32"/>
          <w:highlight w:val="none"/>
          <w:lang w:val="en-US" w:eastAsia="zh-CN"/>
        </w:rPr>
        <w:t>26</w:t>
      </w:r>
      <w:r>
        <w:rPr>
          <w:rFonts w:hint="default" w:ascii="Times New Roman" w:hAnsi="Times New Roman" w:eastAsia="楷体_GB2312" w:cs="Times New Roman"/>
          <w:sz w:val="32"/>
          <w:szCs w:val="32"/>
          <w:highlight w:val="none"/>
        </w:rPr>
        <w:t xml:space="preserve"> 日</w:t>
      </w:r>
    </w:p>
    <w:p w14:paraId="72991643">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14:paraId="3A9CDE76">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年度岳阳市林业科学研究所整体支出</w:t>
      </w:r>
    </w:p>
    <w:p w14:paraId="735E5A80">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14:paraId="17422815">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1038000B">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14:paraId="10F2ECFC">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市林科所成立于1972年，是由市编委登记核准的全额拨款事业单位，2010年经省林业厅批准挂牌湖南省林业科学研究院岳阳分院，主要从事林业应用技术研究和技术推广工作。202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年年末现有编制数</w:t>
      </w:r>
      <w:r>
        <w:rPr>
          <w:rFonts w:hint="eastAsia" w:ascii="仿宋_GB2312" w:hAnsi="仿宋_GB2312" w:eastAsia="仿宋_GB2312" w:cs="仿宋_GB2312"/>
          <w:sz w:val="32"/>
          <w:szCs w:val="32"/>
          <w:highlight w:val="none"/>
          <w:lang w:val="en-US" w:eastAsia="zh-CN"/>
        </w:rPr>
        <w:t>27</w:t>
      </w:r>
      <w:r>
        <w:rPr>
          <w:rFonts w:hint="eastAsia" w:ascii="仿宋_GB2312" w:hAnsi="仿宋_GB2312" w:eastAsia="仿宋_GB2312" w:cs="仿宋_GB2312"/>
          <w:sz w:val="32"/>
          <w:szCs w:val="32"/>
          <w:highlight w:val="none"/>
        </w:rPr>
        <w:t>人，实有人数7</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人（其中全额人员</w:t>
      </w:r>
      <w:r>
        <w:rPr>
          <w:rFonts w:hint="eastAsia" w:ascii="仿宋_GB2312" w:hAnsi="仿宋_GB2312" w:eastAsia="仿宋_GB2312" w:cs="仿宋_GB2312"/>
          <w:sz w:val="32"/>
          <w:szCs w:val="32"/>
          <w:highlight w:val="none"/>
          <w:lang w:val="en-US" w:eastAsia="zh-CN"/>
        </w:rPr>
        <w:t>27</w:t>
      </w:r>
      <w:r>
        <w:rPr>
          <w:rFonts w:hint="eastAsia" w:ascii="仿宋_GB2312" w:hAnsi="仿宋_GB2312" w:eastAsia="仿宋_GB2312" w:cs="仿宋_GB2312"/>
          <w:sz w:val="32"/>
          <w:szCs w:val="32"/>
          <w:highlight w:val="none"/>
        </w:rPr>
        <w:t>人、退休人员4</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人）。有实验基地两处共620亩，分布在南湖蛇皮套60亩，岳阳经开区康王乡森林生态博览园560亩。</w:t>
      </w:r>
    </w:p>
    <w:p w14:paraId="43BAD0C5">
      <w:pPr>
        <w:pStyle w:val="5"/>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14:paraId="10BB7467">
      <w:pPr>
        <w:pStyle w:val="5"/>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14:paraId="3BAB9EEA">
      <w:pPr>
        <w:pStyle w:val="5"/>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基本支出主要是单位为保障正常运转，完成日常工作任务而发生的各项支出，包括用于基本工资、绩效工资、津贴补贴等人员经费以及办公费、印刷费、水电费、维修（护）费、差旅费、公务接待费、公务用车运行维护费、公务交通费等日常公用经费。202</w:t>
      </w:r>
      <w:r>
        <w:rPr>
          <w:rFonts w:hint="eastAsia" w:ascii="仿宋_GB2312" w:hAnsi="仿宋_GB2312" w:eastAsia="仿宋_GB2312" w:cs="仿宋_GB2312"/>
          <w:b w:val="0"/>
          <w:bCs/>
          <w:sz w:val="32"/>
          <w:szCs w:val="32"/>
          <w:highlight w:val="none"/>
          <w:lang w:val="en-US" w:eastAsia="zh-CN"/>
        </w:rPr>
        <w:t>3</w:t>
      </w:r>
      <w:r>
        <w:rPr>
          <w:rFonts w:hint="eastAsia" w:ascii="仿宋_GB2312" w:hAnsi="仿宋_GB2312" w:eastAsia="仿宋_GB2312" w:cs="仿宋_GB2312"/>
          <w:b w:val="0"/>
          <w:bCs/>
          <w:sz w:val="32"/>
          <w:szCs w:val="32"/>
          <w:highlight w:val="none"/>
        </w:rPr>
        <w:t>年市林科所一般公共预算支出768.04万元，其中基本支出</w:t>
      </w:r>
      <w:r>
        <w:rPr>
          <w:rFonts w:hint="eastAsia" w:ascii="仿宋_GB2312" w:hAnsi="仿宋_GB2312" w:eastAsia="仿宋_GB2312" w:cs="仿宋_GB2312"/>
          <w:b w:val="0"/>
          <w:bCs/>
          <w:sz w:val="32"/>
          <w:szCs w:val="32"/>
          <w:highlight w:val="none"/>
          <w:lang w:val="en-US" w:eastAsia="zh-CN"/>
        </w:rPr>
        <w:t>700.07</w:t>
      </w:r>
      <w:r>
        <w:rPr>
          <w:rFonts w:hint="eastAsia" w:ascii="仿宋_GB2312" w:hAnsi="仿宋_GB2312" w:eastAsia="仿宋_GB2312" w:cs="仿宋_GB2312"/>
          <w:b w:val="0"/>
          <w:bCs/>
          <w:sz w:val="32"/>
          <w:szCs w:val="32"/>
          <w:highlight w:val="none"/>
        </w:rPr>
        <w:t>万元，占年度总支出的8</w:t>
      </w:r>
      <w:r>
        <w:rPr>
          <w:rFonts w:hint="eastAsia" w:ascii="仿宋_GB2312" w:hAnsi="仿宋_GB2312" w:eastAsia="仿宋_GB2312" w:cs="仿宋_GB2312"/>
          <w:b w:val="0"/>
          <w:bCs/>
          <w:sz w:val="32"/>
          <w:szCs w:val="32"/>
          <w:highlight w:val="none"/>
          <w:lang w:val="en-US" w:eastAsia="zh-CN"/>
        </w:rPr>
        <w:t>7</w:t>
      </w:r>
      <w:r>
        <w:rPr>
          <w:rFonts w:hint="eastAsia" w:ascii="仿宋_GB2312" w:hAnsi="仿宋_GB2312" w:eastAsia="仿宋_GB2312" w:cs="仿宋_GB2312"/>
          <w:b w:val="0"/>
          <w:bCs/>
          <w:sz w:val="32"/>
          <w:szCs w:val="32"/>
          <w:highlight w:val="none"/>
        </w:rPr>
        <w:t>.</w:t>
      </w:r>
      <w:r>
        <w:rPr>
          <w:rFonts w:hint="eastAsia" w:ascii="仿宋_GB2312" w:hAnsi="仿宋_GB2312" w:eastAsia="仿宋_GB2312" w:cs="仿宋_GB2312"/>
          <w:b w:val="0"/>
          <w:bCs/>
          <w:sz w:val="32"/>
          <w:szCs w:val="32"/>
          <w:highlight w:val="none"/>
          <w:lang w:val="en-US" w:eastAsia="zh-CN"/>
        </w:rPr>
        <w:t>56</w:t>
      </w:r>
      <w:r>
        <w:rPr>
          <w:rFonts w:hint="eastAsia" w:ascii="仿宋_GB2312" w:hAnsi="仿宋_GB2312" w:eastAsia="仿宋_GB2312" w:cs="仿宋_GB2312"/>
          <w:b w:val="0"/>
          <w:bCs/>
          <w:sz w:val="32"/>
          <w:szCs w:val="32"/>
          <w:highlight w:val="none"/>
        </w:rPr>
        <w:t>%，包括人员支出608.88万元、公用支出41.09万元。本年度“三公”经费实际支出总额5.40万元（公务接待费2.84万元、公务用车运行维护费2.56万元）</w:t>
      </w:r>
      <w:r>
        <w:rPr>
          <w:rFonts w:hint="eastAsia" w:ascii="仿宋_GB2312" w:hAnsi="仿宋_GB2312" w:eastAsia="仿宋_GB2312" w:cs="仿宋_GB2312"/>
          <w:b w:val="0"/>
          <w:bCs/>
          <w:sz w:val="32"/>
          <w:szCs w:val="32"/>
          <w:highlight w:val="none"/>
          <w:lang w:eastAsia="zh-CN"/>
        </w:rPr>
        <w:t>，</w:t>
      </w:r>
      <w:r>
        <w:rPr>
          <w:rFonts w:hint="eastAsia" w:ascii="仿宋_GB2312" w:hAnsi="仿宋_GB2312" w:eastAsia="仿宋_GB2312" w:cs="仿宋_GB2312"/>
          <w:b w:val="0"/>
          <w:bCs/>
          <w:sz w:val="32"/>
          <w:szCs w:val="32"/>
          <w:highlight w:val="none"/>
          <w:lang w:val="en-US" w:eastAsia="zh-CN"/>
        </w:rPr>
        <w:t>与上年持平</w:t>
      </w:r>
      <w:r>
        <w:rPr>
          <w:rFonts w:hint="eastAsia" w:ascii="仿宋_GB2312" w:hAnsi="仿宋_GB2312" w:eastAsia="仿宋_GB2312" w:cs="仿宋_GB2312"/>
          <w:b w:val="0"/>
          <w:bCs/>
          <w:sz w:val="32"/>
          <w:szCs w:val="32"/>
          <w:highlight w:val="none"/>
        </w:rPr>
        <w:t>。</w:t>
      </w:r>
    </w:p>
    <w:p w14:paraId="0A3615A2">
      <w:pPr>
        <w:pStyle w:val="5"/>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val="0"/>
          <w:bCs/>
          <w:sz w:val="32"/>
          <w:szCs w:val="32"/>
          <w:highlight w:val="none"/>
        </w:rPr>
      </w:pPr>
      <w:r>
        <w:rPr>
          <w:rFonts w:hint="eastAsia" w:ascii="仿宋_GB2312" w:hAnsi="仿宋_GB2312" w:eastAsia="仿宋_GB2312" w:cs="仿宋_GB2312"/>
          <w:b w:val="0"/>
          <w:bCs/>
          <w:sz w:val="32"/>
          <w:szCs w:val="32"/>
          <w:highlight w:val="none"/>
        </w:rPr>
        <w:t>我单位严格执行部门正常运行经费保障机制的相关规定，人员经费按编制内实有人数规定的政策标准进行编制，公用经费本着“勤俭节约、保障运转”的原则，根据定额标准和单位实际需要统筹编制，在年度预算执行中，全年无超范围、超标准发放补贴、奖金的现象，未以任何名义违规发放个人补助，全年支出基本保障了所机关的正常运转。</w:t>
      </w:r>
    </w:p>
    <w:p w14:paraId="0AAB95C9">
      <w:pPr>
        <w:pStyle w:val="5"/>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14:paraId="09AF729A">
      <w:pPr>
        <w:pStyle w:val="5"/>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rPr>
        <w:t>1、项目资金安排落实、总投入等情况。本年度项目支出主要用于森林生态博览园造林抚育、示范基地建设、林业科研项目开展等。202</w:t>
      </w:r>
      <w:r>
        <w:rPr>
          <w:rFonts w:hint="eastAsia" w:ascii="仿宋_GB2312" w:hAnsi="仿宋_GB2312" w:eastAsia="仿宋_GB2312" w:cs="仿宋_GB2312"/>
          <w:b w:val="0"/>
          <w:bCs/>
          <w:sz w:val="32"/>
          <w:szCs w:val="32"/>
          <w:highlight w:val="none"/>
          <w:lang w:val="en-US" w:eastAsia="zh-CN"/>
        </w:rPr>
        <w:t>3</w:t>
      </w:r>
      <w:r>
        <w:rPr>
          <w:rFonts w:hint="eastAsia" w:ascii="仿宋_GB2312" w:hAnsi="仿宋_GB2312" w:eastAsia="仿宋_GB2312" w:cs="仿宋_GB2312"/>
          <w:b w:val="0"/>
          <w:bCs/>
          <w:sz w:val="32"/>
          <w:szCs w:val="32"/>
          <w:highlight w:val="none"/>
        </w:rPr>
        <w:t>年省、市财政共安排专项资金</w:t>
      </w:r>
      <w:r>
        <w:rPr>
          <w:rFonts w:hint="eastAsia" w:ascii="仿宋_GB2312" w:hAnsi="仿宋_GB2312" w:eastAsia="仿宋_GB2312" w:cs="仿宋_GB2312"/>
          <w:b w:val="0"/>
          <w:bCs/>
          <w:sz w:val="32"/>
          <w:szCs w:val="32"/>
          <w:highlight w:val="none"/>
          <w:lang w:val="en-US" w:eastAsia="zh-CN"/>
        </w:rPr>
        <w:t>99.44</w:t>
      </w:r>
      <w:r>
        <w:rPr>
          <w:rFonts w:hint="eastAsia" w:ascii="仿宋_GB2312" w:hAnsi="仿宋_GB2312" w:eastAsia="仿宋_GB2312" w:cs="仿宋_GB2312"/>
          <w:b w:val="0"/>
          <w:bCs/>
          <w:sz w:val="32"/>
          <w:szCs w:val="32"/>
          <w:highlight w:val="none"/>
        </w:rPr>
        <w:t>万元，占年度总支出的1</w:t>
      </w:r>
      <w:r>
        <w:rPr>
          <w:rFonts w:hint="eastAsia" w:ascii="仿宋_GB2312" w:hAnsi="仿宋_GB2312" w:eastAsia="仿宋_GB2312" w:cs="仿宋_GB2312"/>
          <w:b w:val="0"/>
          <w:bCs/>
          <w:sz w:val="32"/>
          <w:szCs w:val="32"/>
          <w:highlight w:val="none"/>
          <w:lang w:val="en-US" w:eastAsia="zh-CN"/>
        </w:rPr>
        <w:t>2.44</w:t>
      </w:r>
      <w:r>
        <w:rPr>
          <w:rFonts w:hint="eastAsia" w:ascii="仿宋_GB2312" w:hAnsi="仿宋_GB2312" w:eastAsia="仿宋_GB2312" w:cs="仿宋_GB2312"/>
          <w:b w:val="0"/>
          <w:bCs/>
          <w:sz w:val="32"/>
          <w:szCs w:val="32"/>
          <w:highlight w:val="none"/>
        </w:rPr>
        <w:t>%。分别是省级林业科技创新专项</w:t>
      </w:r>
      <w:r>
        <w:rPr>
          <w:rFonts w:hint="eastAsia" w:ascii="仿宋_GB2312" w:hAnsi="仿宋_GB2312" w:eastAsia="仿宋_GB2312" w:cs="仿宋_GB2312"/>
          <w:b w:val="0"/>
          <w:bCs/>
          <w:sz w:val="32"/>
          <w:szCs w:val="32"/>
          <w:highlight w:val="none"/>
          <w:lang w:val="en-US" w:eastAsia="zh-CN"/>
        </w:rPr>
        <w:t>9.84</w:t>
      </w:r>
      <w:r>
        <w:rPr>
          <w:rFonts w:hint="eastAsia" w:ascii="仿宋_GB2312" w:hAnsi="仿宋_GB2312" w:eastAsia="仿宋_GB2312" w:cs="仿宋_GB2312"/>
          <w:b w:val="0"/>
          <w:bCs/>
          <w:sz w:val="32"/>
          <w:szCs w:val="32"/>
          <w:highlight w:val="none"/>
        </w:rPr>
        <w:t>万元；</w:t>
      </w:r>
      <w:r>
        <w:rPr>
          <w:rFonts w:hint="eastAsia" w:ascii="仿宋_GB2312" w:hAnsi="仿宋_GB2312" w:eastAsia="仿宋_GB2312" w:cs="仿宋_GB2312"/>
          <w:b w:val="0"/>
          <w:bCs/>
          <w:sz w:val="32"/>
          <w:szCs w:val="32"/>
          <w:highlight w:val="none"/>
          <w:lang w:val="en-US" w:eastAsia="zh-CN"/>
        </w:rPr>
        <w:t>基地义务植树经费30万元；实验室建设经费20万元；</w:t>
      </w:r>
      <w:r>
        <w:rPr>
          <w:rFonts w:hint="eastAsia" w:ascii="仿宋_GB2312" w:hAnsi="仿宋_GB2312" w:eastAsia="仿宋_GB2312" w:cs="仿宋_GB2312"/>
          <w:b w:val="0"/>
          <w:bCs/>
          <w:sz w:val="32"/>
          <w:szCs w:val="32"/>
          <w:highlight w:val="none"/>
        </w:rPr>
        <w:t>自然资源利用和保护专项经费17万元；岳阳市森林生态博览园运行维护费14万元</w:t>
      </w:r>
      <w:r>
        <w:rPr>
          <w:rFonts w:hint="eastAsia" w:ascii="仿宋_GB2312" w:hAnsi="仿宋_GB2312" w:eastAsia="仿宋_GB2312" w:cs="仿宋_GB2312"/>
          <w:b w:val="0"/>
          <w:bCs/>
          <w:sz w:val="32"/>
          <w:szCs w:val="32"/>
          <w:highlight w:val="none"/>
          <w:lang w:eastAsia="zh-CN"/>
        </w:rPr>
        <w:t>；</w:t>
      </w:r>
      <w:r>
        <w:rPr>
          <w:rFonts w:hint="eastAsia" w:ascii="仿宋_GB2312" w:hAnsi="仿宋_GB2312" w:eastAsia="仿宋_GB2312" w:cs="仿宋_GB2312"/>
          <w:b w:val="0"/>
          <w:bCs/>
          <w:sz w:val="32"/>
          <w:szCs w:val="32"/>
          <w:highlight w:val="none"/>
          <w:lang w:val="en-US" w:eastAsia="zh-CN"/>
        </w:rPr>
        <w:t>野生动物疫源疫病防控资金5万元；林业科研专项经费3.6万元。</w:t>
      </w:r>
    </w:p>
    <w:p w14:paraId="3D976A17">
      <w:pPr>
        <w:pStyle w:val="5"/>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2、项目资金使用、管理情况。按照中央“八项规定”和省、市有关文件精神，压缩非生产性开支，项目资金做到专款专用，主要用于支付博览园项目抚育管理费、劳务费、专用材料费、技术资料费、技术咨询费、委托业务费、差旅费以及基础设施维修维护费等。为确保项目的顺利实施，我单位制定了相应的项目及资金管理制度，并安排专人负责，严格按照项目各项技术指标进行施工。项目实施完成后，由我单位组织验收小组对项目的实施情况及工程质量进行验收结算。资金使用规范，符合国家财经法规及有关专项资金管理办法的规定，采用报账制，且有完整的审批程序和手续，不存在截留、挤占、挪用、虚列支出等情况，保障会计核算准确、财务资料完整。</w:t>
      </w:r>
    </w:p>
    <w:p w14:paraId="2C9566A7">
      <w:pPr>
        <w:pStyle w:val="5"/>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14:paraId="6DD0634A">
      <w:pPr>
        <w:pStyle w:val="5"/>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lang w:val="en-US" w:eastAsia="zh-CN"/>
        </w:rPr>
        <w:t>2023年我单位无政府性基金预算支出。</w:t>
      </w:r>
    </w:p>
    <w:p w14:paraId="3030F0D2">
      <w:pPr>
        <w:pStyle w:val="5"/>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14:paraId="0CE7B800">
      <w:pPr>
        <w:pStyle w:val="5"/>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2023年我单位无国有资本经营预算支出。</w:t>
      </w:r>
    </w:p>
    <w:p w14:paraId="3C8E4A82">
      <w:pPr>
        <w:pStyle w:val="5"/>
        <w:keepNext w:val="0"/>
        <w:keepLines w:val="0"/>
        <w:pageBreakBefore w:val="0"/>
        <w:widowControl/>
        <w:numPr>
          <w:ilvl w:val="0"/>
          <w:numId w:val="3"/>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14:paraId="3BB7B212">
      <w:pPr>
        <w:pStyle w:val="5"/>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2023年我单</w:t>
      </w:r>
      <w:bookmarkStart w:id="0" w:name="_GoBack"/>
      <w:bookmarkEnd w:id="0"/>
      <w:r>
        <w:rPr>
          <w:rFonts w:hint="eastAsia" w:ascii="仿宋_GB2312" w:hAnsi="仿宋_GB2312" w:eastAsia="仿宋_GB2312" w:cs="仿宋_GB2312"/>
          <w:b w:val="0"/>
          <w:bCs/>
          <w:sz w:val="32"/>
          <w:szCs w:val="32"/>
          <w:highlight w:val="none"/>
          <w:lang w:val="en-US" w:eastAsia="zh-CN"/>
        </w:rPr>
        <w:t>位无社会保险基金预算支出。</w:t>
      </w:r>
    </w:p>
    <w:p w14:paraId="7523A361">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14:paraId="4617FCD7">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2023年，我单位积极履职，强化管理，较好地完成了年度工作目标。同时，我单位依据整体绩效目标所设定的绩效指标清晰、细化、可衡量，与部门年度的任务数或计划数相对应，与本年度部门预算资金相匹配。通过加强预算收支管理，不断建立健全内部管理制度，梳理内部管理流程，部门整体支出管理水平得到提升。</w:t>
      </w:r>
    </w:p>
    <w:p w14:paraId="45927978">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2023年林科所共开展科研项目6项；申报省级科研项目11项、市级科研项目7项、联合基金1项、科技厅2项、项目储备2项，共23项，已获批项目6项；对外学术交流10次；开展科技下乡8次；开展科普活动5次；组织林业技能培训3次；选派2名科研人员到省林科院跟班学习。完成省林业科技创新项目“洞庭湖乡土树种川三蕊柳种质资源收集及抗重金属镉优良种质筛选”重金属筛选实验及西洞庭的野生资源采集。前往西洞庭湖采集5个种源地野生资源。完成国家级试验站获取真实性检验数据采集。与中国林科院资源所共建的“十二五国家民用空间基础设施陆地观测卫星共性应用支撑平台项目”真实性检验站（洞庭湖站）野外地物光谱仪测量50次。开展华中樱优异种质筛选工作，完成物候观测5次。</w:t>
      </w:r>
    </w:p>
    <w:p w14:paraId="6D6714B6">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根据年初制定的生产计划，按要求圆满完成全年生产任务。完成月季、杉木、三蕊柳、紫薇、海棠、雷竹等项目的抚育及病虫害防治工作，在园区放养3000卡赤眼蜂；樱花林全面用苯菌灵、代森锌和克菌丹等药剂防治黑节病。把林业、花卉、树木病虫害防治及森林防火知识，做成宣传展板、宣传横幅，取得明显成效。完成3.12义务植树活动，开展生态环境替代性修复补植复绿揭牌植树活动，共栽植苗木800株。补植复绿项目完成二次抚育，目前存活率达98.9%。在早樱花林种植了约10亩的麦冬，3亩的栀子花；移植了过密的江南油杉180株，改造建成了紫薇园。</w:t>
      </w:r>
    </w:p>
    <w:p w14:paraId="11F49125">
      <w:pPr>
        <w:pStyle w:val="5"/>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14:paraId="0252C1C6">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编制预算之前，单位根据年度内可预见的工作任务确定了年度预算目标，并细化了预算指标。然而，在实际支付过程中，除了基本支出外，单位每年还需承担一些财政无预算的刚性支出，如博览园基础设施建设经费、临聘人员经费等。单位只能依靠挤占基本支出和项目经费来支付这些支出，这也导致了预算标准与部门支出之间存在差距。在执行过程中，部分实际支出超出了预算标准，未能严格按照预算指标执行。</w:t>
      </w:r>
    </w:p>
    <w:p w14:paraId="49124E6B">
      <w:pPr>
        <w:keepNext w:val="0"/>
        <w:keepLines w:val="0"/>
        <w:pageBreakBefore w:val="0"/>
        <w:widowControl/>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14:paraId="5F27C940">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仿宋_GB2312" w:cs="Times New Roman"/>
          <w:kern w:val="0"/>
          <w:sz w:val="32"/>
          <w:szCs w:val="32"/>
          <w:highlight w:val="none"/>
          <w:lang w:val="en-US" w:eastAsia="zh-CN" w:bidi="ar-SA"/>
        </w:rPr>
        <w:t>1、加强学习，提升思想认识。组织单位成员认真学习《预算法》等相关法规和制度，以提升单位领导层对预算管理的重视程度，并增强财务人员的预算意识。制定和完善基本支出、项目支出等各项支出标准，严格按照项目和进度执行预算，加强预算的约束力和严谨性，实施预算执行分析，及时了解预算执行差异，合理调整、纠正预算执行偏差，切实提高部门预算收支管理水平。</w:t>
      </w:r>
    </w:p>
    <w:p w14:paraId="09A8E8B3">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rPr>
      </w:pPr>
      <w:r>
        <w:rPr>
          <w:rFonts w:hint="default" w:ascii="Times New Roman" w:hAnsi="Times New Roman" w:eastAsia="仿宋_GB2312" w:cs="Times New Roman"/>
          <w:kern w:val="0"/>
          <w:sz w:val="32"/>
          <w:szCs w:val="32"/>
          <w:highlight w:val="none"/>
          <w:lang w:val="en-US" w:eastAsia="zh-CN" w:bidi="ar-SA"/>
        </w:rPr>
        <w:t>2、规范账务处理，提高财务信息质量，严格遵守《会计法》、《政府会计制度》等规定执行财务核算，并结合实际情况，完整、准确地披露相关信息，力求使决算与预算相互衔接。目前我单位三公经费的预算执行情况良好，但仍需进一步严格控制三公经费支出，规范三公经费支出的审批流程，并进一步细化三公经费管理。</w:t>
      </w:r>
    </w:p>
    <w:p w14:paraId="05205732">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14:paraId="33AA9DDC">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rPr>
      </w:pPr>
      <w:r>
        <w:rPr>
          <w:rFonts w:hint="eastAsia" w:ascii="仿宋_GB2312" w:hAnsi="仿宋_GB2312" w:eastAsia="仿宋_GB2312" w:cs="仿宋_GB2312"/>
          <w:sz w:val="32"/>
          <w:szCs w:val="32"/>
        </w:rPr>
        <w:t>据市政府相关部门统一部署，我单位202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部门整体支出和项目支出绩效自评情况将在岳阳市政府门户网站公开，接受社会监督。对绩效自评工作中发现的问题及时整改，解决好绩效评价管理中存在的问题，提高工作效能。根据部门整体支出绩效自评工作考核评分表评分标准，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年我单位部门整体绩效评价自评分为94分，项目支出绩效评价自评分为90分。</w:t>
      </w:r>
    </w:p>
    <w:p w14:paraId="346CC0D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十、</w:t>
      </w:r>
      <w:r>
        <w:rPr>
          <w:rFonts w:hint="default" w:ascii="Times New Roman" w:hAnsi="Times New Roman" w:eastAsia="黑体" w:cs="Times New Roman"/>
          <w:sz w:val="32"/>
          <w:szCs w:val="32"/>
          <w:highlight w:val="none"/>
        </w:rPr>
        <w:t>其他需要说明的情况</w:t>
      </w:r>
    </w:p>
    <w:p w14:paraId="0CFBF891">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1FA1A2EB">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14:paraId="189B60A0">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14:paraId="79DA022B">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14:paraId="251E433E">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14:paraId="0E3E24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C7299"/>
    <w:multiLevelType w:val="singleLevel"/>
    <w:tmpl w:val="87AC7299"/>
    <w:lvl w:ilvl="0" w:tentative="0">
      <w:start w:val="4"/>
      <w:numFmt w:val="chineseCounting"/>
      <w:suff w:val="nothing"/>
      <w:lvlText w:val="%1、"/>
      <w:lvlJc w:val="left"/>
      <w:rPr>
        <w:rFonts w:hint="eastAsia"/>
      </w:rPr>
    </w:lvl>
  </w:abstractNum>
  <w:abstractNum w:abstractNumId="1">
    <w:nsid w:val="8B1BEE43"/>
    <w:multiLevelType w:val="singleLevel"/>
    <w:tmpl w:val="8B1BEE43"/>
    <w:lvl w:ilvl="0" w:tentative="0">
      <w:start w:val="2"/>
      <w:numFmt w:val="chineseCounting"/>
      <w:suff w:val="nothing"/>
      <w:lvlText w:val="（%1）"/>
      <w:lvlJc w:val="left"/>
      <w:rPr>
        <w:rFonts w:hint="eastAsia"/>
      </w:rPr>
    </w:lvl>
  </w:abstractNum>
  <w:abstractNum w:abstractNumId="2">
    <w:nsid w:val="94199674"/>
    <w:multiLevelType w:val="singleLevel"/>
    <w:tmpl w:val="94199674"/>
    <w:lvl w:ilvl="0" w:tentative="0">
      <w:start w:val="8"/>
      <w:numFmt w:val="chineseCounting"/>
      <w:suff w:val="nothing"/>
      <w:lvlText w:val="%1、"/>
      <w:lvlJc w:val="left"/>
      <w:rPr>
        <w:rFonts w:hint="eastAsia"/>
      </w:rPr>
    </w:lvl>
  </w:abstractNum>
  <w:abstractNum w:abstractNumId="3">
    <w:nsid w:val="D4C77049"/>
    <w:multiLevelType w:val="singleLevel"/>
    <w:tmpl w:val="D4C77049"/>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yOTdiNGUyMDkyYWYyODlkYmNlZmZmODI0OGExNjAifQ=="/>
  </w:docVars>
  <w:rsids>
    <w:rsidRoot w:val="4F2979F1"/>
    <w:rsid w:val="0442423B"/>
    <w:rsid w:val="05E03D0C"/>
    <w:rsid w:val="05E46B90"/>
    <w:rsid w:val="073F0BE5"/>
    <w:rsid w:val="104E5594"/>
    <w:rsid w:val="1054157E"/>
    <w:rsid w:val="12C85D39"/>
    <w:rsid w:val="13312471"/>
    <w:rsid w:val="18357EE7"/>
    <w:rsid w:val="20471D1E"/>
    <w:rsid w:val="269E134D"/>
    <w:rsid w:val="28913C37"/>
    <w:rsid w:val="306929CC"/>
    <w:rsid w:val="30CF245C"/>
    <w:rsid w:val="334B3026"/>
    <w:rsid w:val="34D128EE"/>
    <w:rsid w:val="35904557"/>
    <w:rsid w:val="36146F36"/>
    <w:rsid w:val="36536BFD"/>
    <w:rsid w:val="3676199F"/>
    <w:rsid w:val="37BC7885"/>
    <w:rsid w:val="39D41265"/>
    <w:rsid w:val="3DF835A3"/>
    <w:rsid w:val="40B47154"/>
    <w:rsid w:val="414D7C8E"/>
    <w:rsid w:val="45EA380F"/>
    <w:rsid w:val="4EA903EB"/>
    <w:rsid w:val="4F2979F1"/>
    <w:rsid w:val="50333CCD"/>
    <w:rsid w:val="51FF4AE6"/>
    <w:rsid w:val="529B44EF"/>
    <w:rsid w:val="52ED0DE3"/>
    <w:rsid w:val="5E3E7E08"/>
    <w:rsid w:val="60932FCA"/>
    <w:rsid w:val="62A52173"/>
    <w:rsid w:val="664E3B3B"/>
    <w:rsid w:val="68264723"/>
    <w:rsid w:val="6E276AFF"/>
    <w:rsid w:val="79663B2C"/>
    <w:rsid w:val="7A88773B"/>
    <w:rsid w:val="7CF6175B"/>
    <w:rsid w:val="7D0851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2669</Words>
  <Characters>2799</Characters>
  <Lines>0</Lines>
  <Paragraphs>0</Paragraphs>
  <TotalTime>5</TotalTime>
  <ScaleCrop>false</ScaleCrop>
  <LinksUpToDate>false</LinksUpToDate>
  <CharactersWithSpaces>2803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2024-06-20T06:56:00Z</dcterms:created>
  <dc:creator>v蕾v</dc:creator>
  <cp:lastModifiedBy>v蕾v</cp:lastModifiedBy>
  <dcterms:modified xsi:type="dcterms:W3CDTF">2024-06-26T01:35:55Z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E6A62E0F6B9A4A8AA8A13767EF44E3A4_11</vt:lpwstr>
  </property>
</Properties>
</file>