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18D2D">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64B61107">
      <w:pPr>
        <w:spacing w:after="120" w:afterLines="50" w:line="600" w:lineRule="exact"/>
        <w:jc w:val="center"/>
        <w:rPr>
          <w:rFonts w:hint="default"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2024年度部门整体支出绩效自评表</w:t>
      </w:r>
    </w:p>
    <w:tbl>
      <w:tblPr>
        <w:tblStyle w:val="7"/>
        <w:tblW w:w="10385"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752"/>
      </w:tblGrid>
      <w:tr w14:paraId="66E143FF">
        <w:tblPrEx>
          <w:tblCellMar>
            <w:top w:w="0" w:type="dxa"/>
            <w:left w:w="108" w:type="dxa"/>
            <w:bottom w:w="0" w:type="dxa"/>
            <w:right w:w="108" w:type="dxa"/>
          </w:tblCellMar>
        </w:tblPrEx>
        <w:trPr>
          <w:trHeight w:val="57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773A95C">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市</w:t>
            </w:r>
            <w:r>
              <w:rPr>
                <w:rFonts w:hint="eastAsia" w:ascii="仿宋_GB2312" w:hAnsi="仿宋_GB2312" w:eastAsia="仿宋_GB2312" w:cs="仿宋_GB2312"/>
                <w:color w:val="000000"/>
                <w:sz w:val="21"/>
                <w:szCs w:val="21"/>
                <w:highlight w:val="none"/>
              </w:rPr>
              <w:t>级预算部门名称</w:t>
            </w:r>
          </w:p>
        </w:tc>
        <w:tc>
          <w:tcPr>
            <w:tcW w:w="9305" w:type="dxa"/>
            <w:gridSpan w:val="8"/>
            <w:tcBorders>
              <w:top w:val="single" w:color="auto" w:sz="4" w:space="0"/>
              <w:left w:val="nil"/>
              <w:bottom w:val="single" w:color="auto" w:sz="4" w:space="0"/>
              <w:right w:val="single" w:color="auto" w:sz="4" w:space="0"/>
            </w:tcBorders>
            <w:noWrap w:val="0"/>
            <w:vAlign w:val="center"/>
          </w:tcPr>
          <w:p w14:paraId="2E32EA4B">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岳阳城陵矶综合保税区管理委员会本级　</w:t>
            </w:r>
          </w:p>
        </w:tc>
      </w:tr>
      <w:tr w14:paraId="0A8BA665">
        <w:tblPrEx>
          <w:tblCellMar>
            <w:top w:w="0" w:type="dxa"/>
            <w:left w:w="108" w:type="dxa"/>
            <w:bottom w:w="0" w:type="dxa"/>
            <w:right w:w="108" w:type="dxa"/>
          </w:tblCellMar>
        </w:tblPrEx>
        <w:trPr>
          <w:trHeight w:val="370" w:hRule="atLeast"/>
          <w:jc w:val="center"/>
        </w:trPr>
        <w:tc>
          <w:tcPr>
            <w:tcW w:w="1080" w:type="dxa"/>
            <w:vMerge w:val="restart"/>
            <w:tcBorders>
              <w:top w:val="nil"/>
              <w:left w:val="single" w:color="auto" w:sz="4" w:space="0"/>
              <w:right w:val="single" w:color="auto" w:sz="4" w:space="0"/>
            </w:tcBorders>
            <w:noWrap w:val="0"/>
            <w:vAlign w:val="center"/>
          </w:tcPr>
          <w:p w14:paraId="625F67AC">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年度预</w:t>
            </w:r>
          </w:p>
          <w:p w14:paraId="326E4083">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算申请</w:t>
            </w:r>
            <w:r>
              <w:rPr>
                <w:rFonts w:hint="eastAsia" w:ascii="仿宋_GB2312" w:hAnsi="仿宋_GB2312" w:eastAsia="仿宋_GB2312" w:cs="仿宋_GB2312"/>
                <w:color w:val="000000"/>
                <w:sz w:val="21"/>
                <w:szCs w:val="21"/>
                <w:highlight w:val="none"/>
              </w:rPr>
              <w:br w:type="textWrapping"/>
            </w:r>
            <w:r>
              <w:rPr>
                <w:rFonts w:hint="eastAsia" w:ascii="仿宋_GB2312" w:hAnsi="仿宋_GB2312" w:eastAsia="仿宋_GB2312" w:cs="仿宋_GB2312"/>
                <w:color w:val="000000"/>
                <w:sz w:val="21"/>
                <w:szCs w:val="21"/>
                <w:highlight w:val="none"/>
              </w:rPr>
              <w:t>（万元）</w:t>
            </w:r>
          </w:p>
        </w:tc>
        <w:tc>
          <w:tcPr>
            <w:tcW w:w="2114" w:type="dxa"/>
            <w:gridSpan w:val="2"/>
            <w:tcBorders>
              <w:top w:val="nil"/>
              <w:left w:val="nil"/>
              <w:bottom w:val="single" w:color="auto" w:sz="4" w:space="0"/>
              <w:right w:val="single" w:color="auto" w:sz="4" w:space="0"/>
            </w:tcBorders>
            <w:noWrap w:val="0"/>
            <w:vAlign w:val="center"/>
          </w:tcPr>
          <w:p w14:paraId="1F4930A6">
            <w:pPr>
              <w:spacing w:line="240" w:lineRule="exact"/>
              <w:jc w:val="center"/>
              <w:rPr>
                <w:rFonts w:hint="eastAsia" w:ascii="仿宋_GB2312" w:hAnsi="仿宋_GB2312" w:eastAsia="仿宋_GB2312" w:cs="仿宋_GB2312"/>
                <w:sz w:val="21"/>
                <w:szCs w:val="21"/>
                <w:highlight w:val="none"/>
              </w:rPr>
            </w:pPr>
          </w:p>
        </w:tc>
        <w:tc>
          <w:tcPr>
            <w:tcW w:w="1270" w:type="dxa"/>
            <w:tcBorders>
              <w:top w:val="nil"/>
              <w:left w:val="nil"/>
              <w:bottom w:val="single" w:color="auto" w:sz="4" w:space="0"/>
              <w:right w:val="single" w:color="auto" w:sz="4" w:space="0"/>
            </w:tcBorders>
            <w:noWrap w:val="0"/>
            <w:vAlign w:val="center"/>
          </w:tcPr>
          <w:p w14:paraId="410D4009">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年初预算数</w:t>
            </w:r>
          </w:p>
        </w:tc>
        <w:tc>
          <w:tcPr>
            <w:tcW w:w="1311" w:type="dxa"/>
            <w:tcBorders>
              <w:top w:val="nil"/>
              <w:left w:val="nil"/>
              <w:bottom w:val="single" w:color="auto" w:sz="4" w:space="0"/>
              <w:right w:val="single" w:color="auto" w:sz="4" w:space="0"/>
            </w:tcBorders>
            <w:noWrap w:val="0"/>
            <w:vAlign w:val="center"/>
          </w:tcPr>
          <w:p w14:paraId="08509295">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全年预算数</w:t>
            </w:r>
          </w:p>
        </w:tc>
        <w:tc>
          <w:tcPr>
            <w:tcW w:w="1269" w:type="dxa"/>
            <w:tcBorders>
              <w:top w:val="nil"/>
              <w:left w:val="nil"/>
              <w:bottom w:val="single" w:color="auto" w:sz="4" w:space="0"/>
              <w:right w:val="single" w:color="auto" w:sz="4" w:space="0"/>
            </w:tcBorders>
            <w:noWrap w:val="0"/>
            <w:vAlign w:val="center"/>
          </w:tcPr>
          <w:p w14:paraId="0902D661">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全年执行数</w:t>
            </w:r>
          </w:p>
        </w:tc>
        <w:tc>
          <w:tcPr>
            <w:tcW w:w="716" w:type="dxa"/>
            <w:tcBorders>
              <w:top w:val="nil"/>
              <w:left w:val="nil"/>
              <w:bottom w:val="single" w:color="auto" w:sz="4" w:space="0"/>
              <w:right w:val="single" w:color="auto" w:sz="4" w:space="0"/>
            </w:tcBorders>
            <w:noWrap w:val="0"/>
            <w:vAlign w:val="center"/>
          </w:tcPr>
          <w:p w14:paraId="7C6BCE1C">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分值</w:t>
            </w:r>
          </w:p>
        </w:tc>
        <w:tc>
          <w:tcPr>
            <w:tcW w:w="873" w:type="dxa"/>
            <w:tcBorders>
              <w:top w:val="nil"/>
              <w:left w:val="nil"/>
              <w:bottom w:val="single" w:color="auto" w:sz="4" w:space="0"/>
              <w:right w:val="single" w:color="auto" w:sz="4" w:space="0"/>
            </w:tcBorders>
            <w:noWrap w:val="0"/>
            <w:vAlign w:val="center"/>
          </w:tcPr>
          <w:p w14:paraId="565FFCC9">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执行率</w:t>
            </w:r>
          </w:p>
        </w:tc>
        <w:tc>
          <w:tcPr>
            <w:tcW w:w="1752" w:type="dxa"/>
            <w:tcBorders>
              <w:top w:val="nil"/>
              <w:left w:val="nil"/>
              <w:bottom w:val="single" w:color="auto" w:sz="4" w:space="0"/>
              <w:right w:val="single" w:color="auto" w:sz="4" w:space="0"/>
            </w:tcBorders>
            <w:noWrap w:val="0"/>
            <w:vAlign w:val="center"/>
          </w:tcPr>
          <w:p w14:paraId="3CBA379F">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得分</w:t>
            </w:r>
          </w:p>
        </w:tc>
      </w:tr>
      <w:tr w14:paraId="4435422E">
        <w:tblPrEx>
          <w:tblCellMar>
            <w:top w:w="0" w:type="dxa"/>
            <w:left w:w="108" w:type="dxa"/>
            <w:bottom w:w="0" w:type="dxa"/>
            <w:right w:w="108" w:type="dxa"/>
          </w:tblCellMar>
        </w:tblPrEx>
        <w:trPr>
          <w:trHeight w:val="575" w:hRule="atLeast"/>
          <w:jc w:val="center"/>
        </w:trPr>
        <w:tc>
          <w:tcPr>
            <w:tcW w:w="1080" w:type="dxa"/>
            <w:vMerge w:val="continue"/>
            <w:tcBorders>
              <w:top w:val="nil"/>
              <w:left w:val="single" w:color="auto" w:sz="4" w:space="0"/>
              <w:right w:val="single" w:color="auto" w:sz="4" w:space="0"/>
            </w:tcBorders>
            <w:noWrap w:val="0"/>
            <w:vAlign w:val="center"/>
          </w:tcPr>
          <w:p w14:paraId="64D02CCA">
            <w:pPr>
              <w:widowControl/>
              <w:spacing w:line="240" w:lineRule="exact"/>
              <w:jc w:val="center"/>
              <w:rPr>
                <w:rFonts w:hint="eastAsia" w:ascii="仿宋_GB2312" w:hAnsi="仿宋_GB2312" w:eastAsia="仿宋_GB2312" w:cs="仿宋_GB2312"/>
                <w:color w:val="000000"/>
                <w:sz w:val="21"/>
                <w:szCs w:val="21"/>
                <w:highlight w:val="none"/>
              </w:rPr>
            </w:pPr>
          </w:p>
        </w:tc>
        <w:tc>
          <w:tcPr>
            <w:tcW w:w="2114" w:type="dxa"/>
            <w:gridSpan w:val="2"/>
            <w:tcBorders>
              <w:top w:val="nil"/>
              <w:left w:val="nil"/>
              <w:bottom w:val="single" w:color="auto" w:sz="4" w:space="0"/>
              <w:right w:val="single" w:color="auto" w:sz="4" w:space="0"/>
            </w:tcBorders>
            <w:noWrap w:val="0"/>
            <w:vAlign w:val="center"/>
          </w:tcPr>
          <w:p w14:paraId="340228D0">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年度资金总额</w:t>
            </w:r>
          </w:p>
        </w:tc>
        <w:tc>
          <w:tcPr>
            <w:tcW w:w="1270" w:type="dxa"/>
            <w:tcBorders>
              <w:top w:val="nil"/>
              <w:left w:val="nil"/>
              <w:bottom w:val="single" w:color="auto" w:sz="4" w:space="0"/>
              <w:right w:val="single" w:color="auto" w:sz="4" w:space="0"/>
            </w:tcBorders>
            <w:noWrap w:val="0"/>
            <w:vAlign w:val="center"/>
          </w:tcPr>
          <w:p w14:paraId="189DF3C4">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326.96</w:t>
            </w:r>
          </w:p>
        </w:tc>
        <w:tc>
          <w:tcPr>
            <w:tcW w:w="1311" w:type="dxa"/>
            <w:tcBorders>
              <w:top w:val="nil"/>
              <w:left w:val="nil"/>
              <w:bottom w:val="single" w:color="auto" w:sz="4" w:space="0"/>
              <w:right w:val="single" w:color="auto" w:sz="4" w:space="0"/>
            </w:tcBorders>
            <w:noWrap w:val="0"/>
            <w:vAlign w:val="center"/>
          </w:tcPr>
          <w:p w14:paraId="3DCFC9A2">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362.83</w:t>
            </w:r>
          </w:p>
        </w:tc>
        <w:tc>
          <w:tcPr>
            <w:tcW w:w="1269" w:type="dxa"/>
            <w:tcBorders>
              <w:top w:val="nil"/>
              <w:left w:val="nil"/>
              <w:bottom w:val="single" w:color="auto" w:sz="4" w:space="0"/>
              <w:right w:val="single" w:color="auto" w:sz="4" w:space="0"/>
            </w:tcBorders>
            <w:noWrap w:val="0"/>
            <w:vAlign w:val="center"/>
          </w:tcPr>
          <w:p w14:paraId="29CB8E57">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303.13</w:t>
            </w:r>
          </w:p>
        </w:tc>
        <w:tc>
          <w:tcPr>
            <w:tcW w:w="716" w:type="dxa"/>
            <w:tcBorders>
              <w:top w:val="nil"/>
              <w:left w:val="nil"/>
              <w:bottom w:val="single" w:color="auto" w:sz="4" w:space="0"/>
              <w:right w:val="single" w:color="auto" w:sz="4" w:space="0"/>
            </w:tcBorders>
            <w:noWrap w:val="0"/>
            <w:vAlign w:val="center"/>
          </w:tcPr>
          <w:p w14:paraId="58FB49E2">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w:t>
            </w:r>
          </w:p>
        </w:tc>
        <w:tc>
          <w:tcPr>
            <w:tcW w:w="873" w:type="dxa"/>
            <w:tcBorders>
              <w:top w:val="nil"/>
              <w:left w:val="nil"/>
              <w:bottom w:val="single" w:color="auto" w:sz="4" w:space="0"/>
              <w:right w:val="single" w:color="auto" w:sz="4" w:space="0"/>
            </w:tcBorders>
            <w:noWrap w:val="0"/>
            <w:vAlign w:val="center"/>
          </w:tcPr>
          <w:p w14:paraId="31D48AC0">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83.5</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w:t>
            </w:r>
          </w:p>
        </w:tc>
        <w:tc>
          <w:tcPr>
            <w:tcW w:w="1752" w:type="dxa"/>
            <w:tcBorders>
              <w:top w:val="nil"/>
              <w:left w:val="nil"/>
              <w:bottom w:val="single" w:color="auto" w:sz="4" w:space="0"/>
              <w:right w:val="single" w:color="auto" w:sz="4" w:space="0"/>
            </w:tcBorders>
            <w:noWrap w:val="0"/>
            <w:vAlign w:val="center"/>
          </w:tcPr>
          <w:p w14:paraId="19470C7D">
            <w:pPr>
              <w:spacing w:line="24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8.3</w:t>
            </w:r>
            <w:r>
              <w:rPr>
                <w:rFonts w:hint="eastAsia" w:ascii="仿宋_GB2312" w:hAnsi="仿宋_GB2312" w:eastAsia="仿宋_GB2312" w:cs="仿宋_GB2312"/>
                <w:sz w:val="21"/>
                <w:szCs w:val="21"/>
                <w:highlight w:val="none"/>
                <w:lang w:val="en-US" w:eastAsia="zh-CN"/>
              </w:rPr>
              <w:t>6</w:t>
            </w:r>
          </w:p>
        </w:tc>
      </w:tr>
      <w:tr w14:paraId="02DE0D74">
        <w:tblPrEx>
          <w:tblCellMar>
            <w:top w:w="0" w:type="dxa"/>
            <w:left w:w="108" w:type="dxa"/>
            <w:bottom w:w="0" w:type="dxa"/>
            <w:right w:w="108" w:type="dxa"/>
          </w:tblCellMar>
        </w:tblPrEx>
        <w:trPr>
          <w:trHeight w:val="455" w:hRule="atLeast"/>
          <w:jc w:val="center"/>
        </w:trPr>
        <w:tc>
          <w:tcPr>
            <w:tcW w:w="1080" w:type="dxa"/>
            <w:vMerge w:val="continue"/>
            <w:tcBorders>
              <w:left w:val="single" w:color="auto" w:sz="4" w:space="0"/>
              <w:right w:val="single" w:color="auto" w:sz="4" w:space="0"/>
            </w:tcBorders>
            <w:noWrap w:val="0"/>
            <w:vAlign w:val="center"/>
          </w:tcPr>
          <w:p w14:paraId="35261FA6">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732972A7">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按收入性质分：</w:t>
            </w:r>
          </w:p>
        </w:tc>
        <w:tc>
          <w:tcPr>
            <w:tcW w:w="4610" w:type="dxa"/>
            <w:gridSpan w:val="4"/>
            <w:tcBorders>
              <w:top w:val="nil"/>
              <w:left w:val="nil"/>
              <w:bottom w:val="single" w:color="auto" w:sz="4" w:space="0"/>
              <w:right w:val="single" w:color="auto" w:sz="4" w:space="0"/>
            </w:tcBorders>
            <w:noWrap w:val="0"/>
            <w:vAlign w:val="center"/>
          </w:tcPr>
          <w:p w14:paraId="7C200784">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按支出性质分：</w:t>
            </w:r>
          </w:p>
        </w:tc>
      </w:tr>
      <w:tr w14:paraId="698034B7">
        <w:tblPrEx>
          <w:tblCellMar>
            <w:top w:w="0" w:type="dxa"/>
            <w:left w:w="108" w:type="dxa"/>
            <w:bottom w:w="0" w:type="dxa"/>
            <w:right w:w="108" w:type="dxa"/>
          </w:tblCellMar>
        </w:tblPrEx>
        <w:trPr>
          <w:trHeight w:val="440" w:hRule="atLeast"/>
          <w:jc w:val="center"/>
        </w:trPr>
        <w:tc>
          <w:tcPr>
            <w:tcW w:w="1080" w:type="dxa"/>
            <w:vMerge w:val="continue"/>
            <w:tcBorders>
              <w:left w:val="single" w:color="auto" w:sz="4" w:space="0"/>
              <w:right w:val="single" w:color="auto" w:sz="4" w:space="0"/>
            </w:tcBorders>
            <w:noWrap w:val="0"/>
            <w:vAlign w:val="center"/>
          </w:tcPr>
          <w:p w14:paraId="579D91F9">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45705F9C">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其中：  一般公共预算：362.83</w:t>
            </w:r>
          </w:p>
        </w:tc>
        <w:tc>
          <w:tcPr>
            <w:tcW w:w="4610" w:type="dxa"/>
            <w:gridSpan w:val="4"/>
            <w:tcBorders>
              <w:top w:val="nil"/>
              <w:left w:val="nil"/>
              <w:bottom w:val="single" w:color="auto" w:sz="4" w:space="0"/>
              <w:right w:val="single" w:color="auto" w:sz="4" w:space="0"/>
            </w:tcBorders>
            <w:noWrap w:val="0"/>
            <w:vAlign w:val="center"/>
          </w:tcPr>
          <w:p w14:paraId="03760BA9">
            <w:pPr>
              <w:widowControl/>
              <w:spacing w:line="240" w:lineRule="exact"/>
              <w:jc w:val="lef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t>其中：基本支出：</w:t>
            </w:r>
            <w:r>
              <w:rPr>
                <w:rFonts w:hint="eastAsia" w:ascii="仿宋_GB2312" w:hAnsi="仿宋_GB2312" w:eastAsia="仿宋_GB2312" w:cs="仿宋_GB2312"/>
                <w:color w:val="000000"/>
                <w:sz w:val="21"/>
                <w:szCs w:val="21"/>
                <w:highlight w:val="none"/>
                <w:lang w:val="en-US" w:eastAsia="zh-CN"/>
              </w:rPr>
              <w:t>303.13</w:t>
            </w:r>
          </w:p>
        </w:tc>
      </w:tr>
      <w:tr w14:paraId="0417C755">
        <w:tblPrEx>
          <w:tblCellMar>
            <w:top w:w="0" w:type="dxa"/>
            <w:left w:w="108" w:type="dxa"/>
            <w:bottom w:w="0" w:type="dxa"/>
            <w:right w:w="108" w:type="dxa"/>
          </w:tblCellMar>
        </w:tblPrEx>
        <w:trPr>
          <w:trHeight w:val="385" w:hRule="atLeast"/>
          <w:jc w:val="center"/>
        </w:trPr>
        <w:tc>
          <w:tcPr>
            <w:tcW w:w="1080" w:type="dxa"/>
            <w:vMerge w:val="continue"/>
            <w:tcBorders>
              <w:left w:val="single" w:color="auto" w:sz="4" w:space="0"/>
              <w:right w:val="single" w:color="auto" w:sz="4" w:space="0"/>
            </w:tcBorders>
            <w:noWrap w:val="0"/>
            <w:vAlign w:val="center"/>
          </w:tcPr>
          <w:p w14:paraId="62E579A4">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4F062783">
            <w:pPr>
              <w:widowControl/>
              <w:spacing w:line="240" w:lineRule="exact"/>
              <w:ind w:firstLine="840" w:firstLineChars="4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政府性基金拨款：</w:t>
            </w:r>
          </w:p>
        </w:tc>
        <w:tc>
          <w:tcPr>
            <w:tcW w:w="4610" w:type="dxa"/>
            <w:gridSpan w:val="4"/>
            <w:tcBorders>
              <w:top w:val="nil"/>
              <w:left w:val="nil"/>
              <w:bottom w:val="single" w:color="auto" w:sz="4" w:space="0"/>
              <w:right w:val="single" w:color="auto" w:sz="4" w:space="0"/>
            </w:tcBorders>
            <w:noWrap w:val="0"/>
            <w:vAlign w:val="center"/>
          </w:tcPr>
          <w:p w14:paraId="1256AFFB">
            <w:pPr>
              <w:widowControl/>
              <w:spacing w:line="240" w:lineRule="exact"/>
              <w:ind w:firstLine="630" w:firstLineChars="3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项目支出：</w:t>
            </w:r>
          </w:p>
        </w:tc>
      </w:tr>
      <w:tr w14:paraId="3EEF723F">
        <w:tblPrEx>
          <w:tblCellMar>
            <w:top w:w="0" w:type="dxa"/>
            <w:left w:w="108" w:type="dxa"/>
            <w:bottom w:w="0" w:type="dxa"/>
            <w:right w:w="108" w:type="dxa"/>
          </w:tblCellMar>
        </w:tblPrEx>
        <w:trPr>
          <w:trHeight w:val="410" w:hRule="atLeast"/>
          <w:jc w:val="center"/>
        </w:trPr>
        <w:tc>
          <w:tcPr>
            <w:tcW w:w="1080" w:type="dxa"/>
            <w:vMerge w:val="continue"/>
            <w:tcBorders>
              <w:left w:val="single" w:color="auto" w:sz="4" w:space="0"/>
              <w:right w:val="single" w:color="auto" w:sz="4" w:space="0"/>
            </w:tcBorders>
            <w:noWrap w:val="0"/>
            <w:vAlign w:val="center"/>
          </w:tcPr>
          <w:p w14:paraId="3DE1165C">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6573E8B5">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纳入专户管理的非税收入拨款：</w:t>
            </w:r>
          </w:p>
        </w:tc>
        <w:tc>
          <w:tcPr>
            <w:tcW w:w="4610" w:type="dxa"/>
            <w:gridSpan w:val="4"/>
            <w:tcBorders>
              <w:top w:val="nil"/>
              <w:left w:val="nil"/>
              <w:bottom w:val="single" w:color="auto" w:sz="4" w:space="0"/>
              <w:right w:val="single" w:color="auto" w:sz="4" w:space="0"/>
            </w:tcBorders>
            <w:noWrap w:val="0"/>
            <w:vAlign w:val="center"/>
          </w:tcPr>
          <w:p w14:paraId="099FD52C">
            <w:pPr>
              <w:widowControl/>
              <w:spacing w:line="240" w:lineRule="exact"/>
              <w:jc w:val="left"/>
              <w:rPr>
                <w:rFonts w:hint="eastAsia" w:ascii="仿宋_GB2312" w:hAnsi="仿宋_GB2312" w:eastAsia="仿宋_GB2312" w:cs="仿宋_GB2312"/>
                <w:color w:val="000000"/>
                <w:sz w:val="21"/>
                <w:szCs w:val="21"/>
                <w:highlight w:val="none"/>
              </w:rPr>
            </w:pPr>
          </w:p>
        </w:tc>
      </w:tr>
      <w:tr w14:paraId="1C99E0D2">
        <w:tblPrEx>
          <w:tblCellMar>
            <w:top w:w="0" w:type="dxa"/>
            <w:left w:w="108" w:type="dxa"/>
            <w:bottom w:w="0" w:type="dxa"/>
            <w:right w:w="108" w:type="dxa"/>
          </w:tblCellMar>
        </w:tblPrEx>
        <w:trPr>
          <w:trHeight w:val="435"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2DD932FA">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2028DF65">
            <w:pPr>
              <w:widowControl/>
              <w:spacing w:line="240" w:lineRule="exact"/>
              <w:ind w:firstLine="1470" w:firstLineChars="7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其他资金：</w:t>
            </w:r>
          </w:p>
        </w:tc>
        <w:tc>
          <w:tcPr>
            <w:tcW w:w="4610" w:type="dxa"/>
            <w:gridSpan w:val="4"/>
            <w:tcBorders>
              <w:top w:val="nil"/>
              <w:left w:val="nil"/>
              <w:bottom w:val="single" w:color="auto" w:sz="4" w:space="0"/>
              <w:right w:val="single" w:color="auto" w:sz="4" w:space="0"/>
            </w:tcBorders>
            <w:noWrap w:val="0"/>
            <w:vAlign w:val="center"/>
          </w:tcPr>
          <w:p w14:paraId="54861AB9">
            <w:pPr>
              <w:widowControl/>
              <w:spacing w:line="240" w:lineRule="exact"/>
              <w:jc w:val="left"/>
              <w:rPr>
                <w:rFonts w:hint="eastAsia" w:ascii="仿宋_GB2312" w:hAnsi="仿宋_GB2312" w:eastAsia="仿宋_GB2312" w:cs="仿宋_GB2312"/>
                <w:color w:val="000000"/>
                <w:sz w:val="21"/>
                <w:szCs w:val="21"/>
                <w:highlight w:val="none"/>
              </w:rPr>
            </w:pPr>
          </w:p>
        </w:tc>
      </w:tr>
      <w:tr w14:paraId="010E3EB4">
        <w:tblPrEx>
          <w:tblCellMar>
            <w:top w:w="0" w:type="dxa"/>
            <w:left w:w="108" w:type="dxa"/>
            <w:bottom w:w="0" w:type="dxa"/>
            <w:right w:w="108" w:type="dxa"/>
          </w:tblCellMar>
        </w:tblPrEx>
        <w:trPr>
          <w:trHeight w:val="57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AB74D8E">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1076BD90">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预期目标</w:t>
            </w:r>
          </w:p>
        </w:tc>
        <w:tc>
          <w:tcPr>
            <w:tcW w:w="4610" w:type="dxa"/>
            <w:gridSpan w:val="4"/>
            <w:tcBorders>
              <w:top w:val="single" w:color="auto" w:sz="4" w:space="0"/>
              <w:left w:val="nil"/>
              <w:bottom w:val="single" w:color="auto" w:sz="4" w:space="0"/>
              <w:right w:val="single" w:color="auto" w:sz="4" w:space="0"/>
            </w:tcBorders>
            <w:noWrap w:val="0"/>
            <w:vAlign w:val="center"/>
          </w:tcPr>
          <w:p w14:paraId="28D360B7">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实际完成情况　</w:t>
            </w:r>
          </w:p>
        </w:tc>
      </w:tr>
      <w:tr w14:paraId="16ED9077">
        <w:tblPrEx>
          <w:tblCellMar>
            <w:top w:w="0" w:type="dxa"/>
            <w:left w:w="108" w:type="dxa"/>
            <w:bottom w:w="0" w:type="dxa"/>
            <w:right w:w="108" w:type="dxa"/>
          </w:tblCellMar>
        </w:tblPrEx>
        <w:trPr>
          <w:trHeight w:val="816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31C347B">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top"/>
          </w:tcPr>
          <w:p w14:paraId="18485324">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320" w:lineRule="exact"/>
              <w:ind w:right="0" w:firstLine="480" w:firstLineChars="20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城陵矶综保区</w:t>
            </w:r>
            <w:r>
              <w:rPr>
                <w:rFonts w:hint="eastAsia" w:ascii="仿宋_GB2312" w:hAnsi="仿宋_GB2312" w:eastAsia="仿宋_GB2312" w:cs="仿宋_GB2312"/>
                <w:color w:val="000000"/>
                <w:sz w:val="24"/>
                <w:szCs w:val="24"/>
              </w:rPr>
              <w:t>按照中央、省、市系列部署要求，坚持早谋划、早行动，逐项分解细化目标任务，制定年度进出口贸易额计划。</w:t>
            </w:r>
            <w:r>
              <w:rPr>
                <w:rFonts w:hint="eastAsia" w:ascii="仿宋_GB2312" w:hAnsi="仿宋_GB2312" w:eastAsia="仿宋_GB2312" w:cs="仿宋_GB2312"/>
                <w:color w:val="000000"/>
                <w:sz w:val="24"/>
                <w:szCs w:val="24"/>
                <w:lang w:eastAsia="zh-CN"/>
              </w:rPr>
              <w:t>不断</w:t>
            </w:r>
            <w:r>
              <w:rPr>
                <w:rFonts w:hint="eastAsia" w:ascii="仿宋_GB2312" w:hAnsi="仿宋_GB2312" w:eastAsia="仿宋_GB2312" w:cs="仿宋_GB2312"/>
                <w:color w:val="000000"/>
                <w:sz w:val="24"/>
                <w:szCs w:val="24"/>
              </w:rPr>
              <w:t>持续做优做强进口粮食加工、进口肉类加工、平行进口汽车、进口橡胶加工、电子信息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原油、木材、石化、铁矿石等</w:t>
            </w:r>
            <w:r>
              <w:rPr>
                <w:rFonts w:hint="eastAsia" w:ascii="仿宋_GB2312" w:hAnsi="仿宋_GB2312" w:eastAsia="仿宋_GB2312" w:cs="仿宋_GB2312"/>
                <w:color w:val="000000"/>
                <w:sz w:val="24"/>
                <w:szCs w:val="24"/>
                <w:lang w:val="zh-CN"/>
              </w:rPr>
              <w:t>外贸业务</w:t>
            </w:r>
            <w:r>
              <w:rPr>
                <w:rFonts w:hint="eastAsia" w:ascii="仿宋_GB2312" w:hAnsi="仿宋_GB2312" w:eastAsia="仿宋_GB2312" w:cs="仿宋_GB2312"/>
                <w:color w:val="000000"/>
                <w:sz w:val="24"/>
                <w:szCs w:val="24"/>
              </w:rPr>
              <w:t>产品，不断提升外贸规模与质量。</w:t>
            </w:r>
          </w:p>
          <w:p w14:paraId="52565C92">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（一）</w:t>
            </w:r>
            <w:r>
              <w:rPr>
                <w:rFonts w:hint="eastAsia" w:ascii="仿宋_GB2312" w:hAnsi="仿宋_GB2312" w:eastAsia="仿宋_GB2312" w:cs="仿宋_GB2312"/>
                <w:color w:val="000000"/>
                <w:sz w:val="24"/>
                <w:szCs w:val="24"/>
                <w:lang w:val="en-US" w:eastAsia="zh-CN"/>
              </w:rPr>
              <w:t>充分发挥各平台企业作用，将资源优势转化为发展胜势。做亮投融资服务平台。进一步扩大区属企业融资规模。利用现有产业基础和物流优势，打破区域壁垒，搭</w:t>
            </w:r>
          </w:p>
          <w:p w14:paraId="757D2C8F">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建更优质的服务平台和交易平台。</w:t>
            </w:r>
          </w:p>
          <w:p w14:paraId="043CA692">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（二）</w:t>
            </w:r>
            <w:r>
              <w:rPr>
                <w:rFonts w:hint="eastAsia" w:ascii="仿宋_GB2312" w:hAnsi="仿宋_GB2312" w:eastAsia="仿宋_GB2312" w:cs="仿宋_GB2312"/>
                <w:color w:val="000000"/>
                <w:sz w:val="24"/>
                <w:szCs w:val="24"/>
                <w:lang w:val="en-US" w:eastAsia="zh-CN"/>
              </w:rPr>
              <w:t>始终将增强园区和企业竞争力作为推动综保区高质量发展的重要抓手，统筹推进三大区域发展。加大招商引资力度和辐射带动作用，强化安全管理，并持续加快保税维修和跨境电商等业态创新，持续推动</w:t>
            </w:r>
          </w:p>
          <w:p w14:paraId="33E0ED21">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综保区高质量发展。</w:t>
            </w:r>
          </w:p>
          <w:p w14:paraId="58E2D617">
            <w:pPr>
              <w:keepNext w:val="0"/>
              <w:keepLines w:val="0"/>
              <w:pageBreakBefore w:val="0"/>
              <w:widowControl/>
              <w:numPr>
                <w:ilvl w:val="0"/>
                <w:numId w:val="0"/>
              </w:numPr>
              <w:kinsoku/>
              <w:wordWrap/>
              <w:overflowPunct/>
              <w:topLinePunct w:val="0"/>
              <w:autoSpaceDE/>
              <w:bidi w:val="0"/>
              <w:adjustRightInd/>
              <w:snapToGrid/>
              <w:spacing w:line="320" w:lineRule="exact"/>
              <w:ind w:left="0" w:leftChars="0" w:firstLine="480" w:firstLineChars="20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（三）</w:t>
            </w:r>
            <w:r>
              <w:rPr>
                <w:rFonts w:hint="eastAsia" w:ascii="仿宋_GB2312" w:hAnsi="仿宋_GB2312" w:eastAsia="仿宋_GB2312" w:cs="仿宋_GB2312"/>
                <w:color w:val="000000"/>
                <w:sz w:val="24"/>
                <w:szCs w:val="24"/>
                <w:lang w:val="en-US" w:eastAsia="zh-CN"/>
              </w:rPr>
              <w:t>进一步拓展外贸业绩。始终把产业项目作为发展第一引擎，通过优质的供应链金融服务，培优扶强园区现有实体企业，千方百计为区内加工贸易企业保订单、稳生产、扩外贸，做深做实加工贸易。同时，围绕“五好”园区建设，全力抓好园区基础设</w:t>
            </w:r>
          </w:p>
          <w:p w14:paraId="0895F4B5">
            <w:pPr>
              <w:keepNext w:val="0"/>
              <w:keepLines w:val="0"/>
              <w:pageBreakBefore w:val="0"/>
              <w:widowControl/>
              <w:numPr>
                <w:ilvl w:val="0"/>
                <w:numId w:val="0"/>
              </w:numPr>
              <w:kinsoku/>
              <w:wordWrap/>
              <w:overflowPunct/>
              <w:topLinePunct w:val="0"/>
              <w:autoSpaceDE/>
              <w:bidi w:val="0"/>
              <w:adjustRightInd/>
              <w:snapToGrid/>
              <w:spacing w:line="320" w:lineRule="exact"/>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lang w:val="en-US" w:eastAsia="zh-CN"/>
              </w:rPr>
              <w:t>施和配套项目建设。</w:t>
            </w:r>
          </w:p>
        </w:tc>
        <w:tc>
          <w:tcPr>
            <w:tcW w:w="4610" w:type="dxa"/>
            <w:gridSpan w:val="4"/>
            <w:tcBorders>
              <w:top w:val="single" w:color="auto" w:sz="4" w:space="0"/>
              <w:left w:val="nil"/>
              <w:bottom w:val="single" w:color="auto" w:sz="4" w:space="0"/>
              <w:right w:val="single" w:color="auto" w:sz="4" w:space="0"/>
            </w:tcBorders>
            <w:noWrap w:val="0"/>
            <w:vAlign w:val="top"/>
          </w:tcPr>
          <w:p w14:paraId="4893BE13">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320" w:lineRule="exact"/>
              <w:ind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城陵矶综保区</w:t>
            </w:r>
            <w:r>
              <w:rPr>
                <w:rFonts w:hint="eastAsia" w:ascii="仿宋_GB2312" w:hAnsi="仿宋_GB2312" w:eastAsia="仿宋_GB2312" w:cs="仿宋_GB2312"/>
                <w:color w:val="000000"/>
                <w:sz w:val="24"/>
                <w:szCs w:val="24"/>
              </w:rPr>
              <w:t>按照中央、省、市系列部署要求，坚持早谋划、早行动，逐项分解细化目标任务，制定年度进出口贸易额计划。</w:t>
            </w:r>
            <w:r>
              <w:rPr>
                <w:rFonts w:hint="eastAsia" w:ascii="仿宋_GB2312" w:hAnsi="仿宋_GB2312" w:eastAsia="仿宋_GB2312" w:cs="仿宋_GB2312"/>
                <w:color w:val="000000"/>
                <w:sz w:val="24"/>
                <w:szCs w:val="24"/>
                <w:lang w:eastAsia="zh-CN"/>
              </w:rPr>
              <w:t>不断</w:t>
            </w:r>
            <w:r>
              <w:rPr>
                <w:rFonts w:hint="eastAsia" w:ascii="仿宋_GB2312" w:hAnsi="仿宋_GB2312" w:eastAsia="仿宋_GB2312" w:cs="仿宋_GB2312"/>
                <w:color w:val="000000"/>
                <w:sz w:val="24"/>
                <w:szCs w:val="24"/>
              </w:rPr>
              <w:t>持续做优做强进口粮食加工、进口肉类加工、平行进口汽车、进口橡胶加工、电子信息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原油、木材、石化、铁矿石等</w:t>
            </w:r>
            <w:r>
              <w:rPr>
                <w:rFonts w:hint="eastAsia" w:ascii="仿宋_GB2312" w:hAnsi="仿宋_GB2312" w:eastAsia="仿宋_GB2312" w:cs="仿宋_GB2312"/>
                <w:color w:val="000000"/>
                <w:sz w:val="24"/>
                <w:szCs w:val="24"/>
                <w:lang w:val="zh-CN"/>
              </w:rPr>
              <w:t>外贸业务</w:t>
            </w:r>
            <w:r>
              <w:rPr>
                <w:rFonts w:hint="eastAsia" w:ascii="仿宋_GB2312" w:hAnsi="仿宋_GB2312" w:eastAsia="仿宋_GB2312" w:cs="仿宋_GB2312"/>
                <w:color w:val="000000"/>
                <w:sz w:val="24"/>
                <w:szCs w:val="24"/>
              </w:rPr>
              <w:t>产品，不断提升外贸规</w:t>
            </w:r>
          </w:p>
          <w:p w14:paraId="6E388B83">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320" w:lineRule="exact"/>
              <w:ind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模与质量。</w:t>
            </w:r>
          </w:p>
          <w:p w14:paraId="0F64D221">
            <w:pPr>
              <w:keepNext w:val="0"/>
              <w:keepLines w:val="0"/>
              <w:pageBreakBefore w:val="0"/>
              <w:numPr>
                <w:ilvl w:val="0"/>
                <w:numId w:val="1"/>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充分发挥各平台企业作用，将资源优势转化为发展胜势。做亮投融资服务平台。进一步扩大区属企业融资规模。利用现有产业基础和物流优势，打破区域</w:t>
            </w:r>
          </w:p>
          <w:p w14:paraId="7B689D0D">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壁垒，搭建更优质的服务平台和交易平台。</w:t>
            </w:r>
          </w:p>
          <w:p w14:paraId="66DBD122">
            <w:pPr>
              <w:keepNext w:val="0"/>
              <w:keepLines w:val="0"/>
              <w:pageBreakBefore w:val="0"/>
              <w:numPr>
                <w:ilvl w:val="0"/>
                <w:numId w:val="1"/>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始终将增强园区和企业竞争力作为推动综保区高质量发展的重要抓手，统筹推进三大区域发展。加大招商引资力度和辐射带动作用，强化安全管理，并持续加快保税维修和跨境电商等业态创新，</w:t>
            </w:r>
          </w:p>
          <w:p w14:paraId="6A481696">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持续推动综保区高质量发展。</w:t>
            </w:r>
          </w:p>
          <w:p w14:paraId="0AE5534D">
            <w:pPr>
              <w:keepNext w:val="0"/>
              <w:keepLines w:val="0"/>
              <w:pageBreakBefore w:val="0"/>
              <w:widowControl/>
              <w:numPr>
                <w:ilvl w:val="0"/>
                <w:numId w:val="1"/>
              </w:numPr>
              <w:kinsoku/>
              <w:wordWrap/>
              <w:overflowPunct/>
              <w:topLinePunct w:val="0"/>
              <w:autoSpaceDE/>
              <w:bidi w:val="0"/>
              <w:adjustRightInd/>
              <w:snapToGrid/>
              <w:spacing w:line="320" w:lineRule="exact"/>
              <w:ind w:left="0" w:leftChars="0" w:firstLine="480" w:firstLineChars="20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进一步拓展外贸业绩。始终把产业项目作为发展第一引擎，通过优质的供应链金融服务，培优扶强园区现有实体企业，千方百计为区内加工贸易企业保订单、稳生产、扩外贸，做深做实加工贸易。同时，围绕“五好”园区建设，全力抓好</w:t>
            </w:r>
          </w:p>
          <w:p w14:paraId="5872F89E">
            <w:pPr>
              <w:keepNext w:val="0"/>
              <w:keepLines w:val="0"/>
              <w:pageBreakBefore w:val="0"/>
              <w:widowControl/>
              <w:numPr>
                <w:ilvl w:val="0"/>
                <w:numId w:val="0"/>
              </w:numPr>
              <w:kinsoku/>
              <w:wordWrap/>
              <w:overflowPunct/>
              <w:topLinePunct w:val="0"/>
              <w:autoSpaceDE/>
              <w:bidi w:val="0"/>
              <w:adjustRightInd/>
              <w:snapToGrid/>
              <w:spacing w:line="32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4"/>
                <w:szCs w:val="24"/>
                <w:lang w:val="en-US" w:eastAsia="zh-CN"/>
              </w:rPr>
              <w:t>园区基础设施和配套项目建设。</w:t>
            </w:r>
          </w:p>
        </w:tc>
      </w:tr>
      <w:tr w14:paraId="30A2800B">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14:paraId="3BB5092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2378FB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0518AD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63AC90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1EC9F6D6">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1EAE26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nil"/>
              <w:bottom w:val="single" w:color="auto" w:sz="4" w:space="0"/>
              <w:right w:val="single" w:color="auto" w:sz="4" w:space="0"/>
            </w:tcBorders>
            <w:noWrap w:val="0"/>
            <w:vAlign w:val="center"/>
          </w:tcPr>
          <w:p w14:paraId="6E43FE0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nil"/>
              <w:bottom w:val="single" w:color="auto" w:sz="4" w:space="0"/>
              <w:right w:val="single" w:color="auto" w:sz="4" w:space="0"/>
            </w:tcBorders>
            <w:noWrap w:val="0"/>
            <w:vAlign w:val="center"/>
          </w:tcPr>
          <w:p w14:paraId="3A86B11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nil"/>
              <w:bottom w:val="single" w:color="auto" w:sz="4" w:space="0"/>
              <w:right w:val="single" w:color="auto" w:sz="4" w:space="0"/>
            </w:tcBorders>
            <w:noWrap w:val="0"/>
            <w:vAlign w:val="center"/>
          </w:tcPr>
          <w:p w14:paraId="6F12705A">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nil"/>
              <w:bottom w:val="single" w:color="auto" w:sz="4" w:space="0"/>
              <w:right w:val="single" w:color="auto" w:sz="4" w:space="0"/>
            </w:tcBorders>
            <w:noWrap w:val="0"/>
            <w:vAlign w:val="center"/>
          </w:tcPr>
          <w:p w14:paraId="459D3CE6">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nil"/>
              <w:bottom w:val="single" w:color="auto" w:sz="4" w:space="0"/>
              <w:right w:val="single" w:color="auto" w:sz="4" w:space="0"/>
            </w:tcBorders>
            <w:noWrap w:val="0"/>
            <w:vAlign w:val="center"/>
          </w:tcPr>
          <w:p w14:paraId="214C5A5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nil"/>
              <w:bottom w:val="single" w:color="auto" w:sz="4" w:space="0"/>
              <w:right w:val="single" w:color="auto" w:sz="4" w:space="0"/>
            </w:tcBorders>
            <w:noWrap w:val="0"/>
            <w:vAlign w:val="center"/>
          </w:tcPr>
          <w:p w14:paraId="73FA239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752" w:type="dxa"/>
            <w:tcBorders>
              <w:top w:val="single" w:color="auto" w:sz="4" w:space="0"/>
              <w:left w:val="nil"/>
              <w:bottom w:val="single" w:color="auto" w:sz="4" w:space="0"/>
              <w:right w:val="single" w:color="auto" w:sz="4" w:space="0"/>
            </w:tcBorders>
            <w:noWrap w:val="0"/>
            <w:vAlign w:val="center"/>
          </w:tcPr>
          <w:p w14:paraId="1E4AF1E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4A52460">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36EFBAB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bottom w:val="single" w:color="auto" w:sz="4" w:space="0"/>
              <w:right w:val="single" w:color="auto" w:sz="4" w:space="0"/>
            </w:tcBorders>
            <w:noWrap w:val="0"/>
            <w:vAlign w:val="center"/>
          </w:tcPr>
          <w:p w14:paraId="0927BAA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C368909">
            <w:pPr>
              <w:widowControl/>
              <w:spacing w:line="240" w:lineRule="exact"/>
              <w:jc w:val="center"/>
              <w:rPr>
                <w:rFonts w:hint="eastAsia" w:ascii="仿宋_GB2312" w:hAnsi="仿宋_GB2312" w:eastAsia="仿宋_GB2312" w:cs="仿宋_GB2312"/>
                <w:color w:val="000000"/>
                <w:sz w:val="20"/>
                <w:szCs w:val="20"/>
                <w:highlight w:val="none"/>
              </w:rPr>
            </w:pPr>
          </w:p>
          <w:p w14:paraId="6567BEE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5CE8311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622C2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0"/>
                <w:szCs w:val="20"/>
                <w:lang w:val="en-US" w:eastAsia="zh-CN"/>
              </w:rPr>
              <w:t>原油、粮食、加工贸易等</w:t>
            </w:r>
          </w:p>
        </w:tc>
        <w:tc>
          <w:tcPr>
            <w:tcW w:w="1311" w:type="dxa"/>
            <w:tcBorders>
              <w:top w:val="nil"/>
              <w:left w:val="nil"/>
              <w:bottom w:val="single" w:color="auto" w:sz="4" w:space="0"/>
              <w:right w:val="single" w:color="auto" w:sz="4" w:space="0"/>
            </w:tcBorders>
            <w:shd w:val="clear" w:color="auto" w:fill="auto"/>
            <w:noWrap w:val="0"/>
            <w:vAlign w:val="center"/>
          </w:tcPr>
          <w:p w14:paraId="689E8A30">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z w:val="22"/>
                <w:szCs w:val="22"/>
                <w:lang w:val="en-US" w:eastAsia="zh-CN"/>
              </w:rPr>
              <w:t>≥300亿</w:t>
            </w:r>
          </w:p>
        </w:tc>
        <w:tc>
          <w:tcPr>
            <w:tcW w:w="1269" w:type="dxa"/>
            <w:tcBorders>
              <w:top w:val="nil"/>
              <w:left w:val="nil"/>
              <w:bottom w:val="single" w:color="auto" w:sz="4" w:space="0"/>
              <w:right w:val="single" w:color="auto" w:sz="4" w:space="0"/>
            </w:tcBorders>
            <w:noWrap w:val="0"/>
            <w:vAlign w:val="center"/>
          </w:tcPr>
          <w:p w14:paraId="675FEA9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2"/>
                <w:szCs w:val="22"/>
                <w:lang w:val="en-US" w:eastAsia="zh-CN"/>
              </w:rPr>
              <w:t>≥300亿</w:t>
            </w:r>
          </w:p>
        </w:tc>
        <w:tc>
          <w:tcPr>
            <w:tcW w:w="716" w:type="dxa"/>
            <w:tcBorders>
              <w:top w:val="nil"/>
              <w:left w:val="nil"/>
              <w:bottom w:val="single" w:color="auto" w:sz="4" w:space="0"/>
              <w:right w:val="single" w:color="auto" w:sz="4" w:space="0"/>
            </w:tcBorders>
            <w:noWrap w:val="0"/>
            <w:vAlign w:val="center"/>
          </w:tcPr>
          <w:p w14:paraId="73C4A4C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7B0A8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nil"/>
              <w:left w:val="nil"/>
              <w:bottom w:val="single" w:color="auto" w:sz="4" w:space="0"/>
              <w:right w:val="single" w:color="auto" w:sz="4" w:space="0"/>
            </w:tcBorders>
            <w:noWrap w:val="0"/>
            <w:vAlign w:val="center"/>
          </w:tcPr>
          <w:p w14:paraId="4371309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F7A065">
        <w:tblPrEx>
          <w:tblCellMar>
            <w:top w:w="0" w:type="dxa"/>
            <w:left w:w="108" w:type="dxa"/>
            <w:bottom w:w="0" w:type="dxa"/>
            <w:right w:w="108" w:type="dxa"/>
          </w:tblCellMar>
        </w:tblPrEx>
        <w:trPr>
          <w:trHeight w:val="580" w:hRule="atLeast"/>
          <w:jc w:val="center"/>
        </w:trPr>
        <w:tc>
          <w:tcPr>
            <w:tcW w:w="1080" w:type="dxa"/>
            <w:vMerge w:val="continue"/>
            <w:tcBorders>
              <w:top w:val="single" w:color="auto" w:sz="4" w:space="0"/>
              <w:left w:val="single" w:color="auto" w:sz="4" w:space="0"/>
              <w:right w:val="single" w:color="auto" w:sz="4" w:space="0"/>
            </w:tcBorders>
            <w:noWrap w:val="0"/>
            <w:vAlign w:val="center"/>
          </w:tcPr>
          <w:p w14:paraId="3CCAFEE4">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14:paraId="12586C4E">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6E36A867">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8E0A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0"/>
                <w:szCs w:val="20"/>
                <w:lang w:val="en-US" w:eastAsia="zh-CN"/>
              </w:rPr>
              <w:t>肉类、橡胶、</w:t>
            </w:r>
            <w:r>
              <w:rPr>
                <w:rFonts w:hint="eastAsia" w:ascii="仿宋_GB2312" w:hAnsi="仿宋_GB2312" w:eastAsia="仿宋_GB2312" w:cs="仿宋_GB2312"/>
                <w:spacing w:val="-6"/>
                <w:sz w:val="20"/>
                <w:szCs w:val="20"/>
                <w:lang w:val="en-US" w:eastAsia="zh-CN"/>
              </w:rPr>
              <w:t>木材、煤炭等</w:t>
            </w:r>
          </w:p>
        </w:tc>
        <w:tc>
          <w:tcPr>
            <w:tcW w:w="1311" w:type="dxa"/>
            <w:tcBorders>
              <w:top w:val="single" w:color="auto" w:sz="4" w:space="0"/>
              <w:left w:val="nil"/>
              <w:bottom w:val="single" w:color="auto" w:sz="4" w:space="0"/>
              <w:right w:val="single" w:color="auto" w:sz="4" w:space="0"/>
            </w:tcBorders>
            <w:shd w:val="clear" w:color="auto" w:fill="auto"/>
            <w:noWrap w:val="0"/>
            <w:vAlign w:val="center"/>
          </w:tcPr>
          <w:p w14:paraId="262B06FC">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z w:val="22"/>
                <w:szCs w:val="22"/>
                <w:lang w:val="en-US" w:eastAsia="zh-CN"/>
              </w:rPr>
              <w:t>≥50亿</w:t>
            </w:r>
          </w:p>
        </w:tc>
        <w:tc>
          <w:tcPr>
            <w:tcW w:w="1269" w:type="dxa"/>
            <w:tcBorders>
              <w:top w:val="single" w:color="auto" w:sz="4" w:space="0"/>
              <w:left w:val="nil"/>
              <w:bottom w:val="single" w:color="auto" w:sz="4" w:space="0"/>
              <w:right w:val="single" w:color="auto" w:sz="4" w:space="0"/>
            </w:tcBorders>
            <w:noWrap w:val="0"/>
            <w:vAlign w:val="center"/>
          </w:tcPr>
          <w:p w14:paraId="66FFA61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2"/>
                <w:szCs w:val="22"/>
                <w:lang w:val="en-US" w:eastAsia="zh-CN"/>
              </w:rPr>
              <w:t>≥50亿</w:t>
            </w:r>
          </w:p>
        </w:tc>
        <w:tc>
          <w:tcPr>
            <w:tcW w:w="716" w:type="dxa"/>
            <w:tcBorders>
              <w:top w:val="single" w:color="auto" w:sz="4" w:space="0"/>
              <w:left w:val="nil"/>
              <w:bottom w:val="single" w:color="auto" w:sz="4" w:space="0"/>
              <w:right w:val="single" w:color="auto" w:sz="4" w:space="0"/>
            </w:tcBorders>
            <w:noWrap w:val="0"/>
            <w:vAlign w:val="center"/>
          </w:tcPr>
          <w:p w14:paraId="206255A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009B693">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single" w:color="auto" w:sz="4" w:space="0"/>
              <w:left w:val="nil"/>
              <w:bottom w:val="single" w:color="auto" w:sz="4" w:space="0"/>
              <w:right w:val="single" w:color="auto" w:sz="4" w:space="0"/>
            </w:tcBorders>
            <w:noWrap w:val="0"/>
            <w:vAlign w:val="center"/>
          </w:tcPr>
          <w:p w14:paraId="75D2F1A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C58CBA">
        <w:tblPrEx>
          <w:tblCellMar>
            <w:top w:w="0" w:type="dxa"/>
            <w:left w:w="108" w:type="dxa"/>
            <w:bottom w:w="0" w:type="dxa"/>
            <w:right w:w="108" w:type="dxa"/>
          </w:tblCellMar>
        </w:tblPrEx>
        <w:trPr>
          <w:trHeight w:val="670" w:hRule="atLeast"/>
          <w:jc w:val="center"/>
        </w:trPr>
        <w:tc>
          <w:tcPr>
            <w:tcW w:w="1080" w:type="dxa"/>
            <w:vMerge w:val="continue"/>
            <w:tcBorders>
              <w:left w:val="single" w:color="auto" w:sz="4" w:space="0"/>
              <w:right w:val="single" w:color="auto" w:sz="4" w:space="0"/>
            </w:tcBorders>
            <w:noWrap w:val="0"/>
            <w:vAlign w:val="center"/>
          </w:tcPr>
          <w:p w14:paraId="660DE81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DF41FCD">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14:paraId="1F653F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CD612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简化通关流程,缩减通</w:t>
            </w:r>
          </w:p>
          <w:p w14:paraId="2026673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关时间</w:t>
            </w:r>
          </w:p>
        </w:tc>
        <w:tc>
          <w:tcPr>
            <w:tcW w:w="1311" w:type="dxa"/>
            <w:tcBorders>
              <w:top w:val="nil"/>
              <w:left w:val="nil"/>
              <w:bottom w:val="single" w:color="auto" w:sz="4" w:space="0"/>
              <w:right w:val="single" w:color="auto" w:sz="4" w:space="0"/>
            </w:tcBorders>
            <w:shd w:val="clear" w:color="auto" w:fill="auto"/>
            <w:noWrap w:val="0"/>
            <w:vAlign w:val="center"/>
          </w:tcPr>
          <w:p w14:paraId="18ABADEF">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17"/>
                <w:kern w:val="0"/>
                <w:sz w:val="22"/>
                <w:szCs w:val="20"/>
                <w:lang w:val="en-US" w:eastAsia="zh-CN"/>
              </w:rPr>
              <w:t>通关时效提升≥90%</w:t>
            </w:r>
          </w:p>
        </w:tc>
        <w:tc>
          <w:tcPr>
            <w:tcW w:w="1269" w:type="dxa"/>
            <w:tcBorders>
              <w:top w:val="nil"/>
              <w:left w:val="nil"/>
              <w:bottom w:val="single" w:color="auto" w:sz="4" w:space="0"/>
              <w:right w:val="single" w:color="auto" w:sz="4" w:space="0"/>
            </w:tcBorders>
            <w:noWrap w:val="0"/>
            <w:vAlign w:val="center"/>
          </w:tcPr>
          <w:p w14:paraId="76955B0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pacing w:val="-17"/>
                <w:kern w:val="0"/>
                <w:sz w:val="22"/>
                <w:szCs w:val="20"/>
                <w:lang w:val="en-US" w:eastAsia="zh-CN"/>
              </w:rPr>
              <w:t>通关时效提升≥90%</w:t>
            </w:r>
          </w:p>
        </w:tc>
        <w:tc>
          <w:tcPr>
            <w:tcW w:w="716" w:type="dxa"/>
            <w:tcBorders>
              <w:top w:val="nil"/>
              <w:left w:val="nil"/>
              <w:bottom w:val="single" w:color="auto" w:sz="4" w:space="0"/>
              <w:right w:val="single" w:color="auto" w:sz="4" w:space="0"/>
            </w:tcBorders>
            <w:noWrap w:val="0"/>
            <w:vAlign w:val="center"/>
          </w:tcPr>
          <w:p w14:paraId="2E51EC2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BD60E1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5C7AF0B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CCFB0B">
        <w:tblPrEx>
          <w:tblCellMar>
            <w:top w:w="0" w:type="dxa"/>
            <w:left w:w="108" w:type="dxa"/>
            <w:bottom w:w="0" w:type="dxa"/>
            <w:right w:w="108" w:type="dxa"/>
          </w:tblCellMar>
        </w:tblPrEx>
        <w:trPr>
          <w:trHeight w:val="640" w:hRule="atLeast"/>
          <w:jc w:val="center"/>
        </w:trPr>
        <w:tc>
          <w:tcPr>
            <w:tcW w:w="1080" w:type="dxa"/>
            <w:vMerge w:val="continue"/>
            <w:tcBorders>
              <w:left w:val="single" w:color="auto" w:sz="4" w:space="0"/>
              <w:right w:val="single" w:color="auto" w:sz="4" w:space="0"/>
            </w:tcBorders>
            <w:noWrap w:val="0"/>
            <w:vAlign w:val="center"/>
          </w:tcPr>
          <w:p w14:paraId="730C729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747C19D">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14:paraId="70D1B88E">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single" w:color="auto" w:sz="4" w:space="0"/>
              <w:bottom w:val="single" w:color="auto" w:sz="4" w:space="0"/>
              <w:right w:val="single" w:color="auto" w:sz="4" w:space="0"/>
            </w:tcBorders>
            <w:shd w:val="clear" w:color="auto" w:fill="auto"/>
            <w:noWrap w:val="0"/>
            <w:vAlign w:val="center"/>
          </w:tcPr>
          <w:p w14:paraId="74E3CE2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17"/>
                <w:sz w:val="20"/>
                <w:szCs w:val="20"/>
                <w:lang w:val="en-US" w:eastAsia="zh-CN"/>
              </w:rPr>
              <w:t>基础设施日常维护达标率</w:t>
            </w:r>
          </w:p>
        </w:tc>
        <w:tc>
          <w:tcPr>
            <w:tcW w:w="1311" w:type="dxa"/>
            <w:tcBorders>
              <w:top w:val="nil"/>
              <w:left w:val="nil"/>
              <w:bottom w:val="single" w:color="auto" w:sz="4" w:space="0"/>
              <w:right w:val="single" w:color="auto" w:sz="4" w:space="0"/>
            </w:tcBorders>
            <w:shd w:val="clear" w:color="auto" w:fill="auto"/>
            <w:noWrap w:val="0"/>
            <w:vAlign w:val="center"/>
          </w:tcPr>
          <w:p w14:paraId="6573C344">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≥99%</w:t>
            </w:r>
          </w:p>
        </w:tc>
        <w:tc>
          <w:tcPr>
            <w:tcW w:w="1269" w:type="dxa"/>
            <w:tcBorders>
              <w:top w:val="nil"/>
              <w:left w:val="nil"/>
              <w:bottom w:val="single" w:color="auto" w:sz="4" w:space="0"/>
              <w:right w:val="single" w:color="auto" w:sz="4" w:space="0"/>
            </w:tcBorders>
            <w:noWrap w:val="0"/>
            <w:vAlign w:val="center"/>
          </w:tcPr>
          <w:p w14:paraId="7A6D229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≥99%</w:t>
            </w:r>
          </w:p>
        </w:tc>
        <w:tc>
          <w:tcPr>
            <w:tcW w:w="716" w:type="dxa"/>
            <w:tcBorders>
              <w:top w:val="nil"/>
              <w:left w:val="nil"/>
              <w:bottom w:val="single" w:color="auto" w:sz="4" w:space="0"/>
              <w:right w:val="single" w:color="auto" w:sz="4" w:space="0"/>
            </w:tcBorders>
            <w:noWrap w:val="0"/>
            <w:vAlign w:val="center"/>
          </w:tcPr>
          <w:p w14:paraId="45030F8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C2578D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07FDA88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198D3E">
        <w:tblPrEx>
          <w:tblCellMar>
            <w:top w:w="0" w:type="dxa"/>
            <w:left w:w="108" w:type="dxa"/>
            <w:bottom w:w="0" w:type="dxa"/>
            <w:right w:w="108" w:type="dxa"/>
          </w:tblCellMar>
        </w:tblPrEx>
        <w:trPr>
          <w:trHeight w:val="805" w:hRule="atLeast"/>
          <w:jc w:val="center"/>
        </w:trPr>
        <w:tc>
          <w:tcPr>
            <w:tcW w:w="1080" w:type="dxa"/>
            <w:vMerge w:val="continue"/>
            <w:tcBorders>
              <w:left w:val="single" w:color="auto" w:sz="4" w:space="0"/>
              <w:right w:val="single" w:color="auto" w:sz="4" w:space="0"/>
            </w:tcBorders>
            <w:noWrap w:val="0"/>
            <w:vAlign w:val="center"/>
          </w:tcPr>
          <w:p w14:paraId="6320773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9DB4B45">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ABD357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0A8A8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p>
          <w:p w14:paraId="1366388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事项完成</w:t>
            </w:r>
          </w:p>
          <w:p w14:paraId="5147400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及时率</w:t>
            </w:r>
          </w:p>
        </w:tc>
        <w:tc>
          <w:tcPr>
            <w:tcW w:w="1311" w:type="dxa"/>
            <w:tcBorders>
              <w:top w:val="nil"/>
              <w:left w:val="nil"/>
              <w:bottom w:val="single" w:color="auto" w:sz="4" w:space="0"/>
              <w:right w:val="single" w:color="auto" w:sz="4" w:space="0"/>
            </w:tcBorders>
            <w:shd w:val="clear" w:color="auto" w:fill="auto"/>
            <w:noWrap w:val="0"/>
            <w:vAlign w:val="center"/>
          </w:tcPr>
          <w:p w14:paraId="0CC35E2D">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≥95%</w:t>
            </w:r>
          </w:p>
        </w:tc>
        <w:tc>
          <w:tcPr>
            <w:tcW w:w="1269" w:type="dxa"/>
            <w:tcBorders>
              <w:top w:val="nil"/>
              <w:left w:val="nil"/>
              <w:bottom w:val="single" w:color="auto" w:sz="4" w:space="0"/>
              <w:right w:val="single" w:color="auto" w:sz="4" w:space="0"/>
            </w:tcBorders>
            <w:noWrap w:val="0"/>
            <w:vAlign w:val="center"/>
          </w:tcPr>
          <w:p w14:paraId="060B9E6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≥95%</w:t>
            </w:r>
          </w:p>
        </w:tc>
        <w:tc>
          <w:tcPr>
            <w:tcW w:w="716" w:type="dxa"/>
            <w:tcBorders>
              <w:top w:val="nil"/>
              <w:left w:val="nil"/>
              <w:bottom w:val="single" w:color="auto" w:sz="4" w:space="0"/>
              <w:right w:val="single" w:color="auto" w:sz="4" w:space="0"/>
            </w:tcBorders>
            <w:noWrap w:val="0"/>
            <w:vAlign w:val="center"/>
          </w:tcPr>
          <w:p w14:paraId="2ECA939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A33452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nil"/>
              <w:left w:val="nil"/>
              <w:bottom w:val="single" w:color="auto" w:sz="4" w:space="0"/>
              <w:right w:val="single" w:color="auto" w:sz="4" w:space="0"/>
            </w:tcBorders>
            <w:noWrap w:val="0"/>
            <w:vAlign w:val="center"/>
          </w:tcPr>
          <w:p w14:paraId="3FE5B25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70A687">
        <w:tblPrEx>
          <w:tblCellMar>
            <w:top w:w="0" w:type="dxa"/>
            <w:left w:w="108" w:type="dxa"/>
            <w:bottom w:w="0" w:type="dxa"/>
            <w:right w:w="108" w:type="dxa"/>
          </w:tblCellMar>
        </w:tblPrEx>
        <w:trPr>
          <w:trHeight w:val="660" w:hRule="atLeast"/>
          <w:jc w:val="center"/>
        </w:trPr>
        <w:tc>
          <w:tcPr>
            <w:tcW w:w="1080" w:type="dxa"/>
            <w:vMerge w:val="continue"/>
            <w:tcBorders>
              <w:left w:val="single" w:color="auto" w:sz="4" w:space="0"/>
              <w:right w:val="single" w:color="auto" w:sz="4" w:space="0"/>
            </w:tcBorders>
            <w:noWrap w:val="0"/>
            <w:vAlign w:val="center"/>
          </w:tcPr>
          <w:p w14:paraId="77A21E0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27E058B">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14:paraId="7E0A9B5B">
            <w:pPr>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成本指标</w:t>
            </w:r>
          </w:p>
        </w:tc>
        <w:tc>
          <w:tcPr>
            <w:tcW w:w="1270" w:type="dxa"/>
            <w:tcBorders>
              <w:top w:val="nil"/>
              <w:left w:val="single" w:color="auto" w:sz="4" w:space="0"/>
              <w:bottom w:val="single" w:color="auto" w:sz="4" w:space="0"/>
              <w:right w:val="single" w:color="auto" w:sz="4" w:space="0"/>
            </w:tcBorders>
            <w:shd w:val="clear" w:color="auto" w:fill="auto"/>
            <w:noWrap w:val="0"/>
            <w:vAlign w:val="center"/>
          </w:tcPr>
          <w:p w14:paraId="7F6F5EF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严控采购</w:t>
            </w:r>
          </w:p>
          <w:p w14:paraId="64949D1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公平性</w:t>
            </w:r>
          </w:p>
        </w:tc>
        <w:tc>
          <w:tcPr>
            <w:tcW w:w="1311" w:type="dxa"/>
            <w:tcBorders>
              <w:top w:val="nil"/>
              <w:left w:val="nil"/>
              <w:bottom w:val="single" w:color="auto" w:sz="4" w:space="0"/>
              <w:right w:val="single" w:color="auto" w:sz="4" w:space="0"/>
            </w:tcBorders>
            <w:shd w:val="clear" w:color="auto" w:fill="auto"/>
            <w:noWrap w:val="0"/>
            <w:vAlign w:val="center"/>
          </w:tcPr>
          <w:p w14:paraId="36ADDCF5">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≥100%</w:t>
            </w:r>
          </w:p>
        </w:tc>
        <w:tc>
          <w:tcPr>
            <w:tcW w:w="1269" w:type="dxa"/>
            <w:tcBorders>
              <w:top w:val="nil"/>
              <w:left w:val="nil"/>
              <w:bottom w:val="single" w:color="auto" w:sz="4" w:space="0"/>
              <w:right w:val="single" w:color="auto" w:sz="4" w:space="0"/>
            </w:tcBorders>
            <w:noWrap w:val="0"/>
            <w:vAlign w:val="center"/>
          </w:tcPr>
          <w:p w14:paraId="60EB767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≥100%</w:t>
            </w:r>
          </w:p>
        </w:tc>
        <w:tc>
          <w:tcPr>
            <w:tcW w:w="716" w:type="dxa"/>
            <w:tcBorders>
              <w:top w:val="nil"/>
              <w:left w:val="nil"/>
              <w:bottom w:val="single" w:color="auto" w:sz="4" w:space="0"/>
              <w:right w:val="single" w:color="auto" w:sz="4" w:space="0"/>
            </w:tcBorders>
            <w:noWrap w:val="0"/>
            <w:vAlign w:val="center"/>
          </w:tcPr>
          <w:p w14:paraId="3CEDFEB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82FB06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37314F4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92E01E">
        <w:tblPrEx>
          <w:tblCellMar>
            <w:top w:w="0" w:type="dxa"/>
            <w:left w:w="108" w:type="dxa"/>
            <w:bottom w:w="0" w:type="dxa"/>
            <w:right w:w="108" w:type="dxa"/>
          </w:tblCellMar>
        </w:tblPrEx>
        <w:trPr>
          <w:trHeight w:val="625" w:hRule="atLeast"/>
          <w:jc w:val="center"/>
        </w:trPr>
        <w:tc>
          <w:tcPr>
            <w:tcW w:w="1080" w:type="dxa"/>
            <w:vMerge w:val="continue"/>
            <w:tcBorders>
              <w:left w:val="single" w:color="auto" w:sz="4" w:space="0"/>
              <w:right w:val="single" w:color="auto" w:sz="4" w:space="0"/>
            </w:tcBorders>
            <w:noWrap w:val="0"/>
            <w:vAlign w:val="center"/>
          </w:tcPr>
          <w:p w14:paraId="05ECBDE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24561A8">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55BBD874">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BD699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严格管理经费支出</w:t>
            </w:r>
          </w:p>
        </w:tc>
        <w:tc>
          <w:tcPr>
            <w:tcW w:w="1311" w:type="dxa"/>
            <w:tcBorders>
              <w:top w:val="nil"/>
              <w:left w:val="nil"/>
              <w:bottom w:val="single" w:color="auto" w:sz="4" w:space="0"/>
              <w:right w:val="single" w:color="auto" w:sz="4" w:space="0"/>
            </w:tcBorders>
            <w:shd w:val="clear" w:color="auto" w:fill="auto"/>
            <w:noWrap w:val="0"/>
            <w:vAlign w:val="center"/>
          </w:tcPr>
          <w:p w14:paraId="6004C576">
            <w:pPr>
              <w:spacing w:before="86" w:line="217" w:lineRule="auto"/>
              <w:jc w:val="center"/>
              <w:rPr>
                <w:rFonts w:hint="eastAsia" w:ascii="仿宋_GB2312" w:hAnsi="仿宋_GB2312" w:eastAsia="仿宋_GB2312" w:cs="仿宋_GB2312"/>
                <w:spacing w:val="-2"/>
                <w:kern w:val="0"/>
                <w:sz w:val="21"/>
                <w:szCs w:val="21"/>
                <w:lang w:val="en-US" w:eastAsia="zh-CN" w:bidi="ar-SA"/>
              </w:rPr>
            </w:pPr>
            <w:r>
              <w:rPr>
                <w:rFonts w:hint="eastAsia" w:ascii="仿宋_GB2312" w:hAnsi="仿宋_GB2312" w:eastAsia="仿宋_GB2312" w:cs="仿宋_GB2312"/>
                <w:kern w:val="0"/>
                <w:sz w:val="22"/>
                <w:szCs w:val="22"/>
                <w:lang w:val="en-US" w:eastAsia="zh-CN"/>
              </w:rPr>
              <w:t>≥100%</w:t>
            </w:r>
          </w:p>
        </w:tc>
        <w:tc>
          <w:tcPr>
            <w:tcW w:w="1269" w:type="dxa"/>
            <w:tcBorders>
              <w:top w:val="nil"/>
              <w:left w:val="nil"/>
              <w:bottom w:val="single" w:color="auto" w:sz="4" w:space="0"/>
              <w:right w:val="single" w:color="auto" w:sz="4" w:space="0"/>
            </w:tcBorders>
            <w:noWrap w:val="0"/>
            <w:vAlign w:val="center"/>
          </w:tcPr>
          <w:p w14:paraId="579BA84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2"/>
                <w:lang w:val="en-US" w:eastAsia="zh-CN"/>
              </w:rPr>
              <w:t>≥100%</w:t>
            </w:r>
          </w:p>
        </w:tc>
        <w:tc>
          <w:tcPr>
            <w:tcW w:w="716" w:type="dxa"/>
            <w:tcBorders>
              <w:top w:val="nil"/>
              <w:left w:val="nil"/>
              <w:bottom w:val="single" w:color="auto" w:sz="4" w:space="0"/>
              <w:right w:val="single" w:color="auto" w:sz="4" w:space="0"/>
            </w:tcBorders>
            <w:noWrap w:val="0"/>
            <w:vAlign w:val="center"/>
          </w:tcPr>
          <w:p w14:paraId="57EBB0B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2BBD3D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59D0782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12DF4F">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14:paraId="580EB27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1F24AF9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EBD06D6">
            <w:pPr>
              <w:widowControl/>
              <w:spacing w:line="240" w:lineRule="exact"/>
              <w:jc w:val="left"/>
              <w:rPr>
                <w:rFonts w:hint="eastAsia" w:ascii="仿宋_GB2312" w:hAnsi="仿宋_GB2312" w:eastAsia="仿宋_GB2312" w:cs="仿宋_GB2312"/>
                <w:color w:val="000000"/>
                <w:sz w:val="20"/>
                <w:szCs w:val="20"/>
                <w:highlight w:val="none"/>
              </w:rPr>
            </w:pPr>
          </w:p>
          <w:p w14:paraId="633292F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7EE3D8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nil"/>
              <w:bottom w:val="single" w:color="auto" w:sz="4" w:space="0"/>
              <w:right w:val="single" w:color="auto" w:sz="4" w:space="0"/>
            </w:tcBorders>
            <w:noWrap w:val="0"/>
            <w:vAlign w:val="center"/>
          </w:tcPr>
          <w:p w14:paraId="6A5E5F9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B9A99B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7296744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pacing w:val="-17"/>
                <w:sz w:val="20"/>
                <w:szCs w:val="20"/>
                <w:lang w:val="en-US" w:eastAsia="zh-CN"/>
              </w:rPr>
              <w:t>进出口贸易额</w:t>
            </w:r>
          </w:p>
        </w:tc>
        <w:tc>
          <w:tcPr>
            <w:tcW w:w="1311" w:type="dxa"/>
            <w:tcBorders>
              <w:top w:val="nil"/>
              <w:left w:val="nil"/>
              <w:bottom w:val="single" w:color="auto" w:sz="4" w:space="0"/>
              <w:right w:val="single" w:color="auto" w:sz="4" w:space="0"/>
            </w:tcBorders>
            <w:shd w:val="clear" w:color="auto" w:fill="auto"/>
            <w:noWrap w:val="0"/>
            <w:vAlign w:val="center"/>
          </w:tcPr>
          <w:p w14:paraId="70892E4A">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color w:val="000000"/>
                <w:spacing w:val="-6"/>
                <w:sz w:val="24"/>
              </w:rPr>
              <w:t>≥</w:t>
            </w:r>
            <w:r>
              <w:rPr>
                <w:rFonts w:hint="eastAsia" w:ascii="仿宋_GB2312" w:hAnsi="仿宋_GB2312" w:eastAsia="仿宋_GB2312" w:cs="仿宋_GB2312"/>
                <w:color w:val="000000"/>
                <w:spacing w:val="-6"/>
                <w:sz w:val="24"/>
                <w:lang w:val="en-US" w:eastAsia="zh-CN"/>
              </w:rPr>
              <w:t>500亿元</w:t>
            </w:r>
          </w:p>
        </w:tc>
        <w:tc>
          <w:tcPr>
            <w:tcW w:w="1269" w:type="dxa"/>
            <w:tcBorders>
              <w:top w:val="nil"/>
              <w:left w:val="nil"/>
              <w:bottom w:val="single" w:color="auto" w:sz="4" w:space="0"/>
              <w:right w:val="single" w:color="auto" w:sz="4" w:space="0"/>
            </w:tcBorders>
            <w:noWrap w:val="0"/>
            <w:vAlign w:val="center"/>
          </w:tcPr>
          <w:p w14:paraId="7F43510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pacing w:val="-6"/>
                <w:sz w:val="22"/>
                <w:szCs w:val="22"/>
              </w:rPr>
              <w:t>≥</w:t>
            </w:r>
            <w:r>
              <w:rPr>
                <w:rFonts w:hint="eastAsia" w:ascii="仿宋_GB2312" w:hAnsi="仿宋_GB2312" w:eastAsia="仿宋_GB2312" w:cs="仿宋_GB2312"/>
                <w:color w:val="000000"/>
                <w:spacing w:val="-6"/>
                <w:sz w:val="22"/>
                <w:szCs w:val="22"/>
                <w:lang w:val="en-US" w:eastAsia="zh-CN"/>
              </w:rPr>
              <w:t>429亿元</w:t>
            </w:r>
          </w:p>
        </w:tc>
        <w:tc>
          <w:tcPr>
            <w:tcW w:w="716" w:type="dxa"/>
            <w:tcBorders>
              <w:top w:val="nil"/>
              <w:left w:val="nil"/>
              <w:bottom w:val="single" w:color="auto" w:sz="4" w:space="0"/>
              <w:right w:val="single" w:color="auto" w:sz="4" w:space="0"/>
            </w:tcBorders>
            <w:noWrap w:val="0"/>
            <w:vAlign w:val="center"/>
          </w:tcPr>
          <w:p w14:paraId="73CF5132">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14C0E0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8.6</w:t>
            </w:r>
          </w:p>
        </w:tc>
        <w:tc>
          <w:tcPr>
            <w:tcW w:w="1752" w:type="dxa"/>
            <w:tcBorders>
              <w:top w:val="nil"/>
              <w:left w:val="nil"/>
              <w:bottom w:val="single" w:color="auto" w:sz="4" w:space="0"/>
              <w:right w:val="single" w:color="auto" w:sz="4" w:space="0"/>
            </w:tcBorders>
            <w:noWrap w:val="0"/>
            <w:vAlign w:val="center"/>
          </w:tcPr>
          <w:p w14:paraId="1F9CDF5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u w:val="none"/>
                <w:lang w:eastAsia="zh-CN"/>
              </w:rPr>
              <w:t>国内市场及国际形势变动</w:t>
            </w:r>
          </w:p>
        </w:tc>
      </w:tr>
      <w:tr w14:paraId="11DFF20E">
        <w:tblPrEx>
          <w:tblCellMar>
            <w:top w:w="0" w:type="dxa"/>
            <w:left w:w="108" w:type="dxa"/>
            <w:bottom w:w="0" w:type="dxa"/>
            <w:right w:w="108" w:type="dxa"/>
          </w:tblCellMar>
        </w:tblPrEx>
        <w:trPr>
          <w:trHeight w:val="666" w:hRule="atLeast"/>
          <w:jc w:val="center"/>
        </w:trPr>
        <w:tc>
          <w:tcPr>
            <w:tcW w:w="1080" w:type="dxa"/>
            <w:vMerge w:val="continue"/>
            <w:tcBorders>
              <w:left w:val="single" w:color="auto" w:sz="4" w:space="0"/>
              <w:right w:val="single" w:color="auto" w:sz="4" w:space="0"/>
            </w:tcBorders>
            <w:noWrap w:val="0"/>
            <w:vAlign w:val="center"/>
          </w:tcPr>
          <w:p w14:paraId="70CE5B8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1BE83E42">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14:paraId="0880096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8D2290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14E2B67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20"/>
                <w:sz w:val="20"/>
                <w:szCs w:val="20"/>
                <w:lang w:val="en-US" w:eastAsia="zh-CN"/>
              </w:rPr>
              <w:t>带动社会就业</w:t>
            </w:r>
          </w:p>
        </w:tc>
        <w:tc>
          <w:tcPr>
            <w:tcW w:w="1311" w:type="dxa"/>
            <w:tcBorders>
              <w:top w:val="nil"/>
              <w:left w:val="nil"/>
              <w:bottom w:val="single" w:color="auto" w:sz="4" w:space="0"/>
              <w:right w:val="single" w:color="auto" w:sz="4" w:space="0"/>
            </w:tcBorders>
            <w:shd w:val="clear" w:color="auto" w:fill="auto"/>
            <w:noWrap w:val="0"/>
            <w:vAlign w:val="center"/>
          </w:tcPr>
          <w:p w14:paraId="10197230">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color w:val="000000"/>
                <w:sz w:val="24"/>
                <w:szCs w:val="24"/>
                <w:lang w:val="en-US" w:eastAsia="zh-CN"/>
              </w:rPr>
              <w:t>≥2万人</w:t>
            </w:r>
          </w:p>
        </w:tc>
        <w:tc>
          <w:tcPr>
            <w:tcW w:w="1269" w:type="dxa"/>
            <w:tcBorders>
              <w:top w:val="nil"/>
              <w:left w:val="nil"/>
              <w:bottom w:val="single" w:color="auto" w:sz="4" w:space="0"/>
              <w:right w:val="single" w:color="auto" w:sz="4" w:space="0"/>
            </w:tcBorders>
            <w:noWrap w:val="0"/>
            <w:vAlign w:val="center"/>
          </w:tcPr>
          <w:p w14:paraId="2BC85A4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4"/>
                <w:szCs w:val="24"/>
                <w:lang w:val="en-US" w:eastAsia="zh-CN"/>
              </w:rPr>
              <w:t>≥1万人</w:t>
            </w:r>
          </w:p>
        </w:tc>
        <w:tc>
          <w:tcPr>
            <w:tcW w:w="716" w:type="dxa"/>
            <w:tcBorders>
              <w:top w:val="nil"/>
              <w:left w:val="nil"/>
              <w:bottom w:val="single" w:color="auto" w:sz="4" w:space="0"/>
              <w:right w:val="single" w:color="auto" w:sz="4" w:space="0"/>
            </w:tcBorders>
            <w:noWrap w:val="0"/>
            <w:vAlign w:val="center"/>
          </w:tcPr>
          <w:p w14:paraId="02EDD06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D789F5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w:t>
            </w:r>
          </w:p>
        </w:tc>
        <w:tc>
          <w:tcPr>
            <w:tcW w:w="1752" w:type="dxa"/>
            <w:tcBorders>
              <w:top w:val="nil"/>
              <w:left w:val="nil"/>
              <w:bottom w:val="single" w:color="auto" w:sz="4" w:space="0"/>
              <w:right w:val="single" w:color="auto" w:sz="4" w:space="0"/>
            </w:tcBorders>
            <w:noWrap w:val="0"/>
            <w:vAlign w:val="center"/>
          </w:tcPr>
          <w:p w14:paraId="09F94E79">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经济形势严峻</w:t>
            </w:r>
          </w:p>
          <w:p w14:paraId="45319B91">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岗位数量有限</w:t>
            </w:r>
          </w:p>
        </w:tc>
      </w:tr>
      <w:tr w14:paraId="60B47ED3">
        <w:tblPrEx>
          <w:tblCellMar>
            <w:top w:w="0" w:type="dxa"/>
            <w:left w:w="108" w:type="dxa"/>
            <w:bottom w:w="0" w:type="dxa"/>
            <w:right w:w="108" w:type="dxa"/>
          </w:tblCellMar>
        </w:tblPrEx>
        <w:trPr>
          <w:trHeight w:val="1165" w:hRule="atLeast"/>
          <w:jc w:val="center"/>
        </w:trPr>
        <w:tc>
          <w:tcPr>
            <w:tcW w:w="1080" w:type="dxa"/>
            <w:vMerge w:val="continue"/>
            <w:tcBorders>
              <w:left w:val="single" w:color="auto" w:sz="4" w:space="0"/>
              <w:right w:val="single" w:color="auto" w:sz="4" w:space="0"/>
            </w:tcBorders>
            <w:noWrap w:val="0"/>
            <w:vAlign w:val="center"/>
          </w:tcPr>
          <w:p w14:paraId="5823BF3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7359EFB3">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14:paraId="1F645ECA">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00B4E96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促进地区经济发展，拉动周边地区就业，拉动地方税收</w:t>
            </w:r>
          </w:p>
        </w:tc>
        <w:tc>
          <w:tcPr>
            <w:tcW w:w="1311" w:type="dxa"/>
            <w:tcBorders>
              <w:top w:val="nil"/>
              <w:left w:val="nil"/>
              <w:bottom w:val="single" w:color="auto" w:sz="4" w:space="0"/>
              <w:right w:val="single" w:color="auto" w:sz="4" w:space="0"/>
            </w:tcBorders>
            <w:shd w:val="clear" w:color="auto" w:fill="auto"/>
            <w:noWrap w:val="0"/>
            <w:vAlign w:val="center"/>
          </w:tcPr>
          <w:p w14:paraId="347A54BF">
            <w:pPr>
              <w:pStyle w:val="11"/>
              <w:jc w:val="center"/>
              <w:rPr>
                <w:rFonts w:hint="eastAsia" w:ascii="仿宋_GB2312" w:hAnsi="仿宋_GB2312" w:eastAsia="仿宋_GB2312" w:cs="仿宋_GB2312"/>
                <w:color w:val="000000"/>
                <w:spacing w:val="-23"/>
                <w:sz w:val="24"/>
                <w:szCs w:val="24"/>
                <w:lang w:val="en-US" w:eastAsia="zh-CN"/>
              </w:rPr>
            </w:pPr>
          </w:p>
          <w:p w14:paraId="5F05C0DD">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color w:val="000000"/>
                <w:spacing w:val="-23"/>
                <w:sz w:val="22"/>
                <w:szCs w:val="22"/>
                <w:lang w:val="en-US" w:eastAsia="zh-CN"/>
              </w:rPr>
              <w:t>带动周边产业发展</w:t>
            </w:r>
          </w:p>
        </w:tc>
        <w:tc>
          <w:tcPr>
            <w:tcW w:w="1269" w:type="dxa"/>
            <w:tcBorders>
              <w:top w:val="nil"/>
              <w:left w:val="nil"/>
              <w:bottom w:val="single" w:color="auto" w:sz="4" w:space="0"/>
              <w:right w:val="single" w:color="auto" w:sz="4" w:space="0"/>
            </w:tcBorders>
            <w:noWrap w:val="0"/>
            <w:vAlign w:val="center"/>
          </w:tcPr>
          <w:p w14:paraId="7773DC04">
            <w:pPr>
              <w:widowControl/>
              <w:spacing w:line="240" w:lineRule="exact"/>
              <w:jc w:val="center"/>
              <w:rPr>
                <w:rFonts w:hint="eastAsia" w:ascii="仿宋_GB2312" w:hAnsi="仿宋_GB2312" w:eastAsia="仿宋_GB2312" w:cs="仿宋_GB2312"/>
                <w:color w:val="000000"/>
                <w:spacing w:val="-23"/>
                <w:sz w:val="22"/>
                <w:szCs w:val="22"/>
                <w:lang w:val="en-US" w:eastAsia="zh-CN"/>
              </w:rPr>
            </w:pPr>
          </w:p>
          <w:p w14:paraId="760D0E1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pacing w:val="-23"/>
                <w:sz w:val="22"/>
                <w:szCs w:val="22"/>
                <w:lang w:val="en-US" w:eastAsia="zh-CN"/>
              </w:rPr>
              <w:t>带动周边产业发展</w:t>
            </w:r>
          </w:p>
        </w:tc>
        <w:tc>
          <w:tcPr>
            <w:tcW w:w="716" w:type="dxa"/>
            <w:tcBorders>
              <w:top w:val="nil"/>
              <w:left w:val="nil"/>
              <w:bottom w:val="single" w:color="auto" w:sz="4" w:space="0"/>
              <w:right w:val="single" w:color="auto" w:sz="4" w:space="0"/>
            </w:tcBorders>
            <w:noWrap w:val="0"/>
            <w:vAlign w:val="center"/>
          </w:tcPr>
          <w:p w14:paraId="148DC9E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57176A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0FD1075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10BD9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7BA5E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670CB73">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14:paraId="1A5CEE3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B7F6A0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5ED7EFA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p>
          <w:p w14:paraId="5568928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r>
              <w:rPr>
                <w:rFonts w:hint="eastAsia" w:ascii="仿宋_GB2312" w:hAnsi="仿宋_GB2312" w:eastAsia="仿宋_GB2312" w:cs="仿宋_GB2312"/>
                <w:spacing w:val="-11"/>
                <w:sz w:val="20"/>
                <w:szCs w:val="20"/>
                <w:lang w:val="en-US" w:eastAsia="zh-CN"/>
              </w:rPr>
              <w:t>土地资源、水资源、电力等资源能得到</w:t>
            </w:r>
          </w:p>
          <w:p w14:paraId="2BC0639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最大化利用</w:t>
            </w:r>
            <w:r>
              <w:rPr>
                <w:rFonts w:hint="eastAsia" w:eastAsia="仿宋_GB2312"/>
                <w:kern w:val="0"/>
                <w:sz w:val="24"/>
                <w:lang w:val="en-US" w:eastAsia="zh-CN"/>
              </w:rPr>
              <w:br w:type="textWrapping"/>
            </w:r>
          </w:p>
        </w:tc>
        <w:tc>
          <w:tcPr>
            <w:tcW w:w="1311" w:type="dxa"/>
            <w:tcBorders>
              <w:top w:val="nil"/>
              <w:left w:val="nil"/>
              <w:bottom w:val="single" w:color="auto" w:sz="4" w:space="0"/>
              <w:right w:val="single" w:color="auto" w:sz="4" w:space="0"/>
            </w:tcBorders>
            <w:shd w:val="clear" w:color="auto" w:fill="auto"/>
            <w:noWrap w:val="0"/>
            <w:vAlign w:val="center"/>
          </w:tcPr>
          <w:p w14:paraId="3D889A10">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1269" w:type="dxa"/>
            <w:tcBorders>
              <w:top w:val="nil"/>
              <w:left w:val="nil"/>
              <w:bottom w:val="single" w:color="auto" w:sz="4" w:space="0"/>
              <w:right w:val="single" w:color="auto" w:sz="4" w:space="0"/>
            </w:tcBorders>
            <w:noWrap w:val="0"/>
            <w:vAlign w:val="center"/>
          </w:tcPr>
          <w:p w14:paraId="43884A2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716" w:type="dxa"/>
            <w:tcBorders>
              <w:top w:val="nil"/>
              <w:left w:val="nil"/>
              <w:bottom w:val="single" w:color="auto" w:sz="4" w:space="0"/>
              <w:right w:val="single" w:color="auto" w:sz="4" w:space="0"/>
            </w:tcBorders>
            <w:noWrap w:val="0"/>
            <w:vAlign w:val="center"/>
          </w:tcPr>
          <w:p w14:paraId="04F409F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4F505C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12B2BB9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BFE196">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5BCF097B">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22A47A">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14:paraId="0ABB3AFC">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722566B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节能高效的社会环境</w:t>
            </w:r>
          </w:p>
        </w:tc>
        <w:tc>
          <w:tcPr>
            <w:tcW w:w="1311" w:type="dxa"/>
            <w:tcBorders>
              <w:top w:val="nil"/>
              <w:left w:val="nil"/>
              <w:bottom w:val="single" w:color="auto" w:sz="4" w:space="0"/>
              <w:right w:val="single" w:color="auto" w:sz="4" w:space="0"/>
            </w:tcBorders>
            <w:shd w:val="clear" w:color="auto" w:fill="auto"/>
            <w:noWrap w:val="0"/>
            <w:vAlign w:val="center"/>
          </w:tcPr>
          <w:p w14:paraId="226E1B81">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1269" w:type="dxa"/>
            <w:tcBorders>
              <w:top w:val="nil"/>
              <w:left w:val="nil"/>
              <w:bottom w:val="single" w:color="auto" w:sz="4" w:space="0"/>
              <w:right w:val="single" w:color="auto" w:sz="4" w:space="0"/>
            </w:tcBorders>
            <w:noWrap w:val="0"/>
            <w:vAlign w:val="center"/>
          </w:tcPr>
          <w:p w14:paraId="427F23C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716" w:type="dxa"/>
            <w:tcBorders>
              <w:top w:val="nil"/>
              <w:left w:val="nil"/>
              <w:bottom w:val="single" w:color="auto" w:sz="4" w:space="0"/>
              <w:right w:val="single" w:color="auto" w:sz="4" w:space="0"/>
            </w:tcBorders>
            <w:noWrap w:val="0"/>
            <w:vAlign w:val="center"/>
          </w:tcPr>
          <w:p w14:paraId="5E59B07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1CB576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6B3BEE6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743535">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5517352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1CAE50D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DC48B1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620B7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single" w:color="auto" w:sz="4" w:space="0"/>
              <w:left w:val="nil"/>
              <w:bottom w:val="single" w:color="auto" w:sz="4" w:space="0"/>
              <w:right w:val="single" w:color="auto" w:sz="4" w:space="0"/>
            </w:tcBorders>
            <w:noWrap w:val="0"/>
            <w:vAlign w:val="center"/>
          </w:tcPr>
          <w:p w14:paraId="12A21A5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shd w:val="clear" w:color="auto" w:fill="auto"/>
            <w:noWrap w:val="0"/>
            <w:vAlign w:val="center"/>
          </w:tcPr>
          <w:p w14:paraId="7F027D21">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p>
          <w:p w14:paraId="5C1CAA4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r>
              <w:rPr>
                <w:rFonts w:hint="eastAsia" w:ascii="仿宋_GB2312" w:hAnsi="仿宋_GB2312" w:eastAsia="仿宋_GB2312" w:cs="仿宋_GB2312"/>
                <w:spacing w:val="-11"/>
                <w:sz w:val="20"/>
                <w:szCs w:val="20"/>
                <w:lang w:val="en-US" w:eastAsia="zh-CN"/>
              </w:rPr>
              <w:t>社会公众满意度</w:t>
            </w:r>
          </w:p>
          <w:p w14:paraId="3F364B90">
            <w:pPr>
              <w:spacing w:before="240" w:line="81" w:lineRule="exact"/>
              <w:ind w:left="744" w:leftChars="0"/>
              <w:jc w:val="center"/>
              <w:rPr>
                <w:rFonts w:hint="eastAsia" w:ascii="仿宋_GB2312" w:hAnsi="仿宋_GB2312" w:eastAsia="仿宋_GB2312" w:cs="仿宋_GB2312"/>
                <w:kern w:val="0"/>
                <w:sz w:val="22"/>
                <w:szCs w:val="22"/>
                <w:lang w:val="en-US" w:eastAsia="zh-CN" w:bidi="ar-SA"/>
              </w:rPr>
            </w:pPr>
          </w:p>
        </w:tc>
        <w:tc>
          <w:tcPr>
            <w:tcW w:w="1311" w:type="dxa"/>
            <w:tcBorders>
              <w:top w:val="nil"/>
              <w:left w:val="nil"/>
              <w:bottom w:val="single" w:color="auto" w:sz="4" w:space="0"/>
              <w:right w:val="single" w:color="auto" w:sz="4" w:space="0"/>
            </w:tcBorders>
            <w:shd w:val="clear" w:color="auto" w:fill="auto"/>
            <w:noWrap w:val="0"/>
            <w:vAlign w:val="center"/>
          </w:tcPr>
          <w:p w14:paraId="7C6FF581">
            <w:pPr>
              <w:widowControl/>
              <w:jc w:val="center"/>
              <w:rPr>
                <w:rFonts w:hint="eastAsia" w:ascii="仿宋_GB2312" w:hAnsi="仿宋_GB2312" w:eastAsia="仿宋_GB2312" w:cs="仿宋_GB2312"/>
                <w:sz w:val="24"/>
                <w:szCs w:val="24"/>
                <w:lang w:eastAsia="zh-CN"/>
              </w:rPr>
            </w:pPr>
          </w:p>
          <w:p w14:paraId="2EA251AE">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14:paraId="432FBB54">
            <w:pPr>
              <w:pStyle w:val="11"/>
              <w:jc w:val="center"/>
              <w:rPr>
                <w:rFonts w:hint="eastAsia" w:ascii="仿宋_GB2312" w:hAnsi="仿宋_GB2312" w:eastAsia="仿宋_GB2312" w:cs="仿宋_GB2312"/>
                <w:snapToGrid w:val="0"/>
                <w:color w:val="000000"/>
                <w:kern w:val="0"/>
                <w:sz w:val="22"/>
                <w:szCs w:val="22"/>
                <w:lang w:val="en-US" w:eastAsia="en-US" w:bidi="ar-SA"/>
              </w:rPr>
            </w:pPr>
          </w:p>
        </w:tc>
        <w:tc>
          <w:tcPr>
            <w:tcW w:w="1269" w:type="dxa"/>
            <w:tcBorders>
              <w:top w:val="nil"/>
              <w:left w:val="nil"/>
              <w:bottom w:val="single" w:color="auto" w:sz="4" w:space="0"/>
              <w:right w:val="single" w:color="auto" w:sz="4" w:space="0"/>
            </w:tcBorders>
            <w:noWrap w:val="0"/>
            <w:vAlign w:val="center"/>
          </w:tcPr>
          <w:p w14:paraId="5C1592E0">
            <w:pPr>
              <w:widowControl/>
              <w:jc w:val="center"/>
              <w:rPr>
                <w:rFonts w:hint="eastAsia" w:ascii="仿宋_GB2312" w:hAnsi="仿宋_GB2312" w:eastAsia="仿宋_GB2312" w:cs="仿宋_GB2312"/>
                <w:sz w:val="24"/>
                <w:szCs w:val="24"/>
                <w:lang w:eastAsia="zh-CN"/>
              </w:rPr>
            </w:pPr>
          </w:p>
          <w:p w14:paraId="61E82940">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14:paraId="7A0BF8E8">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6ADD382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5F713F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1E9F46C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9CC79D">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14:paraId="08F9D5E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24BBAD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14:paraId="638B8D4F">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18FC373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pacing w:val="-11"/>
                <w:sz w:val="20"/>
                <w:szCs w:val="20"/>
                <w:lang w:val="en-US" w:eastAsia="zh-CN"/>
              </w:rPr>
              <w:t>服务对象满意度</w:t>
            </w:r>
          </w:p>
        </w:tc>
        <w:tc>
          <w:tcPr>
            <w:tcW w:w="1311" w:type="dxa"/>
            <w:tcBorders>
              <w:top w:val="nil"/>
              <w:left w:val="nil"/>
              <w:bottom w:val="single" w:color="auto" w:sz="4" w:space="0"/>
              <w:right w:val="single" w:color="auto" w:sz="4" w:space="0"/>
            </w:tcBorders>
            <w:shd w:val="clear" w:color="auto" w:fill="auto"/>
            <w:noWrap w:val="0"/>
            <w:vAlign w:val="center"/>
          </w:tcPr>
          <w:p w14:paraId="10C08FE9">
            <w:pPr>
              <w:widowControl/>
              <w:jc w:val="center"/>
              <w:rPr>
                <w:rFonts w:hint="eastAsia" w:ascii="仿宋_GB2312" w:hAnsi="仿宋_GB2312" w:eastAsia="仿宋_GB2312" w:cs="仿宋_GB2312"/>
                <w:sz w:val="24"/>
                <w:szCs w:val="24"/>
                <w:lang w:eastAsia="zh-CN"/>
              </w:rPr>
            </w:pPr>
          </w:p>
          <w:p w14:paraId="29EE69E2">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14:paraId="235713CB">
            <w:pPr>
              <w:pStyle w:val="11"/>
              <w:jc w:val="center"/>
              <w:rPr>
                <w:rFonts w:hint="eastAsia" w:ascii="仿宋_GB2312" w:hAnsi="仿宋_GB2312" w:eastAsia="仿宋_GB2312" w:cs="仿宋_GB2312"/>
                <w:snapToGrid w:val="0"/>
                <w:color w:val="000000"/>
                <w:kern w:val="0"/>
                <w:sz w:val="22"/>
                <w:szCs w:val="22"/>
                <w:lang w:val="en-US" w:eastAsia="en-US" w:bidi="ar-SA"/>
              </w:rPr>
            </w:pPr>
          </w:p>
        </w:tc>
        <w:tc>
          <w:tcPr>
            <w:tcW w:w="1269" w:type="dxa"/>
            <w:tcBorders>
              <w:top w:val="nil"/>
              <w:left w:val="nil"/>
              <w:bottom w:val="single" w:color="auto" w:sz="4" w:space="0"/>
              <w:right w:val="single" w:color="auto" w:sz="4" w:space="0"/>
            </w:tcBorders>
            <w:shd w:val="clear" w:color="auto" w:fill="auto"/>
            <w:noWrap w:val="0"/>
            <w:vAlign w:val="center"/>
          </w:tcPr>
          <w:p w14:paraId="4136CAB8">
            <w:pPr>
              <w:widowControl/>
              <w:jc w:val="center"/>
              <w:rPr>
                <w:rFonts w:hint="eastAsia" w:ascii="仿宋_GB2312" w:hAnsi="仿宋_GB2312" w:eastAsia="仿宋_GB2312" w:cs="仿宋_GB2312"/>
                <w:sz w:val="24"/>
                <w:szCs w:val="24"/>
                <w:lang w:eastAsia="zh-CN"/>
              </w:rPr>
            </w:pPr>
          </w:p>
          <w:p w14:paraId="236A61B8">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90%</w:t>
            </w:r>
          </w:p>
          <w:p w14:paraId="3FAAF06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p>
        </w:tc>
        <w:tc>
          <w:tcPr>
            <w:tcW w:w="716" w:type="dxa"/>
            <w:tcBorders>
              <w:top w:val="nil"/>
              <w:left w:val="nil"/>
              <w:bottom w:val="single" w:color="auto" w:sz="4" w:space="0"/>
              <w:right w:val="single" w:color="auto" w:sz="4" w:space="0"/>
            </w:tcBorders>
            <w:shd w:val="clear" w:color="auto" w:fill="auto"/>
            <w:noWrap w:val="0"/>
            <w:vAlign w:val="center"/>
          </w:tcPr>
          <w:p w14:paraId="764F2FD7">
            <w:pPr>
              <w:widowControl/>
              <w:jc w:val="center"/>
              <w:rPr>
                <w:rFonts w:hint="eastAsia" w:ascii="仿宋_GB2312" w:hAnsi="仿宋_GB2312" w:eastAsia="仿宋_GB2312" w:cs="仿宋_GB2312"/>
                <w:sz w:val="24"/>
                <w:szCs w:val="24"/>
                <w:lang w:val="en-US" w:eastAsia="zh-CN"/>
              </w:rPr>
            </w:pPr>
          </w:p>
          <w:p w14:paraId="4CCE4C9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p w14:paraId="0CE13032">
            <w:pPr>
              <w:pStyle w:val="11"/>
              <w:jc w:val="center"/>
              <w:rPr>
                <w:rFonts w:hint="eastAsia" w:ascii="仿宋_GB2312" w:hAnsi="仿宋_GB2312" w:eastAsia="仿宋_GB2312" w:cs="仿宋_GB2312"/>
                <w:snapToGrid w:val="0"/>
                <w:color w:val="000000"/>
                <w:kern w:val="0"/>
                <w:sz w:val="22"/>
                <w:szCs w:val="22"/>
                <w:lang w:val="en-US" w:eastAsia="en-US" w:bidi="ar-SA"/>
              </w:rPr>
            </w:pPr>
          </w:p>
        </w:tc>
        <w:tc>
          <w:tcPr>
            <w:tcW w:w="873" w:type="dxa"/>
            <w:tcBorders>
              <w:top w:val="nil"/>
              <w:left w:val="nil"/>
              <w:bottom w:val="single" w:color="auto" w:sz="4" w:space="0"/>
              <w:right w:val="single" w:color="auto" w:sz="4" w:space="0"/>
            </w:tcBorders>
            <w:noWrap w:val="0"/>
            <w:vAlign w:val="center"/>
          </w:tcPr>
          <w:p w14:paraId="43038BF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w:t>
            </w:r>
          </w:p>
        </w:tc>
        <w:tc>
          <w:tcPr>
            <w:tcW w:w="1752" w:type="dxa"/>
            <w:tcBorders>
              <w:top w:val="nil"/>
              <w:left w:val="nil"/>
              <w:bottom w:val="single" w:color="auto" w:sz="4" w:space="0"/>
              <w:right w:val="single" w:color="auto" w:sz="4" w:space="0"/>
            </w:tcBorders>
            <w:noWrap w:val="0"/>
            <w:vAlign w:val="center"/>
          </w:tcPr>
          <w:p w14:paraId="25B1D72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141D7E">
        <w:tblPrEx>
          <w:tblCellMar>
            <w:top w:w="0" w:type="dxa"/>
            <w:left w:w="108" w:type="dxa"/>
            <w:bottom w:w="0" w:type="dxa"/>
            <w:right w:w="108" w:type="dxa"/>
          </w:tblCellMar>
        </w:tblPrEx>
        <w:trPr>
          <w:trHeight w:val="475"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33BFD05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14:paraId="238B1BE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0073F59E">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94.16</w:t>
            </w:r>
          </w:p>
        </w:tc>
        <w:tc>
          <w:tcPr>
            <w:tcW w:w="1752" w:type="dxa"/>
            <w:tcBorders>
              <w:top w:val="nil"/>
              <w:left w:val="nil"/>
              <w:bottom w:val="single" w:color="auto" w:sz="4" w:space="0"/>
              <w:right w:val="single" w:color="auto" w:sz="4" w:space="0"/>
            </w:tcBorders>
            <w:noWrap w:val="0"/>
            <w:vAlign w:val="center"/>
          </w:tcPr>
          <w:p w14:paraId="1F33535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EA6AADE">
      <w:pPr>
        <w:spacing w:before="172" w:line="174" w:lineRule="auto"/>
        <w:jc w:val="center"/>
        <w:rPr>
          <w:rFonts w:hint="eastAsia" w:ascii="方正小标宋简体" w:hAnsi="方正小标宋简体" w:eastAsia="方正小标宋简体" w:cs="方正小标宋简体"/>
          <w:spacing w:val="7"/>
          <w:sz w:val="40"/>
          <w:szCs w:val="40"/>
        </w:rPr>
      </w:pPr>
    </w:p>
    <w:p w14:paraId="0873D728">
      <w:pPr>
        <w:spacing w:after="120" w:afterLines="50" w:line="600" w:lineRule="exact"/>
        <w:jc w:val="left"/>
        <w:rPr>
          <w:rFonts w:hint="eastAsia" w:ascii="黑体" w:hAnsi="黑体" w:eastAsia="黑体" w:cs="黑体"/>
          <w:sz w:val="32"/>
          <w:szCs w:val="32"/>
          <w:highlight w:val="none"/>
        </w:rPr>
      </w:pPr>
    </w:p>
    <w:p w14:paraId="5154CE5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val="en-US" w:eastAsia="zh-CN"/>
        </w:rPr>
      </w:pPr>
      <w:bookmarkStart w:id="0" w:name="_GoBack"/>
      <w:bookmarkEnd w:id="0"/>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D7F4">
    <w:pPr>
      <w:pStyle w:val="6"/>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2FAE5">
                          <w:pPr>
                            <w:pStyle w:val="6"/>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3</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32FAE5">
                    <w:pPr>
                      <w:pStyle w:val="6"/>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3</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076AB"/>
    <w:multiLevelType w:val="singleLevel"/>
    <w:tmpl w:val="87F076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12829D5"/>
    <w:rsid w:val="0AD2059A"/>
    <w:rsid w:val="0F864CFF"/>
    <w:rsid w:val="0FCF3D48"/>
    <w:rsid w:val="115C4D89"/>
    <w:rsid w:val="11E43EEE"/>
    <w:rsid w:val="13D12586"/>
    <w:rsid w:val="17FD624A"/>
    <w:rsid w:val="19A45D64"/>
    <w:rsid w:val="21530FB4"/>
    <w:rsid w:val="21B2392D"/>
    <w:rsid w:val="240E19B0"/>
    <w:rsid w:val="27A45C78"/>
    <w:rsid w:val="2A187481"/>
    <w:rsid w:val="30F156AA"/>
    <w:rsid w:val="31384E58"/>
    <w:rsid w:val="31B74213"/>
    <w:rsid w:val="37C045BB"/>
    <w:rsid w:val="37CF559A"/>
    <w:rsid w:val="393C3311"/>
    <w:rsid w:val="3DED72AC"/>
    <w:rsid w:val="4E661988"/>
    <w:rsid w:val="520D2F59"/>
    <w:rsid w:val="55151ACD"/>
    <w:rsid w:val="564F25A3"/>
    <w:rsid w:val="57D93DB3"/>
    <w:rsid w:val="59886344"/>
    <w:rsid w:val="5ADE6434"/>
    <w:rsid w:val="5C1763B9"/>
    <w:rsid w:val="5EA16F23"/>
    <w:rsid w:val="5F37044D"/>
    <w:rsid w:val="61755807"/>
    <w:rsid w:val="61907656"/>
    <w:rsid w:val="63B11067"/>
    <w:rsid w:val="64D229C1"/>
    <w:rsid w:val="71DB2045"/>
    <w:rsid w:val="722E06E6"/>
    <w:rsid w:val="72C81993"/>
    <w:rsid w:val="76355896"/>
    <w:rsid w:val="7A136039"/>
    <w:rsid w:val="7EEB061E"/>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正文2"/>
    <w:basedOn w:val="1"/>
    <w:qFormat/>
    <w:uiPriority w:val="0"/>
    <w:pPr>
      <w:spacing w:line="360" w:lineRule="auto"/>
      <w:ind w:firstLine="420" w:firstLineChars="200"/>
    </w:p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3341</Words>
  <Characters>3537</Characters>
  <Lines>0</Lines>
  <Paragraphs>0</Paragraphs>
  <TotalTime>26</TotalTime>
  <ScaleCrop>false</ScaleCrop>
  <LinksUpToDate>false</LinksUpToDate>
  <CharactersWithSpaces>3649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Administrator</cp:lastModifiedBy>
  <cp:lastPrinted>2025-06-25T09:13:00Z</cp:lastPrinted>
  <dcterms:modified xsi:type="dcterms:W3CDTF">2025-06-26T07:21:34Z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6182D3A10D564617983F46DEE354AEAF</vt:lpwstr>
  </property>
  <property fmtid="{D5CDD505-2E9C-101B-9397-08002B2CF9AE}" pid="4" name="KSOTemplateDocerSaveRecord">
    <vt:lpwstr>eyJoZGlkIjoiZDExY2QyYzQxM2VhOGNjZGM2ZjYxOGMzZmM3MTZkYmIifQ==</vt:lpwstr>
  </property>
</Properties>
</file>