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ind w:firstLine="1800" w:firstLineChars="500"/>
        <w:jc w:val="both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年度项目支出绩效自评表</w:t>
      </w:r>
    </w:p>
    <w:tbl>
      <w:tblPr>
        <w:tblStyle w:val="2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城市防洪大堤清障保洁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岳阳市水利局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岳阳市长江洞庭湖水利事务中心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00" w:firstLineChars="2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 xml:space="preserve"> 18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00" w:firstLineChars="2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 xml:space="preserve">  18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城区防洪大堤进行清障除杂、部分堤坡六方块水毁修复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垃圾清理运输至环卫指定地点，绿色网格覆盖草坪。部分水毁六方块进行修复。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  <w:t>城区防洪大堤清障保洁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18万元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18万元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保持大堤干净整洁，保证堤坡及堤面道路正常通行。 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干净整洁，正常通行。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干净整洁，正常通行。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  <w:t>长期保证大堤干净整洁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全年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全年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项目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经费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支出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控制在预算内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完成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完成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确保安全度汛。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确保河流治理段防洪安全及城市供水及应急水源的安全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落实水生态文明建设及改善水生态环境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改善水生态环境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完成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完成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社会公众满意度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</w:tbl>
    <w:p>
      <w:pP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</w:pPr>
      <w:r>
        <w:rPr>
          <w:rFonts w:hint="default" w:ascii="Times New Roman" w:hAnsi="Times New Roman" w:eastAsia="仿宋_GB2312" w:cs="Times New Roman"/>
          <w:sz w:val="18"/>
          <w:szCs w:val="18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  <w:t>，其他事业发展类资金…各一张表。</w:t>
      </w:r>
    </w:p>
    <w:p>
      <w:pP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eastAsia="仿宋_GB2312" w:cs="Times New Roman"/>
          <w:sz w:val="22"/>
          <w:szCs w:val="22"/>
          <w:highlight w:val="none"/>
          <w:lang w:eastAsia="zh-CN"/>
        </w:rPr>
        <w:t>余萍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填报日期：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>2025-5-6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联系电话：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>13975073918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E37A2E"/>
    <w:rsid w:val="0AE37A2E"/>
    <w:rsid w:val="4C5E081A"/>
    <w:rsid w:val="6B7E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2025-04-15T00:49:00Z</dcterms:created>
  <dc:creator>Administrator</dc:creator>
  <cp:lastModifiedBy>Administrator</cp:lastModifiedBy>
  <dcterms:modified xsi:type="dcterms:W3CDTF">2025-06-23T02:47:35Z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A61EA908673D4BD0A16773F0522E7F20</vt:lpwstr>
  </property>
</Properties>
</file>