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030B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14:paraId="0B6103A3">
      <w:pPr>
        <w:pStyle w:val="2"/>
        <w:ind w:left="0" w:leftChars="0" w:firstLine="0" w:firstLineChars="0"/>
        <w:rPr>
          <w:rFonts w:hint="default"/>
          <w:color w:val="000000" w:themeColor="text1"/>
          <w14:textFill>
            <w14:solidFill>
              <w14:schemeClr w14:val="tx1"/>
            </w14:solidFill>
          </w14:textFill>
        </w:rPr>
      </w:pPr>
    </w:p>
    <w:p w14:paraId="2790F8FB">
      <w:pPr>
        <w:pStyle w:val="2"/>
        <w:ind w:left="0" w:leftChars="0" w:firstLine="0" w:firstLineChars="0"/>
        <w:rPr>
          <w:rFonts w:hint="default"/>
          <w:color w:val="000000" w:themeColor="text1"/>
          <w14:textFill>
            <w14:solidFill>
              <w14:schemeClr w14:val="tx1"/>
            </w14:solidFill>
          </w14:textFill>
        </w:rPr>
      </w:pPr>
    </w:p>
    <w:p w14:paraId="2880F1DD">
      <w:pPr>
        <w:pStyle w:val="2"/>
        <w:ind w:left="0" w:leftChars="0" w:firstLine="0" w:firstLineChars="0"/>
        <w:rPr>
          <w:rFonts w:hint="default"/>
          <w:color w:val="000000" w:themeColor="text1"/>
          <w14:textFill>
            <w14:solidFill>
              <w14:schemeClr w14:val="tx1"/>
            </w14:solidFill>
          </w14:textFill>
        </w:rPr>
      </w:pPr>
    </w:p>
    <w:p w14:paraId="53F29034">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t>202</w:t>
      </w:r>
      <w:r>
        <w:rPr>
          <w:rFonts w:hint="eastAsia" w:ascii="Times New Roman" w:hAnsi="Times New Roman" w:eastAsia="方正小标宋简体" w:cs="Times New Roman"/>
          <w:b/>
          <w:bCs/>
          <w:color w:val="000000" w:themeColor="text1"/>
          <w:sz w:val="44"/>
          <w:szCs w:val="44"/>
          <w:highlight w:val="none"/>
          <w:lang w:val="en-US" w:eastAsia="zh-CN"/>
          <w14:textFill>
            <w14:solidFill>
              <w14:schemeClr w14:val="tx1"/>
            </w14:solidFill>
          </w14:textFill>
        </w:rPr>
        <w:t>4</w:t>
      </w:r>
      <w:r>
        <w:rPr>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t>年度岳阳市住房保障服务中心整体支出绩效自评报告</w:t>
      </w:r>
    </w:p>
    <w:p w14:paraId="3F6983A3">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14:paraId="3A61F87C">
      <w:pPr>
        <w:jc w:val="both"/>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4694F7BD">
      <w:pPr>
        <w:pStyle w:val="2"/>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4B8639B7">
      <w:pPr>
        <w:pStyle w:val="2"/>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0F892107">
      <w:pPr>
        <w:pStyle w:val="2"/>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7CC631D2">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769DB297">
      <w:pPr>
        <w:jc w:val="both"/>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0CCD7443">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55785A1B">
      <w:pPr>
        <w:pStyle w:val="2"/>
        <w:rPr>
          <w:rFonts w:hint="default"/>
          <w:color w:val="000000" w:themeColor="text1"/>
          <w14:textFill>
            <w14:solidFill>
              <w14:schemeClr w14:val="tx1"/>
            </w14:solidFill>
          </w14:textFill>
        </w:rPr>
      </w:pPr>
    </w:p>
    <w:p w14:paraId="78D53828">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pPr>
    </w:p>
    <w:p w14:paraId="262F1AD0">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单位名称：</w:t>
      </w: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岳阳市住房保障服务中心</w:t>
      </w:r>
    </w:p>
    <w:p w14:paraId="25579C1E">
      <w:pPr>
        <w:keepNext w:val="0"/>
        <w:keepLines w:val="0"/>
        <w:pageBreakBefore w:val="0"/>
        <w:widowControl w:val="0"/>
        <w:kinsoku/>
        <w:wordWrap/>
        <w:overflowPunct/>
        <w:topLinePunct w:val="0"/>
        <w:autoSpaceDE/>
        <w:autoSpaceDN/>
        <w:bidi w:val="0"/>
        <w:adjustRightInd/>
        <w:snapToGrid/>
        <w:spacing w:line="900" w:lineRule="exact"/>
        <w:ind w:left="-280" w:leftChars="-100" w:right="-92" w:rightChars="-33" w:firstLine="0" w:firstLineChars="0"/>
        <w:jc w:val="center"/>
        <w:textAlignment w:val="auto"/>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pP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2025</w:t>
      </w: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年</w:t>
      </w: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 xml:space="preserve"> 4</w:t>
      </w: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月</w:t>
      </w:r>
      <w:r>
        <w:rPr>
          <w:rFonts w:hint="eastAsia" w:ascii="Times New Roman" w:hAnsi="Times New Roman" w:eastAsia="方正小标宋简体" w:cs="Times New Roman"/>
          <w:b/>
          <w:bCs/>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小标宋简体" w:cs="Times New Roman"/>
          <w:b/>
          <w:bCs/>
          <w:color w:val="000000" w:themeColor="text1"/>
          <w:sz w:val="32"/>
          <w:szCs w:val="32"/>
          <w:highlight w:val="none"/>
          <w14:textFill>
            <w14:solidFill>
              <w14:schemeClr w14:val="tx1"/>
            </w14:solidFill>
          </w14:textFill>
        </w:rPr>
        <w:t>日</w:t>
      </w:r>
    </w:p>
    <w:p w14:paraId="7FCC56AF">
      <w:pPr>
        <w:spacing w:line="360" w:lineRule="auto"/>
        <w:ind w:left="-280" w:leftChars="-100" w:right="-92" w:rightChars="-33"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70889B7E">
      <w:pPr>
        <w:ind w:left="-280" w:leftChars="-100" w:right="-92" w:rightChars="-33" w:firstLine="0" w:firstLine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202</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年度</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岳阳市住房保障服务中心</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整体支出</w:t>
      </w:r>
    </w:p>
    <w:p w14:paraId="023347E3">
      <w:pPr>
        <w:jc w:val="center"/>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绩效自评报告</w:t>
      </w:r>
    </w:p>
    <w:p w14:paraId="4C2A05F7">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基本情况</w:t>
      </w:r>
    </w:p>
    <w:p w14:paraId="11C5F96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（一）</w:t>
      </w: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部门职能概述</w:t>
      </w:r>
    </w:p>
    <w:p w14:paraId="382E957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岳阳市住房保障服务中心为市住房和城乡建设局所属副处级公益一类事业单位。主要职能职责有：</w:t>
      </w:r>
    </w:p>
    <w:p w14:paraId="23AEBF6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一</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为机关提供支持保障职能</w:t>
      </w:r>
    </w:p>
    <w:p w14:paraId="4F6B128F">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参与拟定住房保障的地方性法规、规章、政策以及住房保障、物业管理、白蚁防治、房屋租赁、提质改造、城市人居环境更新、专项维修资金管理的发展规划、年度计划的事务性工作。</w:t>
      </w:r>
    </w:p>
    <w:p w14:paraId="7818B089">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负责全市住房保障、物业管理、白蚁防治、房屋租赁、提质改造等行业管理、业务指导、监督考核的行政辅助工作。</w:t>
      </w:r>
    </w:p>
    <w:p w14:paraId="2F627C69">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负责市本级保障性住房建设项目计划、资金计划、资金筹集以及项目建设管理的事务性工作。</w:t>
      </w:r>
    </w:p>
    <w:p w14:paraId="6F03D420">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负责市中心城区（包括岳阳楼区、岳阳经济技术开发区、南湖新区、城陵矶新港区，下同）经济适用房上市交易、不完全产权存量公有住房出售和政策性购房补贴、租赁补贴发放的行政辅助工作。</w:t>
      </w:r>
    </w:p>
    <w:p w14:paraId="4143DF86">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负责房屋租赁登记备案、房屋租赁合同网签、房屋指导价格发布、房屋租赁价格监测的行政辅助工作。</w:t>
      </w:r>
    </w:p>
    <w:p w14:paraId="0E03DED5">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负责市本级和城陵矶新港区老旧小区、棚户区、旧城区改造等城市人居环境更新的事务性工作。</w:t>
      </w:r>
    </w:p>
    <w:p w14:paraId="6EB70BE2">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负责全市物业服务、房屋租赁服务质量考评体系和物业、中介服务企业信用信息评价等诚信体系建设的行政辅助工作。</w:t>
      </w:r>
    </w:p>
    <w:p w14:paraId="7236F384">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负责住房保障、物业管理、白蚁防治领域行政检查和违法案件线索移送的行政辅助工作。</w:t>
      </w:r>
    </w:p>
    <w:p w14:paraId="26766FCF">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负责市中心城区物业专项维修基金的归集、管理、使用监督以及物业管理招投标合同备案的行政辅助工作。</w:t>
      </w:r>
    </w:p>
    <w:p w14:paraId="5035B40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二</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面向社会提供公益服务职能</w:t>
      </w:r>
    </w:p>
    <w:p w14:paraId="4398E90F">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负责市本级和城陵矶新港区公共租赁住房、保障性租赁住房、共有产权房等保障性住房运营管理和维修改造的事务性工作。</w:t>
      </w:r>
    </w:p>
    <w:p w14:paraId="3E42AD90">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负责市本级政府投资建设的各类保障性住房和市政府移交授权管理的存量公房资产运营管理的事务性工作。</w:t>
      </w:r>
    </w:p>
    <w:p w14:paraId="38F8D8E7">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负责住房保障、房屋租赁、城市人居环境更新、城市提质改造、物业维修资金等信息平台建设、数据统计分析、信息发布等事务性工作；负责市本级住房保障档案管理和信息查询事务性工作。</w:t>
      </w:r>
    </w:p>
    <w:p w14:paraId="4FD72CF7">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承担市中心城区房屋白蚁防治、白蚁防治技术推广、白蚁防治科研、发布蚁害监测的事务性工作。</w:t>
      </w:r>
    </w:p>
    <w:p w14:paraId="2FC0456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完成市住房和城乡建设局交办的其它任务。</w:t>
      </w:r>
    </w:p>
    <w:p w14:paraId="1458F44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（二）机构设置</w:t>
      </w:r>
    </w:p>
    <w:p w14:paraId="68A5B8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14:textFill>
            <w14:solidFill>
              <w14:schemeClr w14:val="tx1"/>
            </w14:solidFill>
          </w14:textFill>
        </w:rPr>
        <w:t>根据中共岳阳市委机构编制委员会</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下发的《</w:t>
      </w:r>
      <w:r>
        <w:rPr>
          <w:rFonts w:hint="default" w:ascii="Times New Roman" w:hAnsi="Times New Roman" w:eastAsia="仿宋" w:cs="Times New Roman"/>
          <w:color w:val="000000" w:themeColor="text1"/>
          <w:sz w:val="32"/>
          <w:szCs w:val="32"/>
          <w:u w:val="none"/>
          <w14:textFill>
            <w14:solidFill>
              <w14:schemeClr w14:val="tx1"/>
            </w14:solidFill>
          </w14:textFill>
        </w:rPr>
        <w:t>关于印发</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&lt;</w:t>
      </w:r>
      <w:r>
        <w:rPr>
          <w:rFonts w:hint="default" w:ascii="Times New Roman" w:hAnsi="Times New Roman" w:eastAsia="仿宋" w:cs="Times New Roman"/>
          <w:color w:val="000000" w:themeColor="text1"/>
          <w:sz w:val="32"/>
          <w:szCs w:val="32"/>
          <w:u w:val="none"/>
          <w14:textFill>
            <w14:solidFill>
              <w14:schemeClr w14:val="tx1"/>
            </w14:solidFill>
          </w14:textFill>
        </w:rPr>
        <w:t>岳阳市住房保障服务中心职能配置、内设机构和人员编制规定</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&gt;</w:t>
      </w:r>
      <w:r>
        <w:rPr>
          <w:rFonts w:hint="default" w:ascii="Times New Roman" w:hAnsi="Times New Roman" w:eastAsia="仿宋" w:cs="Times New Roman"/>
          <w:color w:val="000000" w:themeColor="text1"/>
          <w:sz w:val="32"/>
          <w:szCs w:val="32"/>
          <w:u w:val="none"/>
          <w14:textFill>
            <w14:solidFill>
              <w14:schemeClr w14:val="tx1"/>
            </w14:solidFill>
          </w14:textFill>
        </w:rPr>
        <w:t>的通知</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（岳编办发〔2021〕25号）</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文件</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14:textFill>
            <w14:solidFill>
              <w14:schemeClr w14:val="tx1"/>
            </w14:solidFill>
          </w14:textFill>
        </w:rPr>
        <w:t>我中心全额事业编制7</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 w:cs="Times New Roman"/>
          <w:color w:val="000000" w:themeColor="text1"/>
          <w:sz w:val="32"/>
          <w:szCs w:val="32"/>
          <w:u w:val="none"/>
          <w14:textFill>
            <w14:solidFill>
              <w14:schemeClr w14:val="tx1"/>
            </w14:solidFill>
          </w14:textFill>
        </w:rPr>
        <w:t>人，</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在职人员</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7</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人，</w:t>
      </w:r>
      <w:r>
        <w:rPr>
          <w:rFonts w:hint="default" w:ascii="Times New Roman" w:hAnsi="Times New Roman" w:eastAsia="仿宋" w:cs="Times New Roman"/>
          <w:color w:val="000000" w:themeColor="text1"/>
          <w:sz w:val="32"/>
          <w:szCs w:val="32"/>
          <w:u w:val="none"/>
          <w14:textFill>
            <w14:solidFill>
              <w14:schemeClr w14:val="tx1"/>
            </w14:solidFill>
          </w14:textFill>
        </w:rPr>
        <w:t>退休人员1</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 w:cs="Times New Roman"/>
          <w:color w:val="000000" w:themeColor="text1"/>
          <w:sz w:val="32"/>
          <w:szCs w:val="32"/>
          <w:u w:val="none"/>
          <w14:textFill>
            <w14:solidFill>
              <w14:schemeClr w14:val="tx1"/>
            </w14:solidFill>
          </w14:textFill>
        </w:rPr>
        <w:t>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w:t>
      </w:r>
      <w:r>
        <w:rPr>
          <w:rFonts w:hint="default" w:ascii="Times New Roman" w:hAnsi="Times New Roman" w:eastAsia="仿宋" w:cs="Times New Roman"/>
          <w:color w:val="000000" w:themeColor="text1"/>
          <w:sz w:val="32"/>
          <w:szCs w:val="32"/>
          <w:u w:val="none"/>
          <w14:textFill>
            <w14:solidFill>
              <w14:schemeClr w14:val="tx1"/>
            </w14:solidFill>
          </w14:textFill>
        </w:rPr>
        <w:t>设</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个内设机构和3</w:t>
      </w:r>
      <w:r>
        <w:rPr>
          <w:rFonts w:hint="default" w:ascii="Times New Roman" w:hAnsi="Times New Roman" w:eastAsia="仿宋" w:cs="Times New Roman"/>
          <w:color w:val="000000" w:themeColor="text1"/>
          <w:sz w:val="32"/>
          <w:szCs w:val="32"/>
          <w:u w:val="none"/>
          <w14:textFill>
            <w14:solidFill>
              <w14:schemeClr w14:val="tx1"/>
            </w14:solidFill>
          </w14:textFill>
        </w:rPr>
        <w:t>个</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分支机构</w:t>
      </w:r>
      <w:r>
        <w:rPr>
          <w:rFonts w:hint="default" w:ascii="Times New Roman" w:hAnsi="Times New Roman" w:eastAsia="仿宋" w:cs="Times New Roman"/>
          <w:color w:val="000000" w:themeColor="text1"/>
          <w:sz w:val="32"/>
          <w:szCs w:val="32"/>
          <w:u w:val="none"/>
          <w14:textFill>
            <w14:solidFill>
              <w14:schemeClr w14:val="tx1"/>
            </w14:solidFill>
          </w14:textFill>
        </w:rPr>
        <w:t>。内设</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机构</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综合部</w:t>
      </w:r>
      <w:r>
        <w:rPr>
          <w:rFonts w:hint="default" w:ascii="Times New Roman" w:hAnsi="Times New Roman" w:eastAsia="仿宋" w:cs="Times New Roman"/>
          <w:color w:val="000000" w:themeColor="text1"/>
          <w:sz w:val="32"/>
          <w:szCs w:val="32"/>
          <w:u w:val="none"/>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房屋租赁服务部、财务部、信息档案服务部、白蚁防治服务部、工程建设服务部</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、党办、离退休人员服务部</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。分支机构</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市城市人居环境更新管理所、市物业和维修资金管理所和市保障性住房管理所。</w:t>
      </w:r>
    </w:p>
    <w:p w14:paraId="321514A6">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二、一般公共预算支出情况</w:t>
      </w:r>
    </w:p>
    <w:p w14:paraId="1EBFE87C">
      <w:pPr>
        <w:pStyle w:val="1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（一）基本支出情况</w:t>
      </w:r>
    </w:p>
    <w:p w14:paraId="4491A548">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，本部门一般公共预算</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基本支出</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总额</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为132</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5.17</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万元，其中人员</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经费</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支出1185.</w:t>
      </w:r>
      <w:r>
        <w:rPr>
          <w:rFonts w:hint="eastAsia"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职工基本工资、津补贴、奖金、伙食补助、绩效工资及社会保障缴费等支出；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140.02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主要用于办公费、印刷费、水电费、邮电费、物业管理费、差旅费、维修（护）费、劳务费、工会经费、福利费、公务用车运行费、其他交通费用、其他商品和服务支出等保障单位运转费用。</w:t>
      </w:r>
    </w:p>
    <w:p w14:paraId="1B5C0930">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年度</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三公</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经费支出情况：</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“三公”经费年初预算为6.00万元，其中</w:t>
      </w:r>
      <w:r>
        <w:rPr>
          <w:rFonts w:hint="eastAsia" w:ascii="仿宋_GB2312" w:hAnsi="仿宋_GB2312" w:eastAsia="仿宋_GB2312" w:cs="仿宋_GB2312"/>
          <w:bCs/>
          <w:sz w:val="32"/>
          <w:szCs w:val="32"/>
          <w:lang w:val="en-US" w:eastAsia="zh-CN"/>
        </w:rPr>
        <w:t>公务用车购置及运行维护</w:t>
      </w:r>
      <w:r>
        <w:rPr>
          <w:rFonts w:hint="eastAsia" w:ascii="仿宋_GB2312" w:hAnsi="仿宋_GB2312" w:eastAsia="仿宋_GB2312" w:cs="仿宋_GB2312"/>
          <w:bCs/>
          <w:sz w:val="32"/>
          <w:szCs w:val="32"/>
        </w:rPr>
        <w:t>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金额为6.00万元（公务用车购置费预算0万元）、公务接待费及</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境</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bCs/>
          <w:sz w:val="32"/>
          <w:szCs w:val="32"/>
          <w:lang w:val="en-US" w:eastAsia="zh-CN"/>
        </w:rPr>
        <w:t>预算均为0万元。“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总金额为2.07万元，其中公务用车购置及运行维护</w:t>
      </w:r>
      <w:r>
        <w:rPr>
          <w:rFonts w:hint="eastAsia" w:ascii="仿宋_GB2312" w:hAnsi="仿宋_GB2312" w:eastAsia="仿宋_GB2312" w:cs="仿宋_GB2312"/>
          <w:bCs/>
          <w:sz w:val="32"/>
          <w:szCs w:val="32"/>
        </w:rPr>
        <w:t>费</w:t>
      </w:r>
      <w:r>
        <w:rPr>
          <w:rFonts w:hint="eastAsia" w:ascii="仿宋_GB2312" w:hAnsi="仿宋_GB2312" w:eastAsia="仿宋_GB2312" w:cs="仿宋_GB2312"/>
          <w:bCs/>
          <w:sz w:val="32"/>
          <w:szCs w:val="32"/>
          <w:lang w:val="en-US" w:eastAsia="zh-CN"/>
        </w:rPr>
        <w:t>支出金额为2.07万元（公务用车购置费支出0万元）、公务接待费及</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境</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内。</w:t>
      </w:r>
    </w:p>
    <w:p w14:paraId="5DDE0550">
      <w:pPr>
        <w:pStyle w:val="11"/>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项目支出情况</w:t>
      </w:r>
    </w:p>
    <w:p w14:paraId="0FE46139">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年度</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，本部门</w:t>
      </w:r>
      <w:r>
        <w:rPr>
          <w:rFonts w:hint="eastAsia" w:ascii="仿宋_GB2312" w:hAnsi="仿宋_GB2312" w:eastAsia="仿宋_GB2312" w:cs="仿宋_GB2312"/>
          <w:bCs/>
          <w:sz w:val="32"/>
          <w:szCs w:val="32"/>
          <w:lang w:val="en-US" w:eastAsia="zh-CN"/>
        </w:rPr>
        <w:t>一般公共预算</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val="en-US" w:eastAsia="zh-CN"/>
        </w:rPr>
        <w:t>支出年初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数为173.00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未含上年项目结转预算）</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年中追加了部分项目经费预算，全年项目支出预算数调整为439.66万元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w:t>
      </w:r>
      <w:r>
        <w:rPr>
          <w:rFonts w:hint="eastAsia" w:ascii="仿宋_GB2312" w:hAnsi="仿宋_GB2312" w:eastAsia="仿宋_GB2312" w:cs="仿宋_GB2312"/>
          <w:bCs/>
          <w:color w:val="auto"/>
          <w:sz w:val="32"/>
          <w:szCs w:val="32"/>
          <w:lang w:val="en-US" w:eastAsia="zh-CN"/>
        </w:rPr>
        <w:t>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总额为188.47</w:t>
      </w:r>
      <w:r>
        <w:rPr>
          <w:rFonts w:hint="eastAsia" w:ascii="仿宋_GB2312" w:hAnsi="仿宋_GB2312" w:eastAsia="仿宋_GB2312" w:cs="仿宋_GB2312"/>
          <w:bCs/>
          <w:color w:val="auto"/>
          <w:sz w:val="32"/>
          <w:szCs w:val="32"/>
        </w:rPr>
        <w:t>万元，</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其中业务工作经费</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153.61</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万元，运行维护经费</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27</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万元，</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上年度指标结余结转7.86万元</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项目支出</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主要用于</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中心城区房屋、园林单位绿化树木及城区主干道树木的白蚁防治；公租房小区的配租、清查和退出管理以及档案信息更新；</w:t>
      </w:r>
      <w:r>
        <w:rPr>
          <w:rFonts w:hint="eastAsia" w:ascii="仿宋_GB2312" w:hAnsi="仿宋_GB2312" w:eastAsia="仿宋_GB2312" w:cs="仿宋_GB2312"/>
          <w:sz w:val="32"/>
          <w:szCs w:val="32"/>
        </w:rPr>
        <w:t>市本级公租房小区东井嘉园</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租金收缴；受托的52套人才公寓管理等。</w:t>
      </w:r>
    </w:p>
    <w:p w14:paraId="592F8ABE">
      <w:pPr>
        <w:pStyle w:val="11"/>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三、政府性基金预算支出情况</w:t>
      </w:r>
    </w:p>
    <w:p w14:paraId="167D890E">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本</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中心无政府性基金预算支出情况</w:t>
      </w:r>
    </w:p>
    <w:p w14:paraId="4EA3702E">
      <w:pPr>
        <w:pStyle w:val="11"/>
        <w:keepNext w:val="0"/>
        <w:keepLines w:val="0"/>
        <w:pageBreakBefore w:val="0"/>
        <w:widowControl/>
        <w:numPr>
          <w:ilvl w:val="0"/>
          <w:numId w:val="5"/>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国有资本经营预算支出情况</w:t>
      </w:r>
    </w:p>
    <w:p w14:paraId="2773DE11">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本</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中心无国有资本经营预算支出情况</w:t>
      </w:r>
    </w:p>
    <w:p w14:paraId="5786402E">
      <w:pPr>
        <w:pStyle w:val="11"/>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社会保险基金预算支出情况</w:t>
      </w:r>
    </w:p>
    <w:p w14:paraId="276FDC78">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本中心无社会保险基金预算支出情况</w:t>
      </w:r>
    </w:p>
    <w:p w14:paraId="2644B14D">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部门整体支出绩效情况</w:t>
      </w:r>
    </w:p>
    <w:p w14:paraId="52ACFF98">
      <w:pPr>
        <w:pStyle w:val="2"/>
        <w:numPr>
          <w:ilvl w:val="0"/>
          <w:numId w:val="6"/>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eastAsia="仿宋" w:cs="仿宋"/>
          <w:sz w:val="32"/>
          <w:szCs w:val="32"/>
          <w:lang w:val="en-US" w:eastAsia="zh-CN"/>
        </w:rPr>
        <w:t>部门整体支出情况</w:t>
      </w:r>
    </w:p>
    <w:p w14:paraId="5D71C2C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eastAsia="仿宋" w:cs="仿宋"/>
          <w:sz w:val="32"/>
          <w:szCs w:val="32"/>
          <w:lang w:val="en-US" w:eastAsia="zh-CN"/>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w:t>
      </w:r>
      <w:r>
        <w:rPr>
          <w:rFonts w:hint="eastAsia" w:ascii="仿宋_GB2312" w:hAnsi="仿宋_GB2312" w:eastAsia="仿宋_GB2312" w:cs="仿宋_GB2312"/>
          <w:sz w:val="32"/>
          <w:szCs w:val="32"/>
          <w:lang w:val="en-US" w:eastAsia="zh-CN"/>
        </w:rPr>
        <w:t>部门整体支出全年预算数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1792.42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实际支出总额1513.64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，其中基本支出1325.17万元，项目支出188.47万元。</w:t>
      </w:r>
    </w:p>
    <w:p w14:paraId="68FDE249">
      <w:pPr>
        <w:pStyle w:val="2"/>
        <w:numPr>
          <w:ilvl w:val="0"/>
          <w:numId w:val="6"/>
        </w:numPr>
        <w:ind w:firstLine="640" w:firstLineChars="200"/>
        <w:rPr>
          <w:rFonts w:hint="eastAsia" w:ascii="仿宋" w:hAnsi="仿宋" w:eastAsia="仿宋" w:cs="仿宋"/>
          <w:sz w:val="32"/>
          <w:szCs w:val="32"/>
          <w:lang w:val="en-US" w:eastAsia="zh-CN"/>
        </w:rPr>
      </w:pPr>
      <w:r>
        <w:rPr>
          <w:rFonts w:hint="eastAsia" w:eastAsia="仿宋" w:cs="仿宋"/>
          <w:sz w:val="32"/>
          <w:szCs w:val="32"/>
          <w:lang w:val="en-US" w:eastAsia="zh-CN"/>
        </w:rPr>
        <w:t>、</w:t>
      </w:r>
      <w:r>
        <w:rPr>
          <w:rFonts w:hint="eastAsia" w:ascii="仿宋" w:hAnsi="仿宋" w:eastAsia="仿宋" w:cs="仿宋"/>
          <w:sz w:val="32"/>
          <w:szCs w:val="32"/>
          <w:lang w:val="en-US" w:eastAsia="zh-CN"/>
        </w:rPr>
        <w:t>年度总体目标</w:t>
      </w:r>
    </w:p>
    <w:p w14:paraId="3DA381D0">
      <w:pPr>
        <w:pStyle w:val="2"/>
        <w:numPr>
          <w:ilvl w:val="0"/>
          <w:numId w:val="7"/>
        </w:numPr>
        <w:ind w:left="420" w:leftChars="0" w:firstLineChars="0"/>
        <w:rPr>
          <w:rFonts w:hint="default"/>
          <w:b w:val="0"/>
          <w:bCs w:val="0"/>
          <w:sz w:val="32"/>
          <w:szCs w:val="32"/>
          <w:lang w:val="en-US" w:eastAsia="zh-CN"/>
        </w:rPr>
      </w:pPr>
      <w:r>
        <w:rPr>
          <w:rFonts w:hint="eastAsia" w:ascii="仿宋_GB2312" w:hAnsi="仿宋_GB2312" w:eastAsia="仿宋_GB2312" w:cs="仿宋_GB2312"/>
          <w:b w:val="0"/>
          <w:bCs w:val="0"/>
          <w:color w:val="000000"/>
          <w:sz w:val="32"/>
          <w:szCs w:val="32"/>
        </w:rPr>
        <w:t>全力推进保障性住房建设</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用心做好保障房使用管理</w:t>
      </w:r>
      <w:r>
        <w:rPr>
          <w:rFonts w:hint="eastAsia" w:ascii="仿宋_GB2312" w:hAnsi="仿宋_GB2312" w:eastAsia="仿宋_GB2312" w:cs="仿宋_GB2312"/>
          <w:b w:val="0"/>
          <w:bCs w:val="0"/>
          <w:sz w:val="32"/>
          <w:szCs w:val="32"/>
          <w:lang w:eastAsia="zh-CN"/>
        </w:rPr>
        <w:t>；</w:t>
      </w:r>
    </w:p>
    <w:p w14:paraId="2E44E90A">
      <w:pPr>
        <w:pStyle w:val="2"/>
        <w:numPr>
          <w:ilvl w:val="0"/>
          <w:numId w:val="7"/>
        </w:numPr>
        <w:ind w:left="420" w:leftChars="0" w:firstLineChars="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加强</w:t>
      </w:r>
      <w:r>
        <w:rPr>
          <w:rFonts w:hint="eastAsia" w:eastAsia="仿宋" w:cs="仿宋"/>
          <w:sz w:val="32"/>
          <w:szCs w:val="32"/>
          <w:lang w:val="en-US" w:eastAsia="zh-CN"/>
        </w:rPr>
        <w:t>顶层设计，推动</w:t>
      </w:r>
      <w:r>
        <w:rPr>
          <w:rFonts w:hint="eastAsia" w:ascii="仿宋" w:hAnsi="仿宋" w:eastAsia="仿宋" w:cs="仿宋"/>
          <w:sz w:val="32"/>
          <w:szCs w:val="32"/>
          <w:lang w:val="en-US" w:eastAsia="zh-CN"/>
        </w:rPr>
        <w:t>物业维修制度建设，</w:t>
      </w:r>
      <w:r>
        <w:rPr>
          <w:rFonts w:hint="eastAsia" w:ascii="仿宋" w:hAnsi="仿宋" w:eastAsia="仿宋" w:cs="仿宋"/>
          <w:b w:val="0"/>
          <w:bCs/>
          <w:sz w:val="32"/>
          <w:szCs w:val="32"/>
        </w:rPr>
        <w:t>推进维修资金管理信息化建设</w:t>
      </w:r>
      <w:r>
        <w:rPr>
          <w:rFonts w:hint="eastAsia" w:eastAsia="仿宋" w:cs="仿宋"/>
          <w:b w:val="0"/>
          <w:bCs/>
          <w:sz w:val="32"/>
          <w:szCs w:val="32"/>
          <w:lang w:eastAsia="zh-CN"/>
        </w:rPr>
        <w:t>；</w:t>
      </w:r>
    </w:p>
    <w:p w14:paraId="3A540EC7">
      <w:pPr>
        <w:pStyle w:val="2"/>
        <w:numPr>
          <w:ilvl w:val="0"/>
          <w:numId w:val="7"/>
        </w:numPr>
        <w:ind w:left="420" w:leftChars="0" w:firstLineChars="0"/>
        <w:rPr>
          <w:rFonts w:hint="eastAsia" w:ascii="仿宋" w:hAnsi="仿宋" w:eastAsia="仿宋" w:cs="仿宋"/>
          <w:b w:val="0"/>
          <w:bCs w:val="0"/>
          <w:sz w:val="32"/>
          <w:szCs w:val="32"/>
          <w:lang w:val="en-US" w:eastAsia="zh-CN"/>
        </w:rPr>
      </w:pPr>
      <w:r>
        <w:rPr>
          <w:rFonts w:hint="eastAsia" w:eastAsia="仿宋" w:cs="仿宋"/>
          <w:b w:val="0"/>
          <w:bCs w:val="0"/>
          <w:sz w:val="32"/>
          <w:szCs w:val="32"/>
          <w:lang w:val="en-US" w:eastAsia="zh-CN" w:bidi="ar-SA"/>
        </w:rPr>
        <w:t>继续</w:t>
      </w:r>
      <w:r>
        <w:rPr>
          <w:rFonts w:hint="eastAsia" w:ascii="仿宋" w:hAnsi="仿宋" w:eastAsia="仿宋" w:cs="仿宋"/>
          <w:b w:val="0"/>
          <w:bCs w:val="0"/>
          <w:sz w:val="32"/>
          <w:szCs w:val="32"/>
          <w:lang w:val="en-US" w:eastAsia="zh-CN" w:bidi="ar-SA"/>
        </w:rPr>
        <w:t>推进老旧小区改造</w:t>
      </w:r>
      <w:r>
        <w:rPr>
          <w:rFonts w:hint="eastAsia" w:eastAsia="仿宋" w:cs="仿宋"/>
          <w:b w:val="0"/>
          <w:bCs w:val="0"/>
          <w:sz w:val="32"/>
          <w:szCs w:val="32"/>
          <w:lang w:val="en-US" w:eastAsia="zh-CN" w:bidi="ar-SA"/>
        </w:rPr>
        <w:t>；</w:t>
      </w:r>
    </w:p>
    <w:p w14:paraId="3E99C57A">
      <w:pPr>
        <w:pStyle w:val="2"/>
        <w:numPr>
          <w:ilvl w:val="0"/>
          <w:numId w:val="7"/>
        </w:numPr>
        <w:ind w:left="420" w:leftChars="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积极回应群众期盼</w:t>
      </w:r>
      <w:r>
        <w:rPr>
          <w:rFonts w:hint="eastAsia" w:eastAsia="仿宋" w:cs="仿宋"/>
          <w:b w:val="0"/>
          <w:bCs w:val="0"/>
          <w:sz w:val="32"/>
          <w:szCs w:val="32"/>
          <w:lang w:val="en-US" w:eastAsia="zh-CN"/>
        </w:rPr>
        <w:t>，重点做好民生实事工作；</w:t>
      </w:r>
    </w:p>
    <w:p w14:paraId="6454AC34">
      <w:pPr>
        <w:pStyle w:val="2"/>
        <w:numPr>
          <w:ilvl w:val="0"/>
          <w:numId w:val="7"/>
        </w:numPr>
        <w:ind w:left="420" w:leftChars="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防范化解风险，解决历史遗留问题。</w:t>
      </w:r>
    </w:p>
    <w:p w14:paraId="3EDB7A0F">
      <w:pPr>
        <w:keepNext w:val="0"/>
        <w:keepLines w:val="0"/>
        <w:pageBreakBefore w:val="0"/>
        <w:widowControl/>
        <w:numPr>
          <w:ilvl w:val="0"/>
          <w:numId w:val="6"/>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bidi="ar"/>
          <w14:textFill>
            <w14:solidFill>
              <w14:schemeClr w14:val="tx1"/>
            </w14:solidFill>
          </w14:textFill>
        </w:rPr>
        <w:t>、目标完成情况</w:t>
      </w:r>
    </w:p>
    <w:p w14:paraId="33D9E5A7">
      <w:pPr>
        <w:keepNext w:val="0"/>
        <w:keepLines w:val="0"/>
        <w:pageBreakBefore w:val="0"/>
        <w:wordWrap/>
        <w:overflowPunct/>
        <w:topLinePunct w:val="0"/>
        <w:bidi w:val="0"/>
        <w:spacing w:line="576" w:lineRule="exact"/>
        <w:ind w:firstLine="640" w:firstLineChars="200"/>
        <w:jc w:val="left"/>
        <w:rPr>
          <w:rFonts w:hint="default" w:eastAsia="仿宋_GB2312"/>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sz w:val="32"/>
          <w:szCs w:val="32"/>
        </w:rPr>
        <w:t>中心坚持以贯彻落实党的二十大、二十届三中全会和市委八届八次全会精神为指导，紧扣住房保障事业高质量发展首要任务，按照市委、市政府和局党组的工作部署，在保障房建设及管理、物维监管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老旧小区改造、城市更新推动</w:t>
      </w:r>
      <w:r>
        <w:rPr>
          <w:rFonts w:hint="eastAsia" w:ascii="仿宋_GB2312" w:hAnsi="仿宋_GB2312" w:eastAsia="仿宋_GB2312" w:cs="仿宋_GB2312"/>
          <w:sz w:val="32"/>
          <w:szCs w:val="32"/>
          <w:lang w:val="en-US" w:eastAsia="zh-CN"/>
        </w:rPr>
        <w:t>及服务优化</w:t>
      </w:r>
      <w:r>
        <w:rPr>
          <w:rFonts w:hint="eastAsia" w:ascii="仿宋_GB2312" w:hAnsi="仿宋_GB2312" w:eastAsia="仿宋_GB2312" w:cs="仿宋_GB2312"/>
          <w:sz w:val="32"/>
          <w:szCs w:val="32"/>
        </w:rPr>
        <w:t>等重点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上加压奋进，攻坚克难，</w:t>
      </w:r>
      <w:r>
        <w:rPr>
          <w:rFonts w:hint="eastAsia" w:ascii="仿宋_GB2312" w:hAnsi="仿宋_GB2312" w:eastAsia="仿宋_GB2312" w:cs="仿宋_GB2312"/>
          <w:sz w:val="32"/>
          <w:szCs w:val="32"/>
          <w:lang w:val="en-US" w:eastAsia="zh-CN"/>
        </w:rPr>
        <w:t>圆满完成了全年目标。</w:t>
      </w:r>
    </w:p>
    <w:p w14:paraId="7A433B9C">
      <w:pPr>
        <w:pStyle w:val="7"/>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0"/>
        <w:jc w:val="both"/>
        <w:textAlignment w:val="auto"/>
        <w:rPr>
          <w:rFonts w:hint="eastAsia" w:ascii="仿宋_GB2312" w:hAnsi="仿宋_GB2312" w:eastAsia="仿宋_GB2312" w:cs="仿宋_GB2312"/>
          <w:sz w:val="32"/>
          <w:szCs w:val="32"/>
          <w:lang w:bidi="zh-TW"/>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全力加强保障性住房建设和使用管理。加大在建项目监管协调力度，推进湘北雅园项目工程建设进度，完成项目各标段资金拨付和有关变更审批程序确认等事项；确保新项目及时开工，协助指导港区企业完成2024年华琨智能装备产业园600套保障性租赁住房项目认定工作。</w:t>
      </w:r>
      <w:r>
        <w:rPr>
          <w:rFonts w:hAnsi="仿宋_GB2312" w:eastAsia="仿宋_GB2312"/>
          <w:sz w:val="32"/>
          <w:szCs w:val="32"/>
        </w:rPr>
        <w:t>帮扶新港区</w:t>
      </w:r>
      <w:r>
        <w:rPr>
          <w:rFonts w:eastAsia="仿宋_GB2312"/>
          <w:sz w:val="32"/>
          <w:szCs w:val="32"/>
        </w:rPr>
        <w:t>10</w:t>
      </w:r>
      <w:r>
        <w:rPr>
          <w:rFonts w:hAnsi="仿宋_GB2312" w:eastAsia="仿宋_GB2312"/>
          <w:sz w:val="32"/>
          <w:szCs w:val="32"/>
        </w:rPr>
        <w:t>个在建在售房开项目，完成协税</w:t>
      </w:r>
      <w:r>
        <w:rPr>
          <w:rFonts w:hint="eastAsia" w:hAnsi="仿宋_GB2312" w:eastAsia="仿宋_GB2312"/>
          <w:sz w:val="32"/>
          <w:szCs w:val="32"/>
        </w:rPr>
        <w:t>入库</w:t>
      </w:r>
      <w:r>
        <w:rPr>
          <w:rFonts w:eastAsia="仿宋_GB2312"/>
          <w:sz w:val="32"/>
          <w:szCs w:val="32"/>
        </w:rPr>
        <w:t>8407</w:t>
      </w:r>
      <w:r>
        <w:rPr>
          <w:rFonts w:hAnsi="仿宋_GB2312" w:eastAsia="仿宋_GB2312"/>
          <w:sz w:val="32"/>
          <w:szCs w:val="32"/>
        </w:rPr>
        <w:t>万元</w:t>
      </w:r>
      <w:r>
        <w:rPr>
          <w:rFonts w:hint="eastAsia" w:hAnsi="仿宋_GB2312" w:eastAsia="仿宋_GB2312"/>
          <w:sz w:val="32"/>
          <w:szCs w:val="32"/>
          <w:lang w:eastAsia="zh-CN"/>
        </w:rPr>
        <w:t>；</w:t>
      </w:r>
      <w:r>
        <w:rPr>
          <w:rFonts w:hint="eastAsia" w:hAnsi="仿宋_GB2312" w:eastAsia="仿宋_GB2312"/>
          <w:sz w:val="32"/>
          <w:szCs w:val="32"/>
          <w:lang w:val="en-US" w:eastAsia="zh-CN"/>
        </w:rPr>
        <w:t>做好保障房使用管理，</w:t>
      </w:r>
      <w:r>
        <w:rPr>
          <w:rFonts w:hint="eastAsia" w:ascii="仿宋_GB2312" w:hAnsi="仿宋_GB2312" w:eastAsia="仿宋_GB2312" w:cs="仿宋_GB2312"/>
          <w:sz w:val="32"/>
          <w:szCs w:val="32"/>
        </w:rPr>
        <w:t>完成市本级公租房小区东井嘉园承租户资格年审，对不符合入住条件的3户承租对象按程序进行清退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全年完成小区租金收缴132万元，超额完成收缴任务。完成经济适用房上市交易67户，补缴土地收益金236.73多万元；完成受托管理的52套人才公寓后期维修，为我市留才引才打下基础。</w:t>
      </w:r>
    </w:p>
    <w:p w14:paraId="22FAF881">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576" w:lineRule="exact"/>
        <w:ind w:left="0" w:leftChars="0" w:right="90" w:firstLine="420" w:firstLineChars="0"/>
        <w:textAlignment w:val="baseline"/>
        <w:rPr>
          <w:rFonts w:hint="eastAsia" w:ascii="仿宋_GB2312" w:hAnsi="仿宋_GB2312" w:eastAsia="仿宋_GB2312" w:cs="仿宋_GB2312"/>
          <w:sz w:val="32"/>
          <w:szCs w:val="32"/>
          <w:lang w:bidi="zh-TW"/>
        </w:rPr>
      </w:pPr>
      <w:r>
        <w:rPr>
          <w:rFonts w:hint="eastAsia" w:ascii="仿宋_GB2312" w:hAnsi="仿宋_GB2312" w:cs="仿宋_GB2312"/>
          <w:b w:val="0"/>
          <w:bCs w:val="0"/>
          <w:szCs w:val="32"/>
          <w:lang w:val="en-US" w:eastAsia="zh-CN"/>
        </w:rPr>
        <w:t>物业维修</w:t>
      </w:r>
      <w:r>
        <w:rPr>
          <w:rFonts w:hint="eastAsia" w:ascii="仿宋_GB2312" w:hAnsi="仿宋_GB2312" w:cs="仿宋_GB2312"/>
          <w:b w:val="0"/>
          <w:bCs w:val="0"/>
          <w:szCs w:val="32"/>
        </w:rPr>
        <w:t>制度</w:t>
      </w:r>
      <w:r>
        <w:rPr>
          <w:rFonts w:hint="eastAsia" w:ascii="仿宋_GB2312" w:hAnsi="仿宋_GB2312" w:cs="仿宋_GB2312"/>
          <w:b w:val="0"/>
          <w:bCs w:val="0"/>
          <w:szCs w:val="32"/>
          <w:lang w:val="en-US" w:eastAsia="zh-CN"/>
        </w:rPr>
        <w:t>和信息化建设</w:t>
      </w:r>
      <w:r>
        <w:rPr>
          <w:rFonts w:hint="eastAsia" w:ascii="仿宋_GB2312" w:hAnsi="仿宋_GB2312" w:cs="仿宋_GB2312"/>
          <w:b w:val="0"/>
          <w:bCs w:val="0"/>
          <w:szCs w:val="32"/>
        </w:rPr>
        <w:t>成效明显。</w:t>
      </w:r>
      <w:r>
        <w:rPr>
          <w:rFonts w:hint="eastAsia" w:ascii="仿宋_GB2312" w:hAnsi="仿宋_GB2312" w:cs="仿宋_GB2312"/>
          <w:spacing w:val="4"/>
          <w:szCs w:val="32"/>
        </w:rPr>
        <w:t>成</w:t>
      </w:r>
      <w:r>
        <w:rPr>
          <w:rFonts w:hint="eastAsia" w:ascii="仿宋_GB2312" w:hAnsi="仿宋_GB2312" w:cs="仿宋_GB2312"/>
          <w:spacing w:val="1"/>
          <w:szCs w:val="32"/>
        </w:rPr>
        <w:t>立立法工作专班，</w:t>
      </w:r>
      <w:r>
        <w:rPr>
          <w:rFonts w:hint="eastAsia" w:ascii="仿宋_GB2312" w:hAnsi="仿宋_GB2312" w:cs="仿宋_GB2312"/>
          <w:spacing w:val="9"/>
          <w:szCs w:val="32"/>
        </w:rPr>
        <w:t>起草《岳阳市住宅物业管理若干规定》初稿并组织征求意见</w:t>
      </w:r>
      <w:r>
        <w:rPr>
          <w:rFonts w:hint="eastAsia" w:ascii="仿宋_GB2312" w:hAnsi="仿宋_GB2312" w:cs="仿宋_GB2312"/>
          <w:spacing w:val="9"/>
          <w:szCs w:val="32"/>
          <w:lang w:eastAsia="zh-CN"/>
        </w:rPr>
        <w:t>；</w:t>
      </w:r>
      <w:r>
        <w:rPr>
          <w:rFonts w:hint="eastAsia" w:hAnsi="仿宋_GB2312"/>
          <w:szCs w:val="32"/>
        </w:rPr>
        <w:t>新</w:t>
      </w:r>
      <w:r>
        <w:rPr>
          <w:rFonts w:hAnsi="仿宋_GB2312"/>
          <w:szCs w:val="32"/>
        </w:rPr>
        <w:t>制定</w:t>
      </w:r>
      <w:r>
        <w:rPr>
          <w:rFonts w:hint="eastAsia" w:hAnsi="仿宋_GB2312"/>
          <w:szCs w:val="32"/>
        </w:rPr>
        <w:t>出台</w:t>
      </w:r>
      <w:r>
        <w:rPr>
          <w:rFonts w:hAnsi="仿宋_GB2312"/>
          <w:szCs w:val="32"/>
        </w:rPr>
        <w:t>《岳阳市物业管理和维修资金管理工作考核办法》</w:t>
      </w:r>
      <w:r>
        <w:rPr>
          <w:rFonts w:hint="eastAsia" w:hAnsi="仿宋_GB2312"/>
          <w:szCs w:val="32"/>
        </w:rPr>
        <w:t>，进一步规范物业管理服务活动</w:t>
      </w:r>
      <w:r>
        <w:rPr>
          <w:rFonts w:hint="eastAsia" w:hAnsi="仿宋_GB2312"/>
          <w:szCs w:val="32"/>
          <w:lang w:eastAsia="zh-CN"/>
        </w:rPr>
        <w:t>，</w:t>
      </w:r>
      <w:r>
        <w:rPr>
          <w:rFonts w:hint="eastAsia" w:ascii="仿宋_GB2312" w:hAnsi="仿宋_GB2312" w:cs="仿宋_GB2312"/>
          <w:szCs w:val="32"/>
        </w:rPr>
        <w:t>依法出台岳阳市物业专项维修资金交存标准。</w:t>
      </w:r>
      <w:r>
        <w:rPr>
          <w:rFonts w:hint="eastAsia" w:hAnsi="仿宋_GB2312" w:eastAsia="仿宋_GB2312"/>
          <w:b w:val="0"/>
          <w:bCs/>
          <w:sz w:val="32"/>
          <w:szCs w:val="32"/>
          <w:lang w:val="en-US" w:eastAsia="zh-CN"/>
        </w:rPr>
        <w:t>大力</w:t>
      </w:r>
      <w:r>
        <w:rPr>
          <w:rFonts w:hint="eastAsia" w:hAnsi="仿宋_GB2312" w:eastAsia="仿宋_GB2312"/>
          <w:b w:val="0"/>
          <w:bCs/>
          <w:sz w:val="32"/>
          <w:szCs w:val="32"/>
        </w:rPr>
        <w:t>推进</w:t>
      </w:r>
      <w:r>
        <w:rPr>
          <w:rFonts w:hint="eastAsia" w:hAnsi="仿宋_GB2312" w:eastAsia="仿宋_GB2312"/>
          <w:b w:val="0"/>
          <w:bCs/>
          <w:sz w:val="32"/>
          <w:szCs w:val="32"/>
          <w:lang w:val="en-US" w:eastAsia="zh-CN"/>
        </w:rPr>
        <w:t>物业</w:t>
      </w:r>
      <w:r>
        <w:rPr>
          <w:rFonts w:hint="eastAsia" w:hAnsi="仿宋_GB2312" w:eastAsia="仿宋_GB2312"/>
          <w:b w:val="0"/>
          <w:bCs/>
          <w:sz w:val="32"/>
          <w:szCs w:val="32"/>
        </w:rPr>
        <w:t>维修资金管理信息化建设</w:t>
      </w:r>
      <w:r>
        <w:rPr>
          <w:rFonts w:hint="eastAsia" w:hAnsi="仿宋_GB2312" w:eastAsia="仿宋_GB2312"/>
          <w:b w:val="0"/>
          <w:bCs/>
          <w:sz w:val="32"/>
          <w:szCs w:val="32"/>
          <w:lang w:eastAsia="zh-CN"/>
        </w:rPr>
        <w:t>，</w:t>
      </w:r>
      <w:r>
        <w:rPr>
          <w:rFonts w:hint="eastAsia" w:hAnsi="仿宋_GB2312" w:eastAsia="仿宋_GB2312"/>
          <w:b w:val="0"/>
          <w:bCs/>
          <w:sz w:val="32"/>
          <w:szCs w:val="32"/>
          <w:lang w:val="en-US" w:eastAsia="zh-CN"/>
        </w:rPr>
        <w:t>已启用</w:t>
      </w:r>
      <w:r>
        <w:rPr>
          <w:rFonts w:hAnsi="仿宋_GB2312" w:eastAsia="仿宋_GB2312"/>
          <w:sz w:val="32"/>
          <w:szCs w:val="32"/>
        </w:rPr>
        <w:t>维修资金电子票据</w:t>
      </w:r>
      <w:r>
        <w:rPr>
          <w:rFonts w:hint="eastAsia" w:hAnsi="仿宋_GB2312" w:eastAsia="仿宋_GB2312"/>
          <w:sz w:val="32"/>
          <w:szCs w:val="32"/>
          <w:lang w:eastAsia="zh-CN"/>
        </w:rPr>
        <w:t>、</w:t>
      </w:r>
      <w:r>
        <w:rPr>
          <w:rFonts w:hint="eastAsia" w:hAnsi="仿宋_GB2312" w:eastAsia="仿宋_GB2312"/>
          <w:sz w:val="32"/>
          <w:szCs w:val="32"/>
          <w:lang w:val="en-US" w:eastAsia="zh-CN"/>
        </w:rPr>
        <w:t>开通</w:t>
      </w:r>
      <w:r>
        <w:rPr>
          <w:rFonts w:hAnsi="仿宋_GB2312" w:eastAsia="仿宋_GB2312"/>
          <w:sz w:val="32"/>
          <w:szCs w:val="32"/>
        </w:rPr>
        <w:t>移动支付</w:t>
      </w:r>
      <w:r>
        <w:rPr>
          <w:rFonts w:hint="eastAsia" w:hAnsi="仿宋_GB2312" w:eastAsia="仿宋_GB2312"/>
          <w:sz w:val="32"/>
          <w:szCs w:val="32"/>
        </w:rPr>
        <w:t>，实现维修资金</w:t>
      </w:r>
      <w:r>
        <w:rPr>
          <w:rFonts w:hint="eastAsia" w:hAnsi="仿宋_GB2312" w:eastAsia="仿宋_GB2312"/>
          <w:sz w:val="32"/>
          <w:szCs w:val="32"/>
          <w:lang w:val="en-US" w:eastAsia="zh-CN"/>
        </w:rPr>
        <w:t>缴存</w:t>
      </w:r>
      <w:r>
        <w:rPr>
          <w:rFonts w:hint="eastAsia" w:hAnsi="仿宋_GB2312" w:eastAsia="仿宋_GB2312"/>
          <w:sz w:val="32"/>
          <w:szCs w:val="32"/>
        </w:rPr>
        <w:t>线上办理。</w:t>
      </w:r>
      <w:r>
        <w:rPr>
          <w:rFonts w:hAnsi="仿宋_GB2312" w:eastAsia="仿宋_GB2312"/>
          <w:sz w:val="32"/>
          <w:szCs w:val="32"/>
        </w:rPr>
        <w:t>全年共归集物业专项维修资金1</w:t>
      </w:r>
      <w:r>
        <w:rPr>
          <w:rFonts w:hint="eastAsia" w:hAnsi="仿宋_GB2312" w:eastAsia="仿宋_GB2312"/>
          <w:sz w:val="32"/>
          <w:szCs w:val="32"/>
          <w:lang w:val="en-US" w:eastAsia="zh-CN"/>
        </w:rPr>
        <w:t>.138</w:t>
      </w:r>
      <w:r>
        <w:rPr>
          <w:rFonts w:hAnsi="仿宋_GB2312" w:eastAsia="仿宋_GB2312"/>
          <w:sz w:val="32"/>
          <w:szCs w:val="32"/>
        </w:rPr>
        <w:t>亿元，新增8000户维修资金</w:t>
      </w:r>
      <w:r>
        <w:rPr>
          <w:rFonts w:hint="eastAsia" w:hAnsi="仿宋_GB2312" w:eastAsia="仿宋_GB2312"/>
          <w:sz w:val="32"/>
          <w:szCs w:val="32"/>
          <w:lang w:val="en-US" w:eastAsia="zh-CN"/>
        </w:rPr>
        <w:t>账户</w:t>
      </w:r>
      <w:r>
        <w:rPr>
          <w:rFonts w:hAnsi="仿宋_GB2312" w:eastAsia="仿宋_GB2312"/>
          <w:sz w:val="32"/>
          <w:szCs w:val="32"/>
        </w:rPr>
        <w:t>。</w:t>
      </w:r>
      <w:r>
        <w:rPr>
          <w:rFonts w:hint="eastAsia" w:hAnsi="仿宋_GB2312" w:eastAsia="仿宋_GB2312"/>
          <w:sz w:val="32"/>
          <w:szCs w:val="32"/>
          <w:lang w:val="en-US" w:eastAsia="zh-CN"/>
        </w:rPr>
        <w:t>使用拨付维修资金923次（项）共计2648.24万元；因</w:t>
      </w:r>
      <w:r>
        <w:rPr>
          <w:rFonts w:hAnsi="仿宋_GB2312" w:eastAsia="仿宋_GB2312"/>
          <w:sz w:val="32"/>
          <w:szCs w:val="32"/>
        </w:rPr>
        <w:t>房屋</w:t>
      </w:r>
      <w:r>
        <w:rPr>
          <w:rFonts w:hint="eastAsia" w:hAnsi="仿宋_GB2312" w:eastAsia="仿宋_GB2312"/>
          <w:sz w:val="32"/>
          <w:szCs w:val="32"/>
          <w:lang w:val="en-US" w:eastAsia="zh-CN"/>
        </w:rPr>
        <w:t>拆迁、合同撤销等情形清退</w:t>
      </w:r>
      <w:r>
        <w:rPr>
          <w:rFonts w:hAnsi="仿宋_GB2312" w:eastAsia="仿宋_GB2312"/>
          <w:sz w:val="32"/>
          <w:szCs w:val="32"/>
        </w:rPr>
        <w:t>维修资金账户502户</w:t>
      </w:r>
      <w:r>
        <w:rPr>
          <w:rFonts w:hint="eastAsia" w:hAnsi="仿宋_GB2312" w:eastAsia="仿宋_GB2312"/>
          <w:sz w:val="32"/>
          <w:szCs w:val="32"/>
        </w:rPr>
        <w:t>，</w:t>
      </w:r>
      <w:r>
        <w:rPr>
          <w:rFonts w:hint="eastAsia" w:hAnsi="仿宋_GB2312" w:eastAsia="仿宋_GB2312"/>
          <w:sz w:val="32"/>
          <w:szCs w:val="32"/>
          <w:lang w:val="en-US" w:eastAsia="zh-CN"/>
        </w:rPr>
        <w:t>退还维修资金195.5万元。同时，</w:t>
      </w:r>
      <w:r>
        <w:rPr>
          <w:rFonts w:hAnsi="仿宋_GB2312" w:eastAsia="仿宋_GB2312"/>
          <w:sz w:val="32"/>
          <w:szCs w:val="32"/>
        </w:rPr>
        <w:t>配合完成物业专项维修资金专项审计，督促</w:t>
      </w:r>
      <w:r>
        <w:rPr>
          <w:rFonts w:hint="eastAsia" w:hAnsi="仿宋_GB2312" w:eastAsia="仿宋_GB2312"/>
          <w:sz w:val="32"/>
          <w:szCs w:val="32"/>
          <w:lang w:val="en-US" w:eastAsia="zh-CN"/>
        </w:rPr>
        <w:t>整改</w:t>
      </w:r>
      <w:r>
        <w:rPr>
          <w:rFonts w:hAnsi="仿宋_GB2312" w:eastAsia="仿宋_GB2312"/>
          <w:sz w:val="32"/>
          <w:szCs w:val="32"/>
        </w:rPr>
        <w:t>问题5个，形成制度文件2个，</w:t>
      </w:r>
      <w:r>
        <w:rPr>
          <w:rFonts w:hint="eastAsia" w:hAnsi="仿宋_GB2312" w:eastAsia="仿宋_GB2312"/>
          <w:sz w:val="32"/>
          <w:szCs w:val="32"/>
        </w:rPr>
        <w:t>确保资金管理使用清廉放心。</w:t>
      </w:r>
    </w:p>
    <w:p w14:paraId="2F8BB837">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576" w:lineRule="exact"/>
        <w:ind w:left="0" w:leftChars="0" w:right="90" w:firstLine="420" w:firstLineChars="0"/>
        <w:textAlignment w:val="baseline"/>
        <w:rPr>
          <w:rFonts w:hint="eastAsia" w:ascii="仿宋_GB2312" w:hAnsi="仿宋_GB2312" w:eastAsia="仿宋_GB2312" w:cs="仿宋_GB2312"/>
          <w:sz w:val="32"/>
          <w:szCs w:val="32"/>
          <w:lang w:bidi="zh-TW"/>
        </w:rPr>
      </w:pPr>
      <w:r>
        <w:rPr>
          <w:rFonts w:hint="eastAsia" w:ascii="仿宋_GB2312" w:hAnsi="仿宋_GB2312" w:eastAsia="仿宋_GB2312" w:cs="仿宋_GB2312"/>
          <w:b w:val="0"/>
          <w:bCs w:val="0"/>
          <w:sz w:val="32"/>
          <w:szCs w:val="32"/>
        </w:rPr>
        <w:t>老旧小区改造稳中推进。</w:t>
      </w: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sz w:val="32"/>
          <w:szCs w:val="32"/>
        </w:rPr>
        <w:t>全市城镇老旧小区改造项目633个，惠及97814户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已开工建设小区606个，完工小区21个，完成投资额97444.27万元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其中全市城镇老旧小区改造民生实事项目共232个，开工率100%，完工小区8个，完成投资额42725.05万元</w:t>
      </w:r>
      <w:r>
        <w:rPr>
          <w:rFonts w:hint="eastAsia" w:ascii="仿宋_GB2312" w:hAnsi="仿宋_GB2312" w:eastAsia="仿宋_GB2312" w:cs="仿宋_GB2312"/>
          <w:sz w:val="32"/>
          <w:szCs w:val="32"/>
          <w:lang w:eastAsia="zh-CN"/>
        </w:rPr>
        <w:t>。</w:t>
      </w:r>
    </w:p>
    <w:p w14:paraId="20F9386A">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576" w:lineRule="exact"/>
        <w:ind w:left="0" w:leftChars="0" w:right="90" w:firstLine="420" w:firstLineChars="0"/>
        <w:textAlignment w:val="baseline"/>
        <w:rPr>
          <w:rFonts w:hint="eastAsia" w:ascii="仿宋_GB2312" w:hAnsi="仿宋_GB2312" w:eastAsia="仿宋_GB2312" w:cs="仿宋_GB2312"/>
          <w:sz w:val="32"/>
          <w:szCs w:val="32"/>
          <w:lang w:bidi="zh-TW"/>
        </w:rPr>
      </w:pPr>
      <w:r>
        <w:rPr>
          <w:rFonts w:hint="eastAsia" w:ascii="仿宋_GB2312" w:hAnsi="仿宋_GB2312" w:eastAsia="仿宋_GB2312" w:cs="仿宋_GB2312"/>
          <w:sz w:val="32"/>
          <w:szCs w:val="32"/>
          <w:lang w:val="en-US" w:eastAsia="zh-CN" w:bidi="zh-TW"/>
        </w:rPr>
        <w:t>重点做好民生实事工程。</w:t>
      </w:r>
      <w:r>
        <w:rPr>
          <w:rFonts w:hint="eastAsia" w:ascii="仿宋_GB2312" w:hAnsi="仿宋_GB2312" w:eastAsia="仿宋_GB2312" w:cs="仿宋_GB2312"/>
          <w:sz w:val="32"/>
          <w:szCs w:val="32"/>
        </w:rPr>
        <w:t>既有住宅加装电梯扩面提标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全市已完成</w:t>
      </w:r>
      <w:r>
        <w:rPr>
          <w:rFonts w:hint="eastAsia" w:ascii="仿宋_GB2312" w:hAnsi="仿宋_GB2312" w:eastAsia="仿宋_GB2312" w:cs="仿宋_GB2312"/>
          <w:sz w:val="32"/>
          <w:szCs w:val="32"/>
          <w:lang w:val="en-US" w:eastAsia="zh-CN"/>
        </w:rPr>
        <w:t>既有小区自主加装电梯</w:t>
      </w:r>
      <w:r>
        <w:rPr>
          <w:rFonts w:hint="eastAsia" w:ascii="仿宋_GB2312" w:hAnsi="仿宋_GB2312" w:eastAsia="仿宋_GB2312" w:cs="仿宋_GB2312"/>
          <w:sz w:val="32"/>
          <w:szCs w:val="32"/>
        </w:rPr>
        <w:t>联合审批74台，竣工5台</w:t>
      </w:r>
      <w:r>
        <w:rPr>
          <w:rFonts w:hint="eastAsia" w:ascii="仿宋_GB2312" w:hAnsi="仿宋_GB2312" w:eastAsia="仿宋_GB2312" w:cs="仿宋_GB2312"/>
          <w:sz w:val="32"/>
          <w:szCs w:val="32"/>
          <w:lang w:eastAsia="zh-CN"/>
        </w:rPr>
        <w:t>；配合完成电动自行车、电动摩托车消防安全全链条整治工作和物业管理“消防微腐败”专项整治，切实减少辖区群众安全隐患；</w:t>
      </w:r>
      <w:r>
        <w:rPr>
          <w:rFonts w:hint="eastAsia" w:ascii="仿宋_GB2312" w:hAnsi="仿宋_GB2312" w:eastAsia="仿宋_GB2312"/>
          <w:b w:val="0"/>
          <w:bCs/>
          <w:sz w:val="32"/>
          <w:szCs w:val="32"/>
          <w:lang w:val="en-US" w:eastAsia="zh-CN"/>
        </w:rPr>
        <w:t>加强</w:t>
      </w:r>
      <w:r>
        <w:rPr>
          <w:rFonts w:hint="eastAsia" w:ascii="仿宋_GB2312" w:hAnsi="仿宋_GB2312" w:eastAsia="仿宋_GB2312"/>
          <w:b w:val="0"/>
          <w:bCs/>
          <w:sz w:val="32"/>
          <w:szCs w:val="32"/>
        </w:rPr>
        <w:t>白蚁防治服务</w:t>
      </w:r>
      <w:r>
        <w:rPr>
          <w:rFonts w:hint="eastAsia" w:ascii="仿宋_GB2312" w:hAnsi="仿宋_GB2312" w:eastAsia="仿宋_GB2312"/>
          <w:b w:val="0"/>
          <w:bCs/>
          <w:sz w:val="32"/>
          <w:szCs w:val="32"/>
          <w:lang w:val="en-US" w:eastAsia="zh-CN"/>
        </w:rPr>
        <w:t>工作，</w:t>
      </w:r>
      <w:r>
        <w:rPr>
          <w:rFonts w:hint="eastAsia" w:ascii="仿宋_GB2312" w:hAnsi="仿宋_GB2312" w:eastAsia="仿宋_GB2312" w:cs="仿宋_GB2312"/>
          <w:sz w:val="32"/>
          <w:szCs w:val="32"/>
        </w:rPr>
        <w:t>全年共受理新建房屋白蚁预防公共服务建设项目62个，房屋310栋，建筑面积260万</w:t>
      </w:r>
      <w:r>
        <w:rPr>
          <w:rFonts w:hint="eastAsia" w:ascii="宋体" w:hAnsi="宋体" w:cs="宋体"/>
          <w:sz w:val="32"/>
          <w:szCs w:val="32"/>
        </w:rPr>
        <w:t>㎡</w:t>
      </w:r>
      <w:r>
        <w:rPr>
          <w:rFonts w:hint="eastAsia" w:ascii="宋体" w:hAnsi="宋体" w:cs="宋体"/>
          <w:sz w:val="32"/>
          <w:szCs w:val="32"/>
          <w:lang w:eastAsia="zh-CN"/>
        </w:rPr>
        <w:t>，</w:t>
      </w:r>
      <w:r>
        <w:rPr>
          <w:rFonts w:hint="eastAsia" w:ascii="仿宋_GB2312" w:hAnsi="仿宋_GB2312" w:eastAsia="仿宋_GB2312" w:cs="仿宋_GB2312"/>
          <w:sz w:val="32"/>
          <w:szCs w:val="32"/>
        </w:rPr>
        <w:t>完成白蚁防治验收工程项目52个，房屋280栋，发放白蚁预防实施证明建筑面积共240.8万</w:t>
      </w:r>
      <w:r>
        <w:rPr>
          <w:rFonts w:hint="eastAsia" w:ascii="宋体" w:hAnsi="宋体" w:cs="宋体"/>
          <w:sz w:val="32"/>
          <w:szCs w:val="32"/>
        </w:rPr>
        <w:t>㎡</w:t>
      </w:r>
      <w:r>
        <w:rPr>
          <w:rFonts w:hint="eastAsia" w:ascii="仿宋_GB2312" w:hAnsi="仿宋_GB2312" w:eastAsia="仿宋_GB2312" w:cs="仿宋_GB2312"/>
          <w:sz w:val="32"/>
          <w:szCs w:val="32"/>
        </w:rPr>
        <w:t>，完成白蚁预防施工面积252万</w:t>
      </w:r>
      <w:r>
        <w:rPr>
          <w:rFonts w:hint="eastAsia" w:ascii="宋体" w:hAnsi="宋体" w:cs="宋体"/>
          <w:sz w:val="32"/>
          <w:szCs w:val="32"/>
        </w:rPr>
        <w:t>㎡</w:t>
      </w:r>
      <w:r>
        <w:rPr>
          <w:rFonts w:hint="eastAsia" w:ascii="仿宋_GB2312" w:hAnsi="仿宋_GB2312" w:eastAsia="仿宋_GB2312" w:cs="仿宋_GB2312"/>
          <w:sz w:val="32"/>
          <w:szCs w:val="32"/>
        </w:rPr>
        <w:t>。完成中心城区园林树木白蚁防治，为服务我市经济建设发展营造良好环境。对政府直管公房、保障性住房等困难、低保群众住户发生的白蚁危害积极开展灭蚁公益服务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获群众赞誉。</w:t>
      </w:r>
    </w:p>
    <w:p w14:paraId="5A9AB9FA">
      <w:pPr>
        <w:pStyle w:val="4"/>
        <w:keepNext w:val="0"/>
        <w:keepLines w:val="0"/>
        <w:pageBreakBefore w:val="0"/>
        <w:widowControl/>
        <w:numPr>
          <w:ilvl w:val="0"/>
          <w:numId w:val="8"/>
        </w:numPr>
        <w:kinsoku w:val="0"/>
        <w:wordWrap/>
        <w:overflowPunct/>
        <w:topLinePunct w:val="0"/>
        <w:autoSpaceDE w:val="0"/>
        <w:autoSpaceDN w:val="0"/>
        <w:bidi w:val="0"/>
        <w:adjustRightInd w:val="0"/>
        <w:snapToGrid w:val="0"/>
        <w:spacing w:line="576" w:lineRule="exact"/>
        <w:ind w:left="0" w:leftChars="0" w:right="90" w:firstLine="420" w:firstLineChars="0"/>
        <w:textAlignment w:val="baseline"/>
        <w:rPr>
          <w:rFonts w:hint="eastAsia" w:ascii="仿宋_GB2312" w:hAnsi="仿宋_GB2312" w:eastAsia="仿宋_GB2312" w:cs="仿宋_GB2312"/>
          <w:sz w:val="32"/>
          <w:szCs w:val="32"/>
          <w:lang w:bidi="zh-TW"/>
        </w:rPr>
      </w:pPr>
      <w:r>
        <w:rPr>
          <w:rFonts w:hint="eastAsia" w:hAnsi="仿宋_GB2312" w:eastAsia="仿宋_GB2312"/>
          <w:b w:val="0"/>
          <w:bCs w:val="0"/>
          <w:sz w:val="32"/>
          <w:szCs w:val="32"/>
          <w:lang w:val="en-US" w:eastAsia="zh-CN"/>
        </w:rPr>
        <w:t>着力</w:t>
      </w:r>
      <w:r>
        <w:rPr>
          <w:rFonts w:hint="eastAsia" w:hAnsi="仿宋_GB2312" w:eastAsia="仿宋_GB2312"/>
          <w:b w:val="0"/>
          <w:bCs w:val="0"/>
          <w:sz w:val="32"/>
          <w:szCs w:val="32"/>
        </w:rPr>
        <w:t>解决历史遗留问题</w:t>
      </w:r>
      <w:r>
        <w:rPr>
          <w:rFonts w:hAnsi="仿宋_GB2312" w:eastAsia="仿宋_GB2312"/>
          <w:b w:val="0"/>
          <w:bCs w:val="0"/>
          <w:sz w:val="32"/>
          <w:szCs w:val="32"/>
        </w:rPr>
        <w:t>。</w:t>
      </w:r>
      <w:r>
        <w:rPr>
          <w:rFonts w:hint="eastAsia" w:ascii="仿宋_GB2312" w:hAnsi="仿宋_GB2312" w:eastAsia="仿宋_GB2312" w:cs="仿宋_GB2312"/>
          <w:sz w:val="32"/>
          <w:szCs w:val="32"/>
          <w:lang w:bidi="zh-TW"/>
        </w:rPr>
        <w:t>中心全年共受理职能范围内信访件49件，已办结49件，办结率100%。协助市局优质办结省政协及市级领导重点批示提案14件。</w:t>
      </w:r>
      <w:r>
        <w:rPr>
          <w:rFonts w:hint="eastAsia" w:ascii="仿宋_GB2312" w:hAnsi="仿宋_GB2312" w:eastAsia="仿宋_GB2312" w:cs="仿宋_GB2312"/>
          <w:sz w:val="32"/>
          <w:szCs w:val="32"/>
        </w:rPr>
        <w:t>全年推动解决春和家园4、5栋安置房外墙漏水维修、春蕾家园自留</w:t>
      </w:r>
      <w:r>
        <w:rPr>
          <w:rFonts w:hint="eastAsia" w:ascii="仿宋_GB2312" w:hAnsi="仿宋_GB2312" w:eastAsia="仿宋_GB2312" w:cs="仿宋_GB2312"/>
          <w:sz w:val="32"/>
          <w:szCs w:val="32"/>
          <w:lang w:bidi="zh-TW"/>
        </w:rPr>
        <w:t>房产、春华家园19号栋安置房，东井嘉园91户还建住房办证，土桥拆迁还建安置等住户反映强烈的历史遗留问题。</w:t>
      </w:r>
    </w:p>
    <w:p w14:paraId="6F946BF4">
      <w:pPr>
        <w:pStyle w:val="2"/>
        <w:keepNext w:val="0"/>
        <w:keepLines w:val="0"/>
        <w:pageBreakBefore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年度绩效指标完成情况</w:t>
      </w:r>
    </w:p>
    <w:p w14:paraId="2BD2EF8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2024年度绩效指标全面完成，并取得了良好的经济效益、社会效益和生态效益。</w:t>
      </w:r>
    </w:p>
    <w:p w14:paraId="343D1886">
      <w:pPr>
        <w:pStyle w:val="2"/>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预算执行指标完成情况</w:t>
      </w:r>
    </w:p>
    <w:p w14:paraId="42A25C7E">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w:t>
      </w:r>
      <w:r>
        <w:rPr>
          <w:rFonts w:hint="eastAsia" w:ascii="仿宋_GB2312" w:hAnsi="仿宋_GB2312" w:eastAsia="仿宋_GB2312" w:cs="仿宋_GB2312"/>
          <w:sz w:val="32"/>
          <w:szCs w:val="32"/>
          <w:lang w:val="en-US" w:eastAsia="zh-CN"/>
        </w:rPr>
        <w:t>部门整体支出全年预算数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1792.42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实际支出总额1513.64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，预算执行率84.45%。</w:t>
      </w:r>
    </w:p>
    <w:p w14:paraId="241A5F2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sz w:val="32"/>
          <w:szCs w:val="32"/>
          <w:lang w:val="en-US" w:eastAsia="zh-CN"/>
        </w:rPr>
        <w:t>产出指标完成情况</w:t>
      </w:r>
    </w:p>
    <w:p w14:paraId="7372160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数量指标方面，按时收取公租房小区租金132万元，超额完成目标值；实现物业维修资金归集1.138亿元，超额完成目标值；老旧小区改造项目已开工建设606个，完工21个，完成投资额97444.27万元。</w:t>
      </w:r>
    </w:p>
    <w:p w14:paraId="67EC693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质量指标方面，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确保保障性住房资源公平使用，无违规违法使用保障性住房现象；及时办结受理的职能范围内信访件，办结率100%，确保城区多个园林单位绿化以及城区主干道行道树木已实施白蚁防治区域无明显蚁害，不重复出现蚁害。</w:t>
      </w:r>
    </w:p>
    <w:p w14:paraId="3F0810E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时效和成本指标方面，年度内，预算成本控制较好，未超全年预算数。</w:t>
      </w:r>
    </w:p>
    <w:p w14:paraId="231BCE0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3、效益指标完成情况</w:t>
      </w:r>
    </w:p>
    <w:p w14:paraId="449B698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经济效益指标方面，收取公租房小区租金132万元，补缴土地收益金236.73万元，均超额完成目标值。</w:t>
      </w:r>
    </w:p>
    <w:p w14:paraId="55C785D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eastAsia="仿宋_GB2312"/>
          <w:sz w:val="32"/>
          <w:szCs w:val="32"/>
          <w:lang w:val="en-US" w:eastAsia="zh-CN"/>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社会效益指标方面，一是保障全市低收入家庭住有所居。</w:t>
      </w:r>
      <w:r>
        <w:rPr>
          <w:rFonts w:hint="eastAsia" w:ascii="仿宋_GB2312" w:hAnsi="仿宋_GB2312" w:eastAsia="仿宋_GB2312" w:cs="仿宋_GB2312"/>
          <w:sz w:val="32"/>
          <w:szCs w:val="32"/>
        </w:rPr>
        <w:t>根据市政府系列会议精神和省住建厅要求加快公租房建设工作要求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派专人及时跟踪督导保障性租赁住房项目建设进度，按项目进度拨付保障性租赁住房专项资金，确保在省住建厅既定的时间节点完成全面开工</w:t>
      </w:r>
      <w:r>
        <w:rPr>
          <w:rFonts w:hint="eastAsia" w:ascii="仿宋_GB2312" w:hAnsi="仿宋_GB2312" w:eastAsia="仿宋_GB2312" w:cs="仿宋_GB2312"/>
          <w:sz w:val="32"/>
          <w:szCs w:val="32"/>
          <w:lang w:eastAsia="zh-CN"/>
        </w:rPr>
        <w:t>；</w:t>
      </w:r>
      <w:r>
        <w:rPr>
          <w:rFonts w:hAnsi="仿宋_GB2312" w:eastAsia="仿宋_GB2312"/>
          <w:bCs/>
          <w:color w:val="000000"/>
          <w:sz w:val="32"/>
          <w:szCs w:val="32"/>
        </w:rPr>
        <w:t>面对市场发展中的不确定性和风险挑战，</w:t>
      </w:r>
      <w:r>
        <w:rPr>
          <w:rFonts w:hint="eastAsia" w:hAnsi="仿宋_GB2312" w:eastAsia="仿宋_GB2312"/>
          <w:sz w:val="32"/>
          <w:szCs w:val="32"/>
        </w:rPr>
        <w:t>坚决</w:t>
      </w:r>
      <w:r>
        <w:rPr>
          <w:rFonts w:hAnsi="仿宋_GB2312" w:eastAsia="仿宋_GB2312"/>
          <w:sz w:val="32"/>
          <w:szCs w:val="32"/>
        </w:rPr>
        <w:t>按照市保交楼、保交房工作部署，密切跟进</w:t>
      </w:r>
      <w:r>
        <w:rPr>
          <w:rFonts w:hint="eastAsia" w:hAnsi="仿宋_GB2312" w:eastAsia="仿宋_GB2312"/>
          <w:sz w:val="32"/>
          <w:szCs w:val="32"/>
        </w:rPr>
        <w:t>，确保</w:t>
      </w:r>
      <w:r>
        <w:rPr>
          <w:rFonts w:hAnsi="仿宋_GB2312" w:eastAsia="仿宋_GB2312"/>
          <w:sz w:val="32"/>
          <w:szCs w:val="32"/>
        </w:rPr>
        <w:t>保交楼工程</w:t>
      </w:r>
      <w:r>
        <w:rPr>
          <w:rFonts w:hint="eastAsia" w:hAnsi="仿宋_GB2312" w:eastAsia="仿宋_GB2312"/>
          <w:sz w:val="32"/>
          <w:szCs w:val="32"/>
        </w:rPr>
        <w:t>项目</w:t>
      </w:r>
      <w:r>
        <w:rPr>
          <w:rFonts w:hAnsi="仿宋_GB2312" w:eastAsia="仿宋_GB2312"/>
          <w:sz w:val="32"/>
          <w:szCs w:val="32"/>
        </w:rPr>
        <w:t>进度款按流程拨付审批。</w:t>
      </w:r>
      <w:r>
        <w:rPr>
          <w:rFonts w:hint="eastAsia" w:hAnsi="仿宋_GB2312" w:eastAsia="仿宋_GB2312"/>
          <w:sz w:val="32"/>
          <w:szCs w:val="32"/>
          <w:lang w:val="en-US" w:eastAsia="zh-CN"/>
        </w:rPr>
        <w:t>二是物业维修资金缴存高效便民，年内实现了维修资金缴存线上办理。三是改善全市城镇居民的生活环境，老旧小区改造民生实事项目232个，开工率100%。</w:t>
      </w:r>
    </w:p>
    <w:p w14:paraId="67A7B77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eastAsia="仿宋_GB2312"/>
          <w:sz w:val="32"/>
          <w:szCs w:val="32"/>
          <w:lang w:val="en-US" w:eastAsia="zh-CN"/>
        </w:rPr>
      </w:pPr>
      <w:r>
        <w:rPr>
          <w:rFonts w:hint="eastAsia" w:hAnsi="仿宋_GB2312" w:eastAsia="仿宋_GB2312"/>
          <w:sz w:val="32"/>
          <w:szCs w:val="32"/>
          <w:lang w:val="en-US" w:eastAsia="zh-CN"/>
        </w:rPr>
        <w:t>生态效益指标方面，做好城镇房屋、园林绿化、中心城区主干道树木的白蚁防治工作，保护全市生态环境持续向好地发展。</w:t>
      </w:r>
    </w:p>
    <w:p w14:paraId="5EFCA9F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hAnsi="仿宋_GB2312" w:eastAsia="仿宋_GB2312"/>
          <w:sz w:val="32"/>
          <w:szCs w:val="32"/>
          <w:lang w:val="en-US" w:eastAsia="zh-CN"/>
        </w:rPr>
      </w:pPr>
      <w:r>
        <w:rPr>
          <w:rFonts w:hint="eastAsia" w:hAnsi="仿宋_GB2312" w:eastAsia="仿宋_GB2312"/>
          <w:sz w:val="32"/>
          <w:szCs w:val="32"/>
          <w:lang w:val="en-US" w:eastAsia="zh-CN"/>
        </w:rPr>
        <w:t>可持续影响指标方面，公租房实行准入退出机制，按时对市本级公租房小区承租户资格年审，及时清退不符合入住条件的租户。</w:t>
      </w:r>
    </w:p>
    <w:p w14:paraId="7D40B30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hAnsi="仿宋_GB2312" w:eastAsia="仿宋_GB2312"/>
          <w:sz w:val="32"/>
          <w:szCs w:val="32"/>
          <w:lang w:val="en-US" w:eastAsia="zh-CN"/>
        </w:rPr>
      </w:pPr>
      <w:r>
        <w:rPr>
          <w:rFonts w:hint="eastAsia" w:hAnsi="仿宋_GB2312" w:eastAsia="仿宋_GB2312"/>
          <w:sz w:val="32"/>
          <w:szCs w:val="32"/>
          <w:lang w:val="en-US" w:eastAsia="zh-CN"/>
        </w:rPr>
        <w:t>4、满意度指标完成情况</w:t>
      </w:r>
    </w:p>
    <w:p w14:paraId="07FFD31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hAnsi="仿宋_GB2312" w:eastAsia="仿宋_GB2312"/>
          <w:sz w:val="32"/>
          <w:szCs w:val="32"/>
          <w:lang w:val="en-US" w:eastAsia="zh-CN"/>
        </w:rPr>
      </w:pPr>
      <w:r>
        <w:rPr>
          <w:rFonts w:hint="eastAsia" w:eastAsia="仿宋" w:cs="仿宋"/>
          <w:b w:val="0"/>
          <w:bCs w:val="0"/>
          <w:sz w:val="32"/>
          <w:szCs w:val="32"/>
          <w:lang w:val="en-US" w:eastAsia="zh-CN" w:bidi="ar-SA"/>
        </w:rPr>
        <w:t>立足“为人民服务”宗旨，服务大众办实事。</w:t>
      </w:r>
      <w:r>
        <w:rPr>
          <w:rFonts w:hint="eastAsia" w:ascii="仿宋_GB2312" w:hAnsi="仿宋_GB2312" w:eastAsia="仿宋_GB2312" w:cs="仿宋_GB2312"/>
          <w:sz w:val="32"/>
          <w:szCs w:val="32"/>
        </w:rPr>
        <w:t>对政府直管公房、保障性住房等困难、低保群众住户发生的白蚁危害积极开展灭蚁公益服务，组织物业公司及项目施工单位解决保障房小区渗漏水、电梯故障等问题</w:t>
      </w:r>
      <w:r>
        <w:rPr>
          <w:rFonts w:hint="eastAsia" w:ascii="仿宋_GB2312" w:hAnsi="仿宋_GB2312" w:eastAsia="仿宋_GB2312" w:cs="仿宋_GB2312"/>
          <w:sz w:val="32"/>
          <w:szCs w:val="32"/>
          <w:lang w:eastAsia="zh-CN"/>
        </w:rPr>
        <w:t>。</w:t>
      </w:r>
      <w:r>
        <w:rPr>
          <w:rFonts w:hint="eastAsia" w:hAnsi="仿宋_GB2312" w:eastAsia="仿宋_GB2312"/>
          <w:sz w:val="32"/>
          <w:szCs w:val="32"/>
          <w:lang w:val="en-US" w:eastAsia="zh-CN"/>
        </w:rPr>
        <w:t>住户满意度90%，达到目标值。</w:t>
      </w:r>
    </w:p>
    <w:p w14:paraId="519D3D1C">
      <w:pPr>
        <w:pStyle w:val="2"/>
        <w:keepNext w:val="0"/>
        <w:keepLines w:val="0"/>
        <w:pageBreakBefore w:val="0"/>
        <w:numPr>
          <w:ilvl w:val="0"/>
          <w:numId w:val="6"/>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绩效指标自评情况</w:t>
      </w:r>
    </w:p>
    <w:p w14:paraId="56B0940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年部门整体支出绩效自评得分为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98.09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分，评价等级为优秀。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具体得分情况如下：</w:t>
      </w:r>
    </w:p>
    <w:p w14:paraId="6196C9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预算执行情况：</w:t>
      </w:r>
      <w:r>
        <w:rPr>
          <w:rFonts w:hint="eastAsia" w:ascii="仿宋_GB2312" w:hAnsi="仿宋_GB2312" w:eastAsia="仿宋_GB2312" w:cs="仿宋_GB2312"/>
          <w:color w:val="auto"/>
          <w:sz w:val="32"/>
          <w:szCs w:val="32"/>
        </w:rPr>
        <w:t>指标分值</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自评得分8.44</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14:paraId="0933DF82">
      <w:pPr>
        <w:pStyle w:val="2"/>
        <w:keepNext w:val="0"/>
        <w:keepLines w:val="0"/>
        <w:pageBreakBefore w:val="0"/>
        <w:numPr>
          <w:ilvl w:val="0"/>
          <w:numId w:val="1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产出指标情况：</w:t>
      </w:r>
      <w:r>
        <w:rPr>
          <w:rFonts w:hint="eastAsia" w:ascii="仿宋_GB2312" w:hAnsi="仿宋_GB2312" w:eastAsia="仿宋_GB2312" w:cs="仿宋_GB2312"/>
          <w:color w:val="auto"/>
          <w:sz w:val="32"/>
          <w:szCs w:val="32"/>
        </w:rPr>
        <w:t>指标分值50分，</w:t>
      </w:r>
      <w:r>
        <w:rPr>
          <w:rFonts w:hint="eastAsia" w:ascii="仿宋_GB2312" w:hAnsi="仿宋_GB2312" w:eastAsia="仿宋_GB2312" w:cs="仿宋_GB2312"/>
          <w:color w:val="auto"/>
          <w:sz w:val="32"/>
          <w:szCs w:val="32"/>
          <w:lang w:val="en-US" w:eastAsia="zh-CN"/>
        </w:rPr>
        <w:t>自评</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val="en-US" w:eastAsia="zh-CN"/>
        </w:rPr>
        <w:t>49.65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14:paraId="72A953D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3、效益指标情况：</w:t>
      </w:r>
      <w:r>
        <w:rPr>
          <w:rFonts w:hint="eastAsia" w:ascii="仿宋_GB2312" w:hAnsi="仿宋_GB2312" w:eastAsia="仿宋_GB2312" w:cs="仿宋_GB2312"/>
          <w:color w:val="auto"/>
          <w:sz w:val="32"/>
          <w:szCs w:val="32"/>
        </w:rPr>
        <w:t>指标分值</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w:t>
      </w:r>
      <w:r>
        <w:rPr>
          <w:rFonts w:hint="eastAsia" w:ascii="仿宋_GB2312" w:hAnsi="仿宋_GB2312" w:eastAsia="仿宋_GB2312" w:cs="仿宋_GB2312"/>
          <w:color w:val="auto"/>
          <w:sz w:val="32"/>
          <w:szCs w:val="32"/>
          <w:lang w:val="en-US" w:eastAsia="zh-CN"/>
        </w:rPr>
        <w:t>自评</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p>
    <w:p w14:paraId="4D937911">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4、满意度指标情况：</w:t>
      </w:r>
      <w:r>
        <w:rPr>
          <w:rFonts w:hint="eastAsia" w:ascii="仿宋_GB2312" w:hAnsi="仿宋_GB2312" w:eastAsia="仿宋_GB2312" w:cs="仿宋_GB2312"/>
          <w:color w:val="auto"/>
          <w:sz w:val="32"/>
          <w:szCs w:val="32"/>
        </w:rPr>
        <w:t>指标分值</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0分，</w:t>
      </w:r>
      <w:r>
        <w:rPr>
          <w:rFonts w:hint="eastAsia" w:ascii="仿宋_GB2312" w:hAnsi="仿宋_GB2312" w:eastAsia="仿宋_GB2312" w:cs="仿宋_GB2312"/>
          <w:color w:val="auto"/>
          <w:sz w:val="32"/>
          <w:szCs w:val="32"/>
          <w:lang w:val="en-US" w:eastAsia="zh-CN"/>
        </w:rPr>
        <w:t>自评</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p>
    <w:p w14:paraId="140FE715">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七、存在的问题及原因分析</w:t>
      </w:r>
    </w:p>
    <w:p w14:paraId="35BCE627">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个别项目未实施，导致整体预算执行率偏低，主要原因是项目前期手续办理困难，年内来不及实施。</w:t>
      </w:r>
    </w:p>
    <w:p w14:paraId="648AF008">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 w:cs="Times New Roman"/>
          <w:color w:val="000000" w:themeColor="text1"/>
          <w:kern w:val="0"/>
          <w:sz w:val="32"/>
          <w:szCs w:val="32"/>
          <w:u w:val="none"/>
          <w:lang w:val="en-US" w:eastAsia="zh-CN" w:bidi="ar-SA"/>
          <w14:textFill>
            <w14:solidFill>
              <w14:schemeClr w14:val="tx1"/>
            </w14:solidFill>
          </w14:textFill>
        </w:rPr>
        <w:t>2、</w:t>
      </w:r>
      <w:r>
        <w:rPr>
          <w:rFonts w:hint="eastAsia" w:ascii="仿宋_GB2312" w:hAnsi="仿宋_GB2312" w:eastAsia="仿宋_GB2312" w:cs="仿宋_GB2312"/>
          <w:sz w:val="32"/>
          <w:szCs w:val="32"/>
        </w:rPr>
        <w:t>老旧小区改造</w:t>
      </w:r>
      <w:r>
        <w:rPr>
          <w:rFonts w:hint="eastAsia" w:ascii="仿宋_GB2312" w:hAnsi="仿宋_GB2312" w:eastAsia="仿宋_GB2312" w:cs="仿宋_GB2312"/>
          <w:sz w:val="32"/>
          <w:szCs w:val="32"/>
          <w:lang w:val="en-US" w:eastAsia="zh-CN"/>
        </w:rPr>
        <w:t>项目开工率</w:t>
      </w:r>
      <w:r>
        <w:rPr>
          <w:rFonts w:hint="eastAsia" w:ascii="仿宋_GB2312" w:hAnsi="仿宋_GB2312" w:eastAsia="仿宋_GB2312" w:cs="仿宋_GB2312"/>
          <w:sz w:val="32"/>
          <w:szCs w:val="32"/>
        </w:rPr>
        <w:t>95.73%，</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rPr>
        <w:t>君山区、屈原区未开工小区</w:t>
      </w:r>
      <w:r>
        <w:rPr>
          <w:rFonts w:hint="eastAsia" w:ascii="仿宋_GB2312" w:hAnsi="仿宋_GB2312" w:eastAsia="仿宋_GB2312" w:cs="仿宋_GB2312"/>
          <w:sz w:val="32"/>
          <w:szCs w:val="32"/>
          <w:lang w:val="en-US" w:eastAsia="zh-CN"/>
        </w:rPr>
        <w:t>较多</w:t>
      </w:r>
      <w:r>
        <w:rPr>
          <w:rFonts w:hint="eastAsia" w:ascii="仿宋_GB2312" w:hAnsi="仿宋_GB2312" w:eastAsia="仿宋_GB2312" w:cs="仿宋_GB2312"/>
          <w:sz w:val="32"/>
          <w:szCs w:val="32"/>
          <w:lang w:eastAsia="zh-CN"/>
        </w:rPr>
        <w:t>。</w:t>
      </w:r>
    </w:p>
    <w:p w14:paraId="212712DA">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3、新建房屋预防项目白蚁防治面积未全覆盖，原因是部分房屋施工未完工，待完工后实施白蚁防治。</w:t>
      </w:r>
    </w:p>
    <w:p w14:paraId="2DA87CB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八、下一步改进措施</w:t>
      </w:r>
    </w:p>
    <w:p w14:paraId="5DAECB2A">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1、</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提前做好项目前期准备工作，项目预算资金拨付后能尽快实施。</w:t>
      </w:r>
    </w:p>
    <w:p w14:paraId="1439D0F1">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 w:cs="Times New Roman"/>
          <w:color w:val="000000" w:themeColor="text1"/>
          <w:sz w:val="32"/>
          <w:szCs w:val="32"/>
          <w:u w:val="none"/>
          <w:lang w:val="en-US" w:eastAsia="zh-CN"/>
          <w14:textFill>
            <w14:solidFill>
              <w14:schemeClr w14:val="tx1"/>
            </w14:solidFill>
          </w14:textFill>
        </w:rPr>
        <w:t>全力推进老旧小区改造，力争25年6月前全面完工。</w:t>
      </w:r>
    </w:p>
    <w:p w14:paraId="3E46C44E">
      <w:pPr>
        <w:keepNext w:val="0"/>
        <w:keepLines w:val="0"/>
        <w:pageBreakBefore w:val="0"/>
        <w:widowControl/>
        <w:numPr>
          <w:ilvl w:val="0"/>
          <w:numId w:val="1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部门整体支出绩效自评结果拟应用和公开情况</w:t>
      </w:r>
    </w:p>
    <w:p w14:paraId="19E574C8">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中心整体支出绩效自评将在上级主管部门和本中心网站上同步公开。</w:t>
      </w:r>
    </w:p>
    <w:p w14:paraId="466CDF5A">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其他需要说明的情况</w:t>
      </w:r>
    </w:p>
    <w:p w14:paraId="284D2148">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无</w:t>
      </w:r>
    </w:p>
    <w:p w14:paraId="6B3FE2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附件</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年度部门整体支出绩效评价基础数据表</w:t>
      </w:r>
    </w:p>
    <w:p w14:paraId="71CFA3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附件</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年度部门整体支出绩效自评表</w:t>
      </w:r>
    </w:p>
    <w:p w14:paraId="2C8BDA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附件</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年度项目支出绩效自评表</w:t>
      </w:r>
    </w:p>
    <w:p w14:paraId="10C69219">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p>
    <w:p w14:paraId="7F8D4337">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right"/>
        <w:textAlignment w:val="auto"/>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bidi="ar-SA"/>
          <w14:textFill>
            <w14:solidFill>
              <w14:schemeClr w14:val="tx1"/>
            </w14:solidFill>
          </w14:textFill>
        </w:rPr>
        <w:t>岳阳市住房保障服务中心</w:t>
      </w:r>
    </w:p>
    <w:p w14:paraId="043B57B3">
      <w:pPr>
        <w:spacing w:after="120" w:afterLines="50" w:line="600" w:lineRule="exact"/>
        <w:jc w:val="cente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 w:cs="Times New Roman"/>
          <w:color w:val="000000" w:themeColor="text1"/>
          <w:kern w:val="0"/>
          <w:sz w:val="32"/>
          <w:szCs w:val="32"/>
          <w:lang w:val="en-US" w:eastAsia="zh-CN" w:bidi="ar-SA"/>
          <w14:textFill>
            <w14:solidFill>
              <w14:schemeClr w14:val="tx1"/>
            </w14:solidFill>
          </w14:textFill>
        </w:rPr>
        <w:t xml:space="preserve">                              2025年4月2日</w:t>
      </w:r>
    </w:p>
    <w:p w14:paraId="7948CB4F">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DFBEC2A">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B458C66">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65E7EB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CD6996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1B44F0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1D2726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BB152B0">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EBC361D">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56C0ACF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6270B9D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3457CC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47D9E4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6723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8CA853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B841F4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D33A4B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5622874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464F4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64CBD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E717D7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929D81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A69DAE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E630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C46E3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4.13</w:t>
            </w:r>
          </w:p>
        </w:tc>
        <w:tc>
          <w:tcPr>
            <w:tcW w:w="2240" w:type="dxa"/>
            <w:gridSpan w:val="2"/>
            <w:tcBorders>
              <w:top w:val="single" w:color="auto" w:sz="4" w:space="0"/>
              <w:left w:val="nil"/>
              <w:bottom w:val="single" w:color="auto" w:sz="4" w:space="0"/>
              <w:right w:val="single" w:color="000000" w:sz="4" w:space="0"/>
            </w:tcBorders>
            <w:noWrap w:val="0"/>
            <w:vAlign w:val="center"/>
          </w:tcPr>
          <w:p w14:paraId="5DE634D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344151E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2.07</w:t>
            </w:r>
            <w:r>
              <w:rPr>
                <w:rFonts w:hint="eastAsia" w:ascii="仿宋_GB2312" w:hAnsi="仿宋_GB2312" w:eastAsia="仿宋_GB2312" w:cs="仿宋_GB2312"/>
                <w:sz w:val="20"/>
                <w:szCs w:val="20"/>
                <w:highlight w:val="none"/>
              </w:rPr>
              <w:t>　</w:t>
            </w:r>
          </w:p>
        </w:tc>
      </w:tr>
      <w:tr w14:paraId="60E786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062D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741A76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2114FF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FE44D8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D8FC7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E1B27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628513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4.13</w:t>
            </w:r>
          </w:p>
        </w:tc>
        <w:tc>
          <w:tcPr>
            <w:tcW w:w="2240" w:type="dxa"/>
            <w:gridSpan w:val="2"/>
            <w:tcBorders>
              <w:top w:val="single" w:color="auto" w:sz="4" w:space="0"/>
              <w:left w:val="nil"/>
              <w:bottom w:val="single" w:color="auto" w:sz="4" w:space="0"/>
              <w:right w:val="single" w:color="000000" w:sz="4" w:space="0"/>
            </w:tcBorders>
            <w:noWrap w:val="0"/>
            <w:vAlign w:val="center"/>
          </w:tcPr>
          <w:p w14:paraId="632FEB3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D6A0AB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2.07</w:t>
            </w:r>
            <w:r>
              <w:rPr>
                <w:rFonts w:hint="eastAsia" w:ascii="仿宋_GB2312" w:hAnsi="仿宋_GB2312" w:eastAsia="仿宋_GB2312" w:cs="仿宋_GB2312"/>
                <w:sz w:val="20"/>
                <w:szCs w:val="20"/>
                <w:highlight w:val="none"/>
              </w:rPr>
              <w:t>　</w:t>
            </w:r>
          </w:p>
        </w:tc>
      </w:tr>
      <w:tr w14:paraId="534124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0B4A8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15C4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0FA694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FE2318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84C80A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48D1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1E910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A0214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B5225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D68E42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37EC9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7AF16E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1874.05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04F966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439.66</w:t>
            </w:r>
          </w:p>
        </w:tc>
        <w:tc>
          <w:tcPr>
            <w:tcW w:w="2041" w:type="dxa"/>
            <w:gridSpan w:val="2"/>
            <w:tcBorders>
              <w:top w:val="single" w:color="auto" w:sz="4" w:space="0"/>
              <w:left w:val="nil"/>
              <w:bottom w:val="single" w:color="auto" w:sz="4" w:space="0"/>
              <w:right w:val="single" w:color="000000" w:sz="4" w:space="0"/>
            </w:tcBorders>
            <w:noWrap w:val="0"/>
            <w:vAlign w:val="center"/>
          </w:tcPr>
          <w:p w14:paraId="720E85E0">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188.47</w:t>
            </w:r>
          </w:p>
        </w:tc>
      </w:tr>
      <w:tr w14:paraId="78A944C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F74C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A9BC3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146.86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7D2F62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139.65</w:t>
            </w:r>
          </w:p>
        </w:tc>
        <w:tc>
          <w:tcPr>
            <w:tcW w:w="2041" w:type="dxa"/>
            <w:gridSpan w:val="2"/>
            <w:tcBorders>
              <w:top w:val="single" w:color="auto" w:sz="4" w:space="0"/>
              <w:left w:val="nil"/>
              <w:bottom w:val="single" w:color="auto" w:sz="4" w:space="0"/>
              <w:right w:val="single" w:color="000000" w:sz="4" w:space="0"/>
            </w:tcBorders>
            <w:noWrap w:val="0"/>
            <w:vAlign w:val="center"/>
          </w:tcPr>
          <w:p w14:paraId="47983ADD">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139.61</w:t>
            </w:r>
          </w:p>
        </w:tc>
      </w:tr>
      <w:tr w14:paraId="3204E2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36AFA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101B58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116.29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0C1731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27.00</w:t>
            </w:r>
          </w:p>
        </w:tc>
        <w:tc>
          <w:tcPr>
            <w:tcW w:w="2041" w:type="dxa"/>
            <w:gridSpan w:val="2"/>
            <w:tcBorders>
              <w:top w:val="single" w:color="auto" w:sz="4" w:space="0"/>
              <w:left w:val="nil"/>
              <w:bottom w:val="single" w:color="auto" w:sz="4" w:space="0"/>
              <w:right w:val="single" w:color="000000" w:sz="4" w:space="0"/>
            </w:tcBorders>
            <w:noWrap w:val="0"/>
            <w:vAlign w:val="center"/>
          </w:tcPr>
          <w:p w14:paraId="5A97456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27.00</w:t>
            </w:r>
          </w:p>
        </w:tc>
      </w:tr>
      <w:tr w14:paraId="3E17ACA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23BF4A19">
            <w:pPr>
              <w:widowControl/>
              <w:spacing w:line="360" w:lineRule="exact"/>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5BAE25C">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DB925B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E008A7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r>
      <w:tr w14:paraId="217DC7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6D9AAAAA">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保障房建设资金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ECFAF9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1500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2062ADC">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1581CC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B4F0E1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4B09A3A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老旧小区配套改造</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B30F835">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32.81</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1CDBEB0">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6C3978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3519CA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29662E5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工作经费及其他资金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C42C65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78.09</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677A1EE">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A91234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4D678A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85E63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指标结余结转</w:t>
            </w:r>
          </w:p>
        </w:tc>
        <w:tc>
          <w:tcPr>
            <w:tcW w:w="2038" w:type="dxa"/>
            <w:gridSpan w:val="2"/>
            <w:tcBorders>
              <w:top w:val="single" w:color="auto" w:sz="4" w:space="0"/>
              <w:left w:val="nil"/>
              <w:bottom w:val="single" w:color="auto" w:sz="4" w:space="0"/>
              <w:right w:val="single" w:color="000000" w:sz="4" w:space="0"/>
            </w:tcBorders>
            <w:noWrap w:val="0"/>
            <w:vAlign w:val="center"/>
          </w:tcPr>
          <w:p w14:paraId="7CD7AF3B">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78B1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7.86</w:t>
            </w:r>
          </w:p>
        </w:tc>
        <w:tc>
          <w:tcPr>
            <w:tcW w:w="2041" w:type="dxa"/>
            <w:gridSpan w:val="2"/>
            <w:tcBorders>
              <w:top w:val="single" w:color="auto" w:sz="4" w:space="0"/>
              <w:left w:val="nil"/>
              <w:bottom w:val="single" w:color="auto" w:sz="4" w:space="0"/>
              <w:right w:val="single" w:color="000000" w:sz="4" w:space="0"/>
            </w:tcBorders>
            <w:noWrap w:val="0"/>
            <w:vAlign w:val="center"/>
          </w:tcPr>
          <w:p w14:paraId="3BD2698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7.86</w:t>
            </w:r>
          </w:p>
        </w:tc>
      </w:tr>
      <w:tr w14:paraId="499CCF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ACBE5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2024年住房保障工作经费（决算报表里的住房保障事务管理经费）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7D3146C">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E905C1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14.00</w:t>
            </w:r>
          </w:p>
        </w:tc>
        <w:tc>
          <w:tcPr>
            <w:tcW w:w="2041" w:type="dxa"/>
            <w:gridSpan w:val="2"/>
            <w:tcBorders>
              <w:top w:val="single" w:color="auto" w:sz="4" w:space="0"/>
              <w:left w:val="nil"/>
              <w:bottom w:val="single" w:color="auto" w:sz="4" w:space="0"/>
              <w:right w:val="single" w:color="000000" w:sz="4" w:space="0"/>
            </w:tcBorders>
            <w:noWrap w:val="0"/>
            <w:vAlign w:val="center"/>
          </w:tcPr>
          <w:p w14:paraId="692A7D4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14.00</w:t>
            </w:r>
          </w:p>
        </w:tc>
      </w:tr>
      <w:tr w14:paraId="2E53C8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7FB55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物业和维修基金管理专项经费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91E92F">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C43F17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200.00</w:t>
            </w:r>
          </w:p>
        </w:tc>
        <w:tc>
          <w:tcPr>
            <w:tcW w:w="2041" w:type="dxa"/>
            <w:gridSpan w:val="2"/>
            <w:tcBorders>
              <w:top w:val="single" w:color="auto" w:sz="4" w:space="0"/>
              <w:left w:val="nil"/>
              <w:bottom w:val="single" w:color="auto" w:sz="4" w:space="0"/>
              <w:right w:val="single" w:color="000000" w:sz="4" w:space="0"/>
            </w:tcBorders>
            <w:noWrap w:val="0"/>
            <w:vAlign w:val="center"/>
          </w:tcPr>
          <w:p w14:paraId="304D0E1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6F497F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D0E11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E6399D0">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DC2DCC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51.15</w:t>
            </w:r>
          </w:p>
        </w:tc>
        <w:tc>
          <w:tcPr>
            <w:tcW w:w="2041" w:type="dxa"/>
            <w:gridSpan w:val="2"/>
            <w:tcBorders>
              <w:top w:val="single" w:color="auto" w:sz="4" w:space="0"/>
              <w:left w:val="nil"/>
              <w:bottom w:val="single" w:color="auto" w:sz="4" w:space="0"/>
              <w:right w:val="single" w:color="000000" w:sz="4" w:space="0"/>
            </w:tcBorders>
            <w:noWrap w:val="0"/>
            <w:vAlign w:val="center"/>
          </w:tcPr>
          <w:p w14:paraId="54B0719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2E6009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9D28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9E5A5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138.21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56796D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157.61</w:t>
            </w:r>
          </w:p>
        </w:tc>
        <w:tc>
          <w:tcPr>
            <w:tcW w:w="2041" w:type="dxa"/>
            <w:gridSpan w:val="2"/>
            <w:tcBorders>
              <w:top w:val="single" w:color="auto" w:sz="4" w:space="0"/>
              <w:left w:val="nil"/>
              <w:bottom w:val="single" w:color="auto" w:sz="4" w:space="0"/>
              <w:right w:val="single" w:color="000000" w:sz="4" w:space="0"/>
            </w:tcBorders>
            <w:noWrap w:val="0"/>
            <w:vAlign w:val="center"/>
          </w:tcPr>
          <w:p w14:paraId="367B56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140.02</w:t>
            </w:r>
            <w:r>
              <w:rPr>
                <w:rFonts w:hint="eastAsia" w:ascii="仿宋_GB2312" w:hAnsi="仿宋_GB2312" w:eastAsia="仿宋_GB2312" w:cs="仿宋_GB2312"/>
                <w:sz w:val="20"/>
                <w:szCs w:val="20"/>
                <w:highlight w:val="none"/>
              </w:rPr>
              <w:t>　</w:t>
            </w:r>
          </w:p>
        </w:tc>
      </w:tr>
      <w:tr w14:paraId="42EDF1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54555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34D971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49.24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18A21FE">
            <w:pPr>
              <w:widowControl/>
              <w:spacing w:line="360" w:lineRule="exact"/>
              <w:ind w:firstLine="800" w:firstLineChars="400"/>
              <w:jc w:val="both"/>
              <w:rPr>
                <w:rFonts w:hint="default" w:ascii="仿宋_GB2312" w:hAnsi="仿宋_GB2312" w:eastAsia="仿宋_GB2312" w:cs="仿宋_GB2312"/>
                <w:color w:val="auto"/>
                <w:sz w:val="20"/>
                <w:szCs w:val="20"/>
                <w:highlight w:val="none"/>
                <w:lang w:val="en-US" w:eastAsia="zh-CN"/>
              </w:rPr>
            </w:pPr>
            <w:bookmarkStart w:id="0" w:name="_GoBack"/>
            <w:bookmarkEnd w:id="0"/>
            <w:r>
              <w:rPr>
                <w:rFonts w:hint="eastAsia" w:ascii="仿宋_GB2312" w:hAnsi="仿宋_GB2312" w:eastAsia="仿宋_GB2312" w:cs="仿宋_GB2312"/>
                <w:color w:val="auto"/>
                <w:sz w:val="20"/>
                <w:szCs w:val="20"/>
                <w:highlight w:val="none"/>
                <w:lang w:val="en-US" w:eastAsia="zh-CN"/>
              </w:rPr>
              <w:t>6.84</w:t>
            </w:r>
          </w:p>
        </w:tc>
        <w:tc>
          <w:tcPr>
            <w:tcW w:w="2041" w:type="dxa"/>
            <w:gridSpan w:val="2"/>
            <w:tcBorders>
              <w:top w:val="single" w:color="auto" w:sz="4" w:space="0"/>
              <w:left w:val="nil"/>
              <w:bottom w:val="single" w:color="auto" w:sz="4" w:space="0"/>
              <w:right w:val="single" w:color="000000" w:sz="4" w:space="0"/>
            </w:tcBorders>
            <w:noWrap w:val="0"/>
            <w:vAlign w:val="center"/>
          </w:tcPr>
          <w:p w14:paraId="1A3BD55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4.08</w:t>
            </w:r>
          </w:p>
        </w:tc>
      </w:tr>
      <w:tr w14:paraId="19CE5F5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9C6C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F8EEDA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24.49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4F800DF">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27.43</w:t>
            </w:r>
          </w:p>
        </w:tc>
        <w:tc>
          <w:tcPr>
            <w:tcW w:w="2041" w:type="dxa"/>
            <w:gridSpan w:val="2"/>
            <w:tcBorders>
              <w:top w:val="single" w:color="auto" w:sz="4" w:space="0"/>
              <w:left w:val="nil"/>
              <w:bottom w:val="single" w:color="auto" w:sz="4" w:space="0"/>
              <w:right w:val="single" w:color="000000" w:sz="4" w:space="0"/>
            </w:tcBorders>
            <w:noWrap w:val="0"/>
            <w:vAlign w:val="center"/>
          </w:tcPr>
          <w:p w14:paraId="5F0F4DE1">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20.17</w:t>
            </w:r>
            <w:r>
              <w:rPr>
                <w:rFonts w:hint="eastAsia" w:ascii="仿宋_GB2312" w:hAnsi="仿宋_GB2312" w:eastAsia="仿宋_GB2312" w:cs="仿宋_GB2312"/>
                <w:color w:val="auto"/>
                <w:sz w:val="20"/>
                <w:szCs w:val="20"/>
                <w:highlight w:val="none"/>
              </w:rPr>
              <w:t>　</w:t>
            </w:r>
          </w:p>
        </w:tc>
      </w:tr>
      <w:tr w14:paraId="3529AA2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4131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3C0E82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16687CB">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80488C0">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2696B0F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3404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68C41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600E53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240.70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AC4D1B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123.41</w:t>
            </w:r>
          </w:p>
        </w:tc>
      </w:tr>
      <w:tr w14:paraId="7A7158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E6BD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CE55FD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8CB567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1352.76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EDD768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1325.17</w:t>
            </w:r>
          </w:p>
        </w:tc>
      </w:tr>
      <w:tr w14:paraId="0144E68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395AC3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26856BA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D6B286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0E7557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FB092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E1EB9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77AD7B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AF29B4C">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1E5804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336FA7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0B4DBC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510A2D3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0E680BE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5F1FF2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4F06B8F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FB01F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B3A15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687677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3D99B32A">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C3893C5">
      <w:pPr>
        <w:widowControl/>
        <w:spacing w:afterLines="0" w:line="400" w:lineRule="exact"/>
        <w:jc w:val="left"/>
        <w:rPr>
          <w:rFonts w:hint="default" w:ascii="Times New Roman" w:hAnsi="Times New Roman" w:eastAsia="仿宋_GB2312" w:cs="Times New Roman"/>
          <w:sz w:val="22"/>
          <w:highlight w:val="none"/>
        </w:rPr>
      </w:pPr>
    </w:p>
    <w:p w14:paraId="0D61F0C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color w:val="000000" w:themeColor="text1"/>
          <w:sz w:val="22"/>
          <w:highlight w:val="none"/>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李青</w:t>
      </w:r>
      <w:r>
        <w:rPr>
          <w:rFonts w:hint="default" w:ascii="Times New Roman" w:hAnsi="Times New Roman" w:eastAsia="仿宋_GB2312" w:cs="Times New Roman"/>
          <w:sz w:val="22"/>
          <w:highlight w:val="none"/>
        </w:rPr>
        <w:t xml:space="preserve">  填报日期： </w:t>
      </w:r>
      <w:r>
        <w:rPr>
          <w:rFonts w:hint="eastAsia" w:ascii="Times New Roman" w:hAnsi="Times New Roman" w:eastAsia="仿宋_GB2312" w:cs="Times New Roman"/>
          <w:sz w:val="22"/>
          <w:highlight w:val="none"/>
          <w:lang w:val="en-US" w:eastAsia="zh-CN"/>
        </w:rPr>
        <w:t>2025.4.2</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13873083020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color w:val="000000" w:themeColor="text1"/>
          <w:sz w:val="22"/>
          <w:highlight w:val="none"/>
          <w14:textFill>
            <w14:solidFill>
              <w14:schemeClr w14:val="tx1"/>
            </w14:solidFill>
          </w14:textFill>
        </w:rPr>
        <w:br w:type="page"/>
      </w:r>
    </w:p>
    <w:p w14:paraId="6321CD5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2</w:t>
      </w:r>
    </w:p>
    <w:p w14:paraId="2CB24FA6">
      <w:pPr>
        <w:widowControl/>
        <w:spacing w:after="120" w:afterLines="50"/>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eastAsia"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年度部门整体支出绩效自评表</w:t>
      </w:r>
    </w:p>
    <w:tbl>
      <w:tblPr>
        <w:tblStyle w:val="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58"/>
        <w:gridCol w:w="1056"/>
        <w:gridCol w:w="1423"/>
        <w:gridCol w:w="1541"/>
        <w:gridCol w:w="1500"/>
        <w:gridCol w:w="759"/>
        <w:gridCol w:w="861"/>
        <w:gridCol w:w="1031"/>
      </w:tblGrid>
      <w:tr w14:paraId="0BDC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E62550E">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市</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级预算部门名称</w:t>
            </w:r>
          </w:p>
        </w:tc>
        <w:tc>
          <w:tcPr>
            <w:tcW w:w="9229" w:type="dxa"/>
            <w:gridSpan w:val="8"/>
            <w:noWrap w:val="0"/>
            <w:vAlign w:val="center"/>
          </w:tcPr>
          <w:p w14:paraId="08E0352B">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岳阳市住房保障服务中心</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61EA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14:paraId="720B0CA9">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年度预</w:t>
            </w:r>
          </w:p>
          <w:p w14:paraId="07482A5D">
            <w:pPr>
              <w:widowControl/>
              <w:spacing w:line="240" w:lineRule="exact"/>
              <w:jc w:val="cente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算申请</w:t>
            </w:r>
          </w:p>
          <w:p w14:paraId="6EAA6523">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（万元）</w:t>
            </w:r>
          </w:p>
        </w:tc>
        <w:tc>
          <w:tcPr>
            <w:tcW w:w="2114" w:type="dxa"/>
            <w:gridSpan w:val="2"/>
            <w:noWrap w:val="0"/>
            <w:vAlign w:val="center"/>
          </w:tcPr>
          <w:p w14:paraId="1CD2918B">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7D5A1978">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年初预算数</w:t>
            </w:r>
          </w:p>
        </w:tc>
        <w:tc>
          <w:tcPr>
            <w:tcW w:w="1541" w:type="dxa"/>
            <w:noWrap w:val="0"/>
            <w:vAlign w:val="center"/>
          </w:tcPr>
          <w:p w14:paraId="3F4B81EC">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全年预算数</w:t>
            </w:r>
          </w:p>
        </w:tc>
        <w:tc>
          <w:tcPr>
            <w:tcW w:w="1500" w:type="dxa"/>
            <w:noWrap w:val="0"/>
            <w:vAlign w:val="center"/>
          </w:tcPr>
          <w:p w14:paraId="58789C78">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全年执行数</w:t>
            </w:r>
          </w:p>
        </w:tc>
        <w:tc>
          <w:tcPr>
            <w:tcW w:w="759" w:type="dxa"/>
            <w:noWrap w:val="0"/>
            <w:vAlign w:val="center"/>
          </w:tcPr>
          <w:p w14:paraId="28381738">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861" w:type="dxa"/>
            <w:noWrap w:val="0"/>
            <w:vAlign w:val="center"/>
          </w:tcPr>
          <w:p w14:paraId="415574CF">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执行率</w:t>
            </w:r>
          </w:p>
        </w:tc>
        <w:tc>
          <w:tcPr>
            <w:tcW w:w="1031" w:type="dxa"/>
            <w:noWrap w:val="0"/>
            <w:vAlign w:val="center"/>
          </w:tcPr>
          <w:p w14:paraId="5F750CA8">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r>
      <w:tr w14:paraId="3BDB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139E1FDF">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14" w:type="dxa"/>
            <w:gridSpan w:val="2"/>
            <w:noWrap w:val="0"/>
            <w:vAlign w:val="center"/>
          </w:tcPr>
          <w:p w14:paraId="2135A70E">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年度资金总额</w:t>
            </w:r>
          </w:p>
        </w:tc>
        <w:tc>
          <w:tcPr>
            <w:tcW w:w="1423" w:type="dxa"/>
            <w:noWrap w:val="0"/>
            <w:vAlign w:val="center"/>
          </w:tcPr>
          <w:p w14:paraId="4D55725F">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89.23</w:t>
            </w:r>
          </w:p>
        </w:tc>
        <w:tc>
          <w:tcPr>
            <w:tcW w:w="1541" w:type="dxa"/>
            <w:noWrap w:val="0"/>
            <w:vAlign w:val="center"/>
          </w:tcPr>
          <w:p w14:paraId="3BEB5370">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1792.42</w:t>
            </w:r>
          </w:p>
        </w:tc>
        <w:tc>
          <w:tcPr>
            <w:tcW w:w="1500" w:type="dxa"/>
            <w:noWrap w:val="0"/>
            <w:vAlign w:val="center"/>
          </w:tcPr>
          <w:p w14:paraId="01656DEB">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1513.64</w:t>
            </w:r>
          </w:p>
        </w:tc>
        <w:tc>
          <w:tcPr>
            <w:tcW w:w="759" w:type="dxa"/>
            <w:noWrap w:val="0"/>
            <w:vAlign w:val="center"/>
          </w:tcPr>
          <w:p w14:paraId="458FDC51">
            <w:pPr>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w:t>
            </w:r>
          </w:p>
        </w:tc>
        <w:tc>
          <w:tcPr>
            <w:tcW w:w="861" w:type="dxa"/>
            <w:noWrap w:val="0"/>
            <w:vAlign w:val="center"/>
          </w:tcPr>
          <w:p w14:paraId="5A5D2D01">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84.45</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1031" w:type="dxa"/>
            <w:noWrap w:val="0"/>
            <w:vAlign w:val="center"/>
          </w:tcPr>
          <w:p w14:paraId="79C0E691">
            <w:pPr>
              <w:spacing w:line="240" w:lineRule="exact"/>
              <w:jc w:val="cente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8.44</w:t>
            </w:r>
          </w:p>
        </w:tc>
      </w:tr>
      <w:tr w14:paraId="16F0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74C22E25">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14:paraId="22994D90">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按收入性质分：</w:t>
            </w:r>
          </w:p>
        </w:tc>
        <w:tc>
          <w:tcPr>
            <w:tcW w:w="4151" w:type="dxa"/>
            <w:gridSpan w:val="4"/>
            <w:noWrap w:val="0"/>
            <w:vAlign w:val="center"/>
          </w:tcPr>
          <w:p w14:paraId="7F664E9F">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按支出性质分：</w:t>
            </w:r>
          </w:p>
        </w:tc>
      </w:tr>
      <w:tr w14:paraId="15CB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255B01F8">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14:paraId="36BD6C5F">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xml:space="preserve">  其中：  一般公共预算：</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1754.85</w:t>
            </w:r>
          </w:p>
        </w:tc>
        <w:tc>
          <w:tcPr>
            <w:tcW w:w="4151" w:type="dxa"/>
            <w:gridSpan w:val="4"/>
            <w:noWrap w:val="0"/>
            <w:vAlign w:val="center"/>
          </w:tcPr>
          <w:p w14:paraId="53BA4272">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其中：基本支出：</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5.17</w:t>
            </w:r>
          </w:p>
        </w:tc>
      </w:tr>
      <w:tr w14:paraId="6ADF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7E28F0E2">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14:paraId="02C7E0E2">
            <w:pPr>
              <w:widowControl/>
              <w:spacing w:line="240" w:lineRule="exact"/>
              <w:ind w:firstLine="800" w:firstLineChars="400"/>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政府性基金拨款：</w:t>
            </w:r>
          </w:p>
        </w:tc>
        <w:tc>
          <w:tcPr>
            <w:tcW w:w="4151" w:type="dxa"/>
            <w:gridSpan w:val="4"/>
            <w:noWrap w:val="0"/>
            <w:vAlign w:val="center"/>
          </w:tcPr>
          <w:p w14:paraId="0CA4F528">
            <w:pPr>
              <w:widowControl/>
              <w:spacing w:line="240" w:lineRule="exact"/>
              <w:ind w:firstLine="600" w:firstLineChars="300"/>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项目支出：</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18</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8.47</w:t>
            </w:r>
          </w:p>
        </w:tc>
      </w:tr>
      <w:tr w14:paraId="22A3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Merge w:val="continue"/>
            <w:noWrap w:val="0"/>
            <w:vAlign w:val="center"/>
          </w:tcPr>
          <w:p w14:paraId="41178B84">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14:paraId="7D1E47ED">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纳入专户管理的非税收入拨款：</w:t>
            </w:r>
          </w:p>
        </w:tc>
        <w:tc>
          <w:tcPr>
            <w:tcW w:w="4151" w:type="dxa"/>
            <w:gridSpan w:val="4"/>
            <w:noWrap w:val="0"/>
            <w:vAlign w:val="center"/>
          </w:tcPr>
          <w:p w14:paraId="7FFF127C">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14:paraId="45F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497BA7E9">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14:paraId="7F10DF88">
            <w:pPr>
              <w:widowControl/>
              <w:spacing w:line="240" w:lineRule="exact"/>
              <w:ind w:firstLine="1400" w:firstLineChars="700"/>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其他资金：</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37.57</w:t>
            </w:r>
          </w:p>
        </w:tc>
        <w:tc>
          <w:tcPr>
            <w:tcW w:w="4151" w:type="dxa"/>
            <w:gridSpan w:val="4"/>
            <w:noWrap w:val="0"/>
            <w:vAlign w:val="center"/>
          </w:tcPr>
          <w:p w14:paraId="62829C07">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14:paraId="1CC4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14:paraId="30A4416E">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p>
        </w:tc>
        <w:tc>
          <w:tcPr>
            <w:tcW w:w="5078" w:type="dxa"/>
            <w:gridSpan w:val="4"/>
            <w:noWrap w:val="0"/>
            <w:vAlign w:val="center"/>
          </w:tcPr>
          <w:p w14:paraId="0E5BF966">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预期目标</w:t>
            </w:r>
          </w:p>
        </w:tc>
        <w:tc>
          <w:tcPr>
            <w:tcW w:w="4151" w:type="dxa"/>
            <w:gridSpan w:val="4"/>
            <w:noWrap w:val="0"/>
            <w:vAlign w:val="center"/>
          </w:tcPr>
          <w:p w14:paraId="6BFDD863">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实际完成情况　</w:t>
            </w:r>
          </w:p>
        </w:tc>
      </w:tr>
      <w:tr w14:paraId="5FF5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09F52DB9">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078" w:type="dxa"/>
            <w:gridSpan w:val="4"/>
            <w:noWrap w:val="0"/>
            <w:vAlign w:val="center"/>
          </w:tcPr>
          <w:p w14:paraId="2F7F55EC">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多措并举，全力推进保障性住房建设</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确保住房保障大局稳定</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用心做好保障房使用管理</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w:t>
            </w:r>
          </w:p>
          <w:p w14:paraId="3EF3B333">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加强顶层设计，推动物业维修制度建设，坚持高效便民，</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推进维修资金管理信息化建设</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w:t>
            </w:r>
          </w:p>
          <w:p w14:paraId="7B124203">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推进老旧小区改造，打开城市宜居“新篇章”；</w:t>
            </w:r>
          </w:p>
          <w:p w14:paraId="3CD093C3">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积极回应群众期盼，重点做好民生实事工作；</w:t>
            </w:r>
          </w:p>
          <w:p w14:paraId="27AB8CB8">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防范化解风险，解决历史遗留问题。</w:t>
            </w:r>
          </w:p>
        </w:tc>
        <w:tc>
          <w:tcPr>
            <w:tcW w:w="4151" w:type="dxa"/>
            <w:gridSpan w:val="4"/>
            <w:noWrap w:val="0"/>
            <w:vAlign w:val="center"/>
          </w:tcPr>
          <w:p w14:paraId="76E2D1CC">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全部完成</w:t>
            </w:r>
          </w:p>
        </w:tc>
      </w:tr>
      <w:tr w14:paraId="362B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14:paraId="4320983D">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绩</w:t>
            </w:r>
          </w:p>
          <w:p w14:paraId="05C25A1E">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w:t>
            </w:r>
          </w:p>
          <w:p w14:paraId="720689D8">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w:t>
            </w:r>
          </w:p>
          <w:p w14:paraId="74552DCC">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标</w:t>
            </w:r>
          </w:p>
          <w:p w14:paraId="1FAD01C0">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noWrap w:val="0"/>
            <w:vAlign w:val="center"/>
          </w:tcPr>
          <w:p w14:paraId="66617938">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一级指标</w:t>
            </w:r>
          </w:p>
        </w:tc>
        <w:tc>
          <w:tcPr>
            <w:tcW w:w="1056" w:type="dxa"/>
            <w:noWrap w:val="0"/>
            <w:vAlign w:val="center"/>
          </w:tcPr>
          <w:p w14:paraId="6186955E">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二级指标</w:t>
            </w:r>
          </w:p>
        </w:tc>
        <w:tc>
          <w:tcPr>
            <w:tcW w:w="1423" w:type="dxa"/>
            <w:noWrap w:val="0"/>
            <w:vAlign w:val="center"/>
          </w:tcPr>
          <w:p w14:paraId="1960A71C">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三级指标</w:t>
            </w:r>
          </w:p>
        </w:tc>
        <w:tc>
          <w:tcPr>
            <w:tcW w:w="1541" w:type="dxa"/>
            <w:noWrap w:val="0"/>
            <w:vAlign w:val="center"/>
          </w:tcPr>
          <w:p w14:paraId="29A8D65B">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年度指标值</w:t>
            </w:r>
          </w:p>
        </w:tc>
        <w:tc>
          <w:tcPr>
            <w:tcW w:w="1500" w:type="dxa"/>
            <w:noWrap w:val="0"/>
            <w:vAlign w:val="center"/>
          </w:tcPr>
          <w:p w14:paraId="599B0B1E">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实际完成值</w:t>
            </w:r>
          </w:p>
        </w:tc>
        <w:tc>
          <w:tcPr>
            <w:tcW w:w="759" w:type="dxa"/>
            <w:noWrap w:val="0"/>
            <w:vAlign w:val="center"/>
          </w:tcPr>
          <w:p w14:paraId="1EC1F3C5">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861" w:type="dxa"/>
            <w:noWrap w:val="0"/>
            <w:vAlign w:val="center"/>
          </w:tcPr>
          <w:p w14:paraId="6CBBF784">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c>
          <w:tcPr>
            <w:tcW w:w="1031" w:type="dxa"/>
            <w:noWrap w:val="0"/>
            <w:vAlign w:val="center"/>
          </w:tcPr>
          <w:p w14:paraId="717B535F">
            <w:pPr>
              <w:widowControl/>
              <w:spacing w:line="240" w:lineRule="exact"/>
              <w:jc w:val="both"/>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偏差原因分析及改进措施</w:t>
            </w:r>
          </w:p>
        </w:tc>
      </w:tr>
      <w:tr w14:paraId="5E7A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34D1340A">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restart"/>
            <w:noWrap w:val="0"/>
            <w:vAlign w:val="center"/>
          </w:tcPr>
          <w:p w14:paraId="6DD4E9AA">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产出指标</w:t>
            </w:r>
          </w:p>
          <w:p w14:paraId="4868C049">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14:paraId="74D8ECB1">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(50分)</w:t>
            </w:r>
          </w:p>
        </w:tc>
        <w:tc>
          <w:tcPr>
            <w:tcW w:w="1056" w:type="dxa"/>
            <w:vMerge w:val="restart"/>
            <w:noWrap w:val="0"/>
            <w:vAlign w:val="center"/>
          </w:tcPr>
          <w:p w14:paraId="4FC0A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数量指标</w:t>
            </w:r>
          </w:p>
        </w:tc>
        <w:tc>
          <w:tcPr>
            <w:tcW w:w="1423" w:type="dxa"/>
            <w:noWrap w:val="0"/>
            <w:vAlign w:val="center"/>
          </w:tcPr>
          <w:p w14:paraId="1762E6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保障性住房管理套数</w:t>
            </w:r>
          </w:p>
        </w:tc>
        <w:tc>
          <w:tcPr>
            <w:tcW w:w="1541" w:type="dxa"/>
            <w:noWrap w:val="0"/>
            <w:vAlign w:val="center"/>
          </w:tcPr>
          <w:p w14:paraId="15813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496套</w:t>
            </w:r>
          </w:p>
        </w:tc>
        <w:tc>
          <w:tcPr>
            <w:tcW w:w="1500" w:type="dxa"/>
            <w:noWrap w:val="0"/>
            <w:vAlign w:val="center"/>
          </w:tcPr>
          <w:p w14:paraId="13451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496套</w:t>
            </w:r>
          </w:p>
        </w:tc>
        <w:tc>
          <w:tcPr>
            <w:tcW w:w="759" w:type="dxa"/>
            <w:noWrap w:val="0"/>
            <w:vAlign w:val="center"/>
          </w:tcPr>
          <w:p w14:paraId="5B0F3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499EA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539B1D1F">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超额完成</w:t>
            </w:r>
          </w:p>
        </w:tc>
      </w:tr>
      <w:tr w14:paraId="4D7B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316F634E">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75FBA91B">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508A29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07B930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2.物业维修资金归集</w:t>
            </w:r>
          </w:p>
        </w:tc>
        <w:tc>
          <w:tcPr>
            <w:tcW w:w="1541" w:type="dxa"/>
            <w:noWrap w:val="0"/>
            <w:vAlign w:val="center"/>
          </w:tcPr>
          <w:p w14:paraId="297022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1亿元</w:t>
            </w:r>
          </w:p>
        </w:tc>
        <w:tc>
          <w:tcPr>
            <w:tcW w:w="1500" w:type="dxa"/>
            <w:noWrap w:val="0"/>
            <w:vAlign w:val="center"/>
          </w:tcPr>
          <w:p w14:paraId="60AF2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138</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亿元</w:t>
            </w:r>
          </w:p>
        </w:tc>
        <w:tc>
          <w:tcPr>
            <w:tcW w:w="759" w:type="dxa"/>
            <w:noWrap w:val="0"/>
            <w:vAlign w:val="center"/>
          </w:tcPr>
          <w:p w14:paraId="3208A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861" w:type="dxa"/>
            <w:noWrap w:val="0"/>
            <w:vAlign w:val="center"/>
          </w:tcPr>
          <w:p w14:paraId="5F812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1031" w:type="dxa"/>
            <w:noWrap w:val="0"/>
            <w:vAlign w:val="center"/>
          </w:tcPr>
          <w:p w14:paraId="24B26927">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超额完成</w:t>
            </w:r>
          </w:p>
        </w:tc>
      </w:tr>
      <w:tr w14:paraId="0FDB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23121910">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61D5EED3">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64917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625EC5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老旧小区改造项目开工</w:t>
            </w:r>
          </w:p>
        </w:tc>
        <w:tc>
          <w:tcPr>
            <w:tcW w:w="1541" w:type="dxa"/>
            <w:noWrap w:val="0"/>
            <w:vAlign w:val="center"/>
          </w:tcPr>
          <w:p w14:paraId="43164F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633个</w:t>
            </w:r>
          </w:p>
        </w:tc>
        <w:tc>
          <w:tcPr>
            <w:tcW w:w="1500" w:type="dxa"/>
            <w:noWrap w:val="0"/>
            <w:vAlign w:val="center"/>
          </w:tcPr>
          <w:p w14:paraId="02FF50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606个</w:t>
            </w:r>
          </w:p>
        </w:tc>
        <w:tc>
          <w:tcPr>
            <w:tcW w:w="759" w:type="dxa"/>
            <w:noWrap w:val="0"/>
            <w:vAlign w:val="center"/>
          </w:tcPr>
          <w:p w14:paraId="0E9F9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2E50B5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w:t>
            </w:r>
          </w:p>
        </w:tc>
        <w:tc>
          <w:tcPr>
            <w:tcW w:w="1031" w:type="dxa"/>
            <w:noWrap w:val="0"/>
            <w:vAlign w:val="center"/>
          </w:tcPr>
          <w:p w14:paraId="2A80B7F8">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君山区、屈原区未开工项目较多，争取25年6月前开工</w:t>
            </w:r>
          </w:p>
        </w:tc>
      </w:tr>
      <w:tr w14:paraId="6635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0" w:type="dxa"/>
            <w:vMerge w:val="continue"/>
            <w:noWrap w:val="0"/>
            <w:vAlign w:val="center"/>
          </w:tcPr>
          <w:p w14:paraId="12894DC9">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4A50A3C6">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14:paraId="494B84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2A7526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4、中心城区新建房屋白蚁防治覆盖面积</w:t>
            </w:r>
          </w:p>
        </w:tc>
        <w:tc>
          <w:tcPr>
            <w:tcW w:w="1541" w:type="dxa"/>
            <w:noWrap w:val="0"/>
            <w:vAlign w:val="center"/>
          </w:tcPr>
          <w:p w14:paraId="634E9D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260万平方米</w:t>
            </w:r>
          </w:p>
        </w:tc>
        <w:tc>
          <w:tcPr>
            <w:tcW w:w="1500" w:type="dxa"/>
            <w:noWrap w:val="0"/>
            <w:vAlign w:val="center"/>
          </w:tcPr>
          <w:p w14:paraId="7DF8B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252万平方米</w:t>
            </w:r>
          </w:p>
        </w:tc>
        <w:tc>
          <w:tcPr>
            <w:tcW w:w="759" w:type="dxa"/>
            <w:noWrap w:val="0"/>
            <w:vAlign w:val="center"/>
          </w:tcPr>
          <w:p w14:paraId="77AD14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24FD5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4.85</w:t>
            </w:r>
          </w:p>
        </w:tc>
        <w:tc>
          <w:tcPr>
            <w:tcW w:w="1031" w:type="dxa"/>
            <w:noWrap w:val="0"/>
            <w:vAlign w:val="center"/>
          </w:tcPr>
          <w:p w14:paraId="0754AC15">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部分房屋施工未完工，完工后实施白蚁防治。</w:t>
            </w:r>
          </w:p>
        </w:tc>
      </w:tr>
      <w:tr w14:paraId="0EA5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38DF6B2C">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0A0E775D">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restart"/>
            <w:noWrap w:val="0"/>
            <w:vAlign w:val="center"/>
          </w:tcPr>
          <w:p w14:paraId="1B7C58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质量指标</w:t>
            </w:r>
          </w:p>
        </w:tc>
        <w:tc>
          <w:tcPr>
            <w:tcW w:w="1423" w:type="dxa"/>
            <w:noWrap w:val="0"/>
            <w:vAlign w:val="center"/>
          </w:tcPr>
          <w:p w14:paraId="6EC5F2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确保保障性住房资源公平使用</w:t>
            </w:r>
          </w:p>
        </w:tc>
        <w:tc>
          <w:tcPr>
            <w:tcW w:w="1541" w:type="dxa"/>
            <w:noWrap w:val="0"/>
            <w:vAlign w:val="center"/>
          </w:tcPr>
          <w:p w14:paraId="42A12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无违法违规使用保障性住房</w:t>
            </w:r>
          </w:p>
        </w:tc>
        <w:tc>
          <w:tcPr>
            <w:tcW w:w="1500" w:type="dxa"/>
            <w:noWrap w:val="0"/>
            <w:vAlign w:val="center"/>
          </w:tcPr>
          <w:p w14:paraId="6FF720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无违法违规使用保障性住房</w:t>
            </w:r>
          </w:p>
        </w:tc>
        <w:tc>
          <w:tcPr>
            <w:tcW w:w="759" w:type="dxa"/>
            <w:noWrap w:val="0"/>
            <w:vAlign w:val="center"/>
          </w:tcPr>
          <w:p w14:paraId="3E2E1D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03B78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1A14AF67">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46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5E178668">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252959A1">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63A576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0FACE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及时办结受理的职能范围内信访件</w:t>
            </w:r>
          </w:p>
        </w:tc>
        <w:tc>
          <w:tcPr>
            <w:tcW w:w="1541" w:type="dxa"/>
            <w:noWrap w:val="0"/>
            <w:vAlign w:val="center"/>
          </w:tcPr>
          <w:p w14:paraId="2120D7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办结率100%</w:t>
            </w:r>
          </w:p>
        </w:tc>
        <w:tc>
          <w:tcPr>
            <w:tcW w:w="1500" w:type="dxa"/>
            <w:noWrap w:val="0"/>
            <w:vAlign w:val="center"/>
          </w:tcPr>
          <w:p w14:paraId="5DA760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办结率100%</w:t>
            </w:r>
          </w:p>
        </w:tc>
        <w:tc>
          <w:tcPr>
            <w:tcW w:w="759" w:type="dxa"/>
            <w:noWrap w:val="0"/>
            <w:vAlign w:val="center"/>
          </w:tcPr>
          <w:p w14:paraId="33C01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23C6C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0CB5C2AF">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5855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550C6991">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09229F25">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4F410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759F4185">
            <w:pPr>
              <w:keepNext w:val="0"/>
              <w:keepLines w:val="0"/>
              <w:widowControl/>
              <w:suppressLineNumbers w:val="0"/>
              <w:jc w:val="left"/>
              <w:textAlignment w:val="top"/>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已实施白蚁防治区域无明显蚁害、不出现重复蚁害。</w:t>
            </w:r>
          </w:p>
        </w:tc>
        <w:tc>
          <w:tcPr>
            <w:tcW w:w="1541" w:type="dxa"/>
            <w:noWrap w:val="0"/>
            <w:vAlign w:val="center"/>
          </w:tcPr>
          <w:p w14:paraId="302C8B3A">
            <w:pPr>
              <w:keepNext w:val="0"/>
              <w:keepLines w:val="0"/>
              <w:widowControl/>
              <w:suppressLineNumbers w:val="0"/>
              <w:jc w:val="center"/>
              <w:textAlignment w:val="top"/>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无明显蚁害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不出现重复蚁</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害</w:t>
            </w:r>
          </w:p>
        </w:tc>
        <w:tc>
          <w:tcPr>
            <w:tcW w:w="1500" w:type="dxa"/>
            <w:noWrap w:val="0"/>
            <w:vAlign w:val="center"/>
          </w:tcPr>
          <w:p w14:paraId="5C6CA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无明显蚁害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不出现重复蚁</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害</w:t>
            </w:r>
          </w:p>
        </w:tc>
        <w:tc>
          <w:tcPr>
            <w:tcW w:w="759" w:type="dxa"/>
            <w:noWrap w:val="0"/>
            <w:vAlign w:val="center"/>
          </w:tcPr>
          <w:p w14:paraId="1F8D8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67372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49F1B90A">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02E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50" w:type="dxa"/>
            <w:vMerge w:val="continue"/>
            <w:noWrap w:val="0"/>
            <w:vAlign w:val="center"/>
          </w:tcPr>
          <w:p w14:paraId="7085AA56">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0D0D823E">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14:paraId="37FC1B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时效指标</w:t>
            </w:r>
          </w:p>
        </w:tc>
        <w:tc>
          <w:tcPr>
            <w:tcW w:w="1423" w:type="dxa"/>
            <w:noWrap w:val="0"/>
            <w:vAlign w:val="center"/>
          </w:tcPr>
          <w:p w14:paraId="59328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一年</w:t>
            </w:r>
          </w:p>
        </w:tc>
        <w:tc>
          <w:tcPr>
            <w:tcW w:w="1541" w:type="dxa"/>
            <w:noWrap w:val="0"/>
            <w:vAlign w:val="center"/>
          </w:tcPr>
          <w:p w14:paraId="0DBFA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202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.1.1-202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12.31</w:t>
            </w:r>
          </w:p>
        </w:tc>
        <w:tc>
          <w:tcPr>
            <w:tcW w:w="1500" w:type="dxa"/>
            <w:noWrap w:val="0"/>
            <w:vAlign w:val="center"/>
          </w:tcPr>
          <w:p w14:paraId="35EC7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202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.1.1-202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12.31</w:t>
            </w:r>
          </w:p>
        </w:tc>
        <w:tc>
          <w:tcPr>
            <w:tcW w:w="759" w:type="dxa"/>
            <w:noWrap w:val="0"/>
            <w:vAlign w:val="center"/>
          </w:tcPr>
          <w:p w14:paraId="506B7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25DBF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4FE6DD90">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3908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0" w:type="dxa"/>
            <w:vMerge w:val="continue"/>
            <w:noWrap w:val="0"/>
            <w:vAlign w:val="center"/>
          </w:tcPr>
          <w:p w14:paraId="2E4847AA">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17C60118">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14:paraId="40C7F1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成本指标</w:t>
            </w:r>
          </w:p>
        </w:tc>
        <w:tc>
          <w:tcPr>
            <w:tcW w:w="1423" w:type="dxa"/>
            <w:noWrap w:val="0"/>
            <w:vAlign w:val="center"/>
          </w:tcPr>
          <w:p w14:paraId="2F0B9199">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全年预算</w:t>
            </w:r>
          </w:p>
        </w:tc>
        <w:tc>
          <w:tcPr>
            <w:tcW w:w="1541" w:type="dxa"/>
            <w:noWrap w:val="0"/>
            <w:vAlign w:val="center"/>
          </w:tcPr>
          <w:p w14:paraId="5D1C66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1792.42万元内</w:t>
            </w:r>
          </w:p>
        </w:tc>
        <w:tc>
          <w:tcPr>
            <w:tcW w:w="1500" w:type="dxa"/>
            <w:noWrap w:val="0"/>
            <w:vAlign w:val="center"/>
          </w:tcPr>
          <w:p w14:paraId="66D9A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1513.64万元</w:t>
            </w:r>
          </w:p>
        </w:tc>
        <w:tc>
          <w:tcPr>
            <w:tcW w:w="759" w:type="dxa"/>
            <w:noWrap w:val="0"/>
            <w:vAlign w:val="center"/>
          </w:tcPr>
          <w:p w14:paraId="2DF6C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3E985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0ADBA18B">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18B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55CFE0F3">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restart"/>
            <w:noWrap w:val="0"/>
            <w:vAlign w:val="center"/>
          </w:tcPr>
          <w:p w14:paraId="250ADE56">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效益指标</w:t>
            </w:r>
          </w:p>
          <w:p w14:paraId="3F679E1A">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14:paraId="46516F35">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（30分）</w:t>
            </w:r>
          </w:p>
          <w:p w14:paraId="17FA1A0E">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56" w:type="dxa"/>
            <w:vMerge w:val="restart"/>
            <w:noWrap w:val="0"/>
            <w:vAlign w:val="center"/>
          </w:tcPr>
          <w:p w14:paraId="1B1932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经济效</w:t>
            </w:r>
          </w:p>
          <w:p w14:paraId="77570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益指标</w:t>
            </w:r>
          </w:p>
        </w:tc>
        <w:tc>
          <w:tcPr>
            <w:tcW w:w="1423" w:type="dxa"/>
            <w:noWrap w:val="0"/>
            <w:vAlign w:val="center"/>
          </w:tcPr>
          <w:p w14:paraId="0318AA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1.收取</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公租房小区</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租金</w:t>
            </w:r>
          </w:p>
        </w:tc>
        <w:tc>
          <w:tcPr>
            <w:tcW w:w="1541" w:type="dxa"/>
            <w:noWrap w:val="0"/>
            <w:vAlign w:val="center"/>
          </w:tcPr>
          <w:p w14:paraId="2B1F9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29.6</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万元</w:t>
            </w:r>
          </w:p>
        </w:tc>
        <w:tc>
          <w:tcPr>
            <w:tcW w:w="1500" w:type="dxa"/>
            <w:noWrap w:val="0"/>
            <w:vAlign w:val="center"/>
          </w:tcPr>
          <w:p w14:paraId="43C96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13</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万元</w:t>
            </w:r>
          </w:p>
        </w:tc>
        <w:tc>
          <w:tcPr>
            <w:tcW w:w="759" w:type="dxa"/>
            <w:noWrap w:val="0"/>
            <w:vAlign w:val="center"/>
          </w:tcPr>
          <w:p w14:paraId="431C2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11B8C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0FE9B467">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76F1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0E1D6F9F">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43269765">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07AF5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4BD000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补缴土地收益金</w:t>
            </w:r>
          </w:p>
        </w:tc>
        <w:tc>
          <w:tcPr>
            <w:tcW w:w="1541" w:type="dxa"/>
            <w:noWrap w:val="0"/>
            <w:vAlign w:val="center"/>
          </w:tcPr>
          <w:p w14:paraId="1AEB2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00万元</w:t>
            </w:r>
          </w:p>
        </w:tc>
        <w:tc>
          <w:tcPr>
            <w:tcW w:w="1500" w:type="dxa"/>
            <w:noWrap w:val="0"/>
            <w:vAlign w:val="center"/>
          </w:tcPr>
          <w:p w14:paraId="1CCD7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236.73</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万元</w:t>
            </w:r>
          </w:p>
        </w:tc>
        <w:tc>
          <w:tcPr>
            <w:tcW w:w="759" w:type="dxa"/>
            <w:noWrap w:val="0"/>
            <w:vAlign w:val="center"/>
          </w:tcPr>
          <w:p w14:paraId="57102D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 xml:space="preserve">  5</w:t>
            </w:r>
          </w:p>
        </w:tc>
        <w:tc>
          <w:tcPr>
            <w:tcW w:w="861" w:type="dxa"/>
            <w:noWrap w:val="0"/>
            <w:vAlign w:val="center"/>
          </w:tcPr>
          <w:p w14:paraId="5B8F5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2CE60BBA">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超额完成</w:t>
            </w:r>
          </w:p>
        </w:tc>
      </w:tr>
      <w:tr w14:paraId="494A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680836C5">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1F862534">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restart"/>
            <w:noWrap w:val="0"/>
            <w:vAlign w:val="center"/>
          </w:tcPr>
          <w:p w14:paraId="41DC16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社会效</w:t>
            </w:r>
          </w:p>
          <w:p w14:paraId="542E1C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益指标</w:t>
            </w:r>
          </w:p>
        </w:tc>
        <w:tc>
          <w:tcPr>
            <w:tcW w:w="1423" w:type="dxa"/>
            <w:noWrap w:val="0"/>
            <w:vAlign w:val="center"/>
          </w:tcPr>
          <w:p w14:paraId="6B4D4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1.保障低收入家庭住有所居</w:t>
            </w:r>
          </w:p>
        </w:tc>
        <w:tc>
          <w:tcPr>
            <w:tcW w:w="1541" w:type="dxa"/>
            <w:noWrap w:val="0"/>
            <w:vAlign w:val="center"/>
          </w:tcPr>
          <w:p w14:paraId="07D830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确保保障性住房新项目及时开工，在建项目按进度建设</w:t>
            </w:r>
          </w:p>
        </w:tc>
        <w:tc>
          <w:tcPr>
            <w:tcW w:w="1500" w:type="dxa"/>
            <w:noWrap w:val="0"/>
            <w:vAlign w:val="center"/>
          </w:tcPr>
          <w:p w14:paraId="2BD2B9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协调多部门，</w:t>
            </w:r>
            <w:r>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派专人及时跟踪督导项目建设进度，</w:t>
            </w: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按时</w:t>
            </w:r>
            <w:r>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拨付保障性租赁住房专项</w:t>
            </w: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资</w:t>
            </w:r>
            <w:r>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金</w:t>
            </w:r>
          </w:p>
        </w:tc>
        <w:tc>
          <w:tcPr>
            <w:tcW w:w="759" w:type="dxa"/>
            <w:noWrap w:val="0"/>
            <w:vAlign w:val="center"/>
          </w:tcPr>
          <w:p w14:paraId="5E7F1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531D34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69B6E6F1">
            <w:pPr>
              <w:widowControl/>
              <w:spacing w:line="240" w:lineRule="exact"/>
              <w:jc w:val="left"/>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目标完成</w:t>
            </w:r>
          </w:p>
        </w:tc>
      </w:tr>
      <w:tr w14:paraId="4CCE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0" w:type="dxa"/>
            <w:vMerge w:val="continue"/>
            <w:noWrap w:val="0"/>
            <w:vAlign w:val="center"/>
          </w:tcPr>
          <w:p w14:paraId="756D9227">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43E446FC">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7E10B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shd w:val="clear" w:color="auto" w:fill="auto"/>
            <w:noWrap w:val="0"/>
            <w:vAlign w:val="center"/>
          </w:tcPr>
          <w:p w14:paraId="14FB86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物业</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维修资金</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缴存高效便民</w:t>
            </w:r>
          </w:p>
        </w:tc>
        <w:tc>
          <w:tcPr>
            <w:tcW w:w="1541" w:type="dxa"/>
            <w:shd w:val="clear" w:color="auto" w:fill="auto"/>
            <w:noWrap w:val="0"/>
            <w:vAlign w:val="center"/>
          </w:tcPr>
          <w:p w14:paraId="3736EE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实现维修资金缴存线上办理。</w:t>
            </w:r>
          </w:p>
        </w:tc>
        <w:tc>
          <w:tcPr>
            <w:tcW w:w="1500" w:type="dxa"/>
            <w:shd w:val="clear" w:color="auto" w:fill="auto"/>
            <w:noWrap w:val="0"/>
            <w:vAlign w:val="center"/>
          </w:tcPr>
          <w:p w14:paraId="20278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已实现</w:t>
            </w:r>
          </w:p>
        </w:tc>
        <w:tc>
          <w:tcPr>
            <w:tcW w:w="759" w:type="dxa"/>
            <w:noWrap w:val="0"/>
            <w:vAlign w:val="center"/>
          </w:tcPr>
          <w:p w14:paraId="04590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7C8C3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781CE869">
            <w:pPr>
              <w:widowControl/>
              <w:spacing w:line="240" w:lineRule="exact"/>
              <w:jc w:val="left"/>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2D3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14:paraId="67F8576C">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241DE121">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vMerge w:val="continue"/>
            <w:noWrap w:val="0"/>
            <w:vAlign w:val="center"/>
          </w:tcPr>
          <w:p w14:paraId="05D081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423" w:type="dxa"/>
            <w:noWrap w:val="0"/>
            <w:vAlign w:val="center"/>
          </w:tcPr>
          <w:p w14:paraId="06D31A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改善全市城镇居民生活环境</w:t>
            </w:r>
          </w:p>
        </w:tc>
        <w:tc>
          <w:tcPr>
            <w:tcW w:w="1541" w:type="dxa"/>
            <w:noWrap w:val="0"/>
            <w:vAlign w:val="center"/>
          </w:tcPr>
          <w:p w14:paraId="517F2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全市城镇老旧小区改造民生实事项目</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开工率100%</w:t>
            </w:r>
          </w:p>
        </w:tc>
        <w:tc>
          <w:tcPr>
            <w:tcW w:w="1500" w:type="dxa"/>
            <w:noWrap w:val="0"/>
            <w:vAlign w:val="center"/>
          </w:tcPr>
          <w:p w14:paraId="2C5BAF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开工率100%，已完工小区8个。</w:t>
            </w:r>
          </w:p>
        </w:tc>
        <w:tc>
          <w:tcPr>
            <w:tcW w:w="759" w:type="dxa"/>
            <w:noWrap w:val="0"/>
            <w:vAlign w:val="center"/>
          </w:tcPr>
          <w:p w14:paraId="12F32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50B298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5A3A9409">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548D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Merge w:val="continue"/>
            <w:noWrap w:val="0"/>
            <w:vAlign w:val="center"/>
          </w:tcPr>
          <w:p w14:paraId="5846AB1A">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vMerge w:val="continue"/>
            <w:noWrap w:val="0"/>
            <w:vAlign w:val="center"/>
          </w:tcPr>
          <w:p w14:paraId="5148B90A">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6" w:type="dxa"/>
            <w:noWrap w:val="0"/>
            <w:vAlign w:val="center"/>
          </w:tcPr>
          <w:p w14:paraId="659754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生态效</w:t>
            </w:r>
          </w:p>
          <w:p w14:paraId="280E5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益指标</w:t>
            </w:r>
          </w:p>
        </w:tc>
        <w:tc>
          <w:tcPr>
            <w:tcW w:w="1423" w:type="dxa"/>
            <w:noWrap w:val="0"/>
            <w:vAlign w:val="center"/>
          </w:tcPr>
          <w:p w14:paraId="318C66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灭治蚁害，保护全市生态环境</w:t>
            </w:r>
          </w:p>
        </w:tc>
        <w:tc>
          <w:tcPr>
            <w:tcW w:w="1541" w:type="dxa"/>
            <w:noWrap w:val="0"/>
            <w:vAlign w:val="center"/>
          </w:tcPr>
          <w:p w14:paraId="60B83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做好城镇房屋、园林绿化、中心城区主干道树木的白蚁防治</w:t>
            </w:r>
          </w:p>
        </w:tc>
        <w:tc>
          <w:tcPr>
            <w:tcW w:w="1500" w:type="dxa"/>
            <w:noWrap w:val="0"/>
            <w:vAlign w:val="center"/>
          </w:tcPr>
          <w:p w14:paraId="53162ED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完成白蚁防治验收工程项目52个，房屋280栋</w:t>
            </w: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，完成中心城区园林绿化及树木白蚁防治。</w:t>
            </w:r>
          </w:p>
        </w:tc>
        <w:tc>
          <w:tcPr>
            <w:tcW w:w="759" w:type="dxa"/>
            <w:noWrap w:val="0"/>
            <w:vAlign w:val="center"/>
          </w:tcPr>
          <w:p w14:paraId="11BC6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861" w:type="dxa"/>
            <w:noWrap w:val="0"/>
            <w:vAlign w:val="center"/>
          </w:tcPr>
          <w:p w14:paraId="5635A2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1031" w:type="dxa"/>
            <w:noWrap w:val="0"/>
            <w:vAlign w:val="center"/>
          </w:tcPr>
          <w:p w14:paraId="1A9DA135">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DD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0" w:type="dxa"/>
            <w:vMerge w:val="continue"/>
            <w:noWrap w:val="0"/>
            <w:vAlign w:val="center"/>
          </w:tcPr>
          <w:p w14:paraId="640759D8">
            <w:pPr>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58" w:type="dxa"/>
            <w:noWrap w:val="0"/>
            <w:vAlign w:val="center"/>
          </w:tcPr>
          <w:p w14:paraId="440389C6">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满意度</w:t>
            </w:r>
          </w:p>
          <w:p w14:paraId="1CE726FB">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w:t>
            </w:r>
          </w:p>
          <w:p w14:paraId="44B3C9FB">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1056" w:type="dxa"/>
            <w:noWrap w:val="0"/>
            <w:vAlign w:val="center"/>
          </w:tcPr>
          <w:p w14:paraId="38927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服务对象满意度指标</w:t>
            </w:r>
          </w:p>
        </w:tc>
        <w:tc>
          <w:tcPr>
            <w:tcW w:w="1423" w:type="dxa"/>
            <w:noWrap w:val="0"/>
            <w:vAlign w:val="center"/>
          </w:tcPr>
          <w:p w14:paraId="08ADC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公租房住户</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满意</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度高</w:t>
            </w:r>
          </w:p>
        </w:tc>
        <w:tc>
          <w:tcPr>
            <w:tcW w:w="1541" w:type="dxa"/>
            <w:noWrap w:val="0"/>
            <w:vAlign w:val="center"/>
          </w:tcPr>
          <w:p w14:paraId="17C6F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满意度</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1500" w:type="dxa"/>
            <w:noWrap w:val="0"/>
            <w:vAlign w:val="center"/>
          </w:tcPr>
          <w:p w14:paraId="7AB76C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满意度</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759" w:type="dxa"/>
            <w:noWrap w:val="0"/>
            <w:vAlign w:val="center"/>
          </w:tcPr>
          <w:p w14:paraId="72E64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861" w:type="dxa"/>
            <w:noWrap w:val="0"/>
            <w:vAlign w:val="center"/>
          </w:tcPr>
          <w:p w14:paraId="2FAAF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1031" w:type="dxa"/>
            <w:noWrap w:val="0"/>
            <w:vAlign w:val="center"/>
          </w:tcPr>
          <w:p w14:paraId="085AEAB8">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545F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28" w:type="dxa"/>
            <w:gridSpan w:val="6"/>
            <w:noWrap w:val="0"/>
            <w:vAlign w:val="center"/>
          </w:tcPr>
          <w:p w14:paraId="643D9577">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总分</w:t>
            </w:r>
          </w:p>
        </w:tc>
        <w:tc>
          <w:tcPr>
            <w:tcW w:w="759" w:type="dxa"/>
            <w:noWrap w:val="0"/>
            <w:vAlign w:val="center"/>
          </w:tcPr>
          <w:p w14:paraId="1E847BE4">
            <w:pPr>
              <w:widowControl/>
              <w:spacing w:line="24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100</w:t>
            </w:r>
          </w:p>
        </w:tc>
        <w:tc>
          <w:tcPr>
            <w:tcW w:w="861" w:type="dxa"/>
            <w:noWrap w:val="0"/>
            <w:vAlign w:val="center"/>
          </w:tcPr>
          <w:p w14:paraId="61D72176">
            <w:pPr>
              <w:widowControl/>
              <w:spacing w:line="240" w:lineRule="exact"/>
              <w:jc w:val="center"/>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9</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8.09</w:t>
            </w:r>
          </w:p>
        </w:tc>
        <w:tc>
          <w:tcPr>
            <w:tcW w:w="1031" w:type="dxa"/>
            <w:noWrap w:val="0"/>
            <w:vAlign w:val="center"/>
          </w:tcPr>
          <w:p w14:paraId="568116A9">
            <w:pPr>
              <w:widowControl/>
              <w:spacing w:line="24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bl>
    <w:p w14:paraId="1E60D29F">
      <w:pPr>
        <w:widowControl/>
        <w:spacing w:line="600" w:lineRule="auto"/>
        <w:jc w:val="left"/>
        <w:rPr>
          <w:rFonts w:hint="eastAsia" w:ascii="Times New Roman" w:hAnsi="Times New Roman" w:eastAsia="仿宋_GB2312" w:cs="Times New Roman"/>
          <w:color w:val="000000" w:themeColor="text1"/>
          <w:sz w:val="22"/>
          <w:szCs w:val="22"/>
          <w:highlight w:val="none"/>
          <w:lang w:eastAsia="zh-CN"/>
          <w14:textFill>
            <w14:solidFill>
              <w14:schemeClr w14:val="tx1"/>
            </w14:solidFill>
          </w14:textFill>
        </w:rPr>
        <w:sectPr>
          <w:pgSz w:w="11906" w:h="16838"/>
          <w:pgMar w:top="1213" w:right="1800" w:bottom="1157" w:left="1800" w:header="851" w:footer="992" w:gutter="0"/>
          <w:pgNumType w:fmt="decimal" w:start="1"/>
          <w:cols w:space="425" w:num="1"/>
          <w:docGrid w:type="lines" w:linePitch="312" w:charSpace="0"/>
        </w:sectPr>
      </w:pPr>
      <w:r>
        <w:rPr>
          <w:rFonts w:hint="default" w:ascii="Times New Roman" w:hAnsi="Times New Roman" w:eastAsia="仿宋_GB2312" w:cs="Times New Roman"/>
          <w:color w:val="000000" w:themeColor="text1"/>
          <w:sz w:val="22"/>
          <w:szCs w:val="22"/>
          <w:highlight w:val="none"/>
          <w14:textFill>
            <w14:solidFill>
              <w14:schemeClr w14:val="tx1"/>
            </w14:solidFill>
          </w14:textFill>
        </w:rPr>
        <w:t>填表人：</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李青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填报日期：</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2025.4.2</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联系电话：</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13873083020</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单位负责人签字</w:t>
      </w:r>
      <w:r>
        <w:rPr>
          <w:rFonts w:hint="eastAsia" w:ascii="Times New Roman" w:hAnsi="Times New Roman" w:eastAsia="仿宋_GB2312" w:cs="Times New Roman"/>
          <w:color w:val="000000" w:themeColor="text1"/>
          <w:sz w:val="22"/>
          <w:szCs w:val="22"/>
          <w:highlight w:val="none"/>
          <w:lang w:eastAsia="zh-CN"/>
          <w14:textFill>
            <w14:solidFill>
              <w14:schemeClr w14:val="tx1"/>
            </w14:solidFill>
          </w14:textFill>
        </w:rPr>
        <w:t>：</w:t>
      </w:r>
    </w:p>
    <w:p w14:paraId="2822B745">
      <w:pPr>
        <w:widowControl/>
        <w:spacing w:line="600" w:lineRule="auto"/>
        <w:jc w:val="left"/>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-1</w:t>
      </w:r>
    </w:p>
    <w:p w14:paraId="6D2C820D">
      <w:pPr>
        <w:widowControl/>
        <w:spacing w:line="600" w:lineRule="exact"/>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eastAsia"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62"/>
        <w:gridCol w:w="1046"/>
        <w:gridCol w:w="1954"/>
        <w:gridCol w:w="1040"/>
        <w:gridCol w:w="1062"/>
        <w:gridCol w:w="776"/>
        <w:gridCol w:w="946"/>
        <w:gridCol w:w="912"/>
      </w:tblGrid>
      <w:tr w14:paraId="25C0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noWrap w:val="0"/>
            <w:vAlign w:val="center"/>
          </w:tcPr>
          <w:p w14:paraId="553D4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项目支</w:t>
            </w:r>
          </w:p>
          <w:p w14:paraId="06F922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出名称</w:t>
            </w:r>
          </w:p>
        </w:tc>
        <w:tc>
          <w:tcPr>
            <w:tcW w:w="8798" w:type="dxa"/>
            <w:gridSpan w:val="8"/>
            <w:noWrap w:val="0"/>
            <w:vAlign w:val="center"/>
          </w:tcPr>
          <w:p w14:paraId="2AA0D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住房保障事务管理经费</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67E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noWrap w:val="0"/>
            <w:vAlign w:val="center"/>
          </w:tcPr>
          <w:p w14:paraId="54B228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主管部门</w:t>
            </w:r>
          </w:p>
        </w:tc>
        <w:tc>
          <w:tcPr>
            <w:tcW w:w="5102" w:type="dxa"/>
            <w:gridSpan w:val="4"/>
            <w:noWrap w:val="0"/>
            <w:vAlign w:val="center"/>
          </w:tcPr>
          <w:p w14:paraId="7DAFA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62" w:type="dxa"/>
            <w:noWrap w:val="0"/>
            <w:vAlign w:val="center"/>
          </w:tcPr>
          <w:p w14:paraId="2B98E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实施单位</w:t>
            </w:r>
          </w:p>
        </w:tc>
        <w:tc>
          <w:tcPr>
            <w:tcW w:w="2634" w:type="dxa"/>
            <w:gridSpan w:val="3"/>
            <w:noWrap w:val="0"/>
            <w:vAlign w:val="center"/>
          </w:tcPr>
          <w:p w14:paraId="6E05D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岳阳市住房保障服务中心</w:t>
            </w:r>
          </w:p>
        </w:tc>
      </w:tr>
      <w:tr w14:paraId="7EC3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43AAA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项目资金</w:t>
            </w:r>
          </w:p>
          <w:p w14:paraId="7BAAA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（万元）</w:t>
            </w:r>
          </w:p>
        </w:tc>
        <w:tc>
          <w:tcPr>
            <w:tcW w:w="2108" w:type="dxa"/>
            <w:gridSpan w:val="2"/>
            <w:noWrap w:val="0"/>
            <w:vAlign w:val="center"/>
          </w:tcPr>
          <w:p w14:paraId="3F2278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954" w:type="dxa"/>
            <w:noWrap w:val="0"/>
            <w:vAlign w:val="center"/>
          </w:tcPr>
          <w:p w14:paraId="4AFE4A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年初</w:t>
            </w:r>
          </w:p>
          <w:p w14:paraId="54008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预算数</w:t>
            </w:r>
          </w:p>
        </w:tc>
        <w:tc>
          <w:tcPr>
            <w:tcW w:w="1040" w:type="dxa"/>
            <w:noWrap w:val="0"/>
            <w:vAlign w:val="center"/>
          </w:tcPr>
          <w:p w14:paraId="2AE092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w:t>
            </w:r>
          </w:p>
          <w:p w14:paraId="777D2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预算数</w:t>
            </w:r>
          </w:p>
        </w:tc>
        <w:tc>
          <w:tcPr>
            <w:tcW w:w="1062" w:type="dxa"/>
            <w:noWrap w:val="0"/>
            <w:vAlign w:val="center"/>
          </w:tcPr>
          <w:p w14:paraId="6300345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全年</w:t>
            </w:r>
          </w:p>
          <w:p w14:paraId="634167A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执行数</w:t>
            </w:r>
          </w:p>
        </w:tc>
        <w:tc>
          <w:tcPr>
            <w:tcW w:w="776" w:type="dxa"/>
            <w:noWrap w:val="0"/>
            <w:vAlign w:val="center"/>
          </w:tcPr>
          <w:p w14:paraId="2069033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946" w:type="dxa"/>
            <w:noWrap w:val="0"/>
            <w:vAlign w:val="center"/>
          </w:tcPr>
          <w:p w14:paraId="3F0D960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执行率</w:t>
            </w:r>
          </w:p>
        </w:tc>
        <w:tc>
          <w:tcPr>
            <w:tcW w:w="912" w:type="dxa"/>
            <w:noWrap w:val="0"/>
            <w:vAlign w:val="center"/>
          </w:tcPr>
          <w:p w14:paraId="3EEA386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r>
      <w:tr w14:paraId="32DA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CF22C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4B3AF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年度资金总额　</w:t>
            </w:r>
          </w:p>
        </w:tc>
        <w:tc>
          <w:tcPr>
            <w:tcW w:w="1954" w:type="dxa"/>
            <w:noWrap w:val="0"/>
            <w:vAlign w:val="center"/>
          </w:tcPr>
          <w:p w14:paraId="47F6D5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40" w:type="dxa"/>
            <w:noWrap w:val="0"/>
            <w:vAlign w:val="center"/>
          </w:tcPr>
          <w:p w14:paraId="4E98A5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39.65</w:t>
            </w:r>
          </w:p>
        </w:tc>
        <w:tc>
          <w:tcPr>
            <w:tcW w:w="1062" w:type="dxa"/>
            <w:noWrap w:val="0"/>
            <w:vAlign w:val="center"/>
          </w:tcPr>
          <w:p w14:paraId="06090B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t>139.61</w:t>
            </w:r>
          </w:p>
        </w:tc>
        <w:tc>
          <w:tcPr>
            <w:tcW w:w="776" w:type="dxa"/>
            <w:noWrap w:val="0"/>
            <w:vAlign w:val="center"/>
          </w:tcPr>
          <w:p w14:paraId="2C3D4B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10</w:t>
            </w:r>
          </w:p>
        </w:tc>
        <w:tc>
          <w:tcPr>
            <w:tcW w:w="946" w:type="dxa"/>
            <w:noWrap w:val="0"/>
            <w:vAlign w:val="center"/>
          </w:tcPr>
          <w:p w14:paraId="2E5DF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99.97</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912" w:type="dxa"/>
            <w:noWrap w:val="0"/>
            <w:vAlign w:val="center"/>
          </w:tcPr>
          <w:p w14:paraId="7C8D7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r>
      <w:tr w14:paraId="2E27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155EEE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2B242E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其中：当年财政拨款　</w:t>
            </w:r>
          </w:p>
        </w:tc>
        <w:tc>
          <w:tcPr>
            <w:tcW w:w="1954" w:type="dxa"/>
            <w:noWrap w:val="0"/>
            <w:vAlign w:val="center"/>
          </w:tcPr>
          <w:p w14:paraId="7EBC4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147</w:t>
            </w:r>
          </w:p>
        </w:tc>
        <w:tc>
          <w:tcPr>
            <w:tcW w:w="1040" w:type="dxa"/>
            <w:noWrap w:val="0"/>
            <w:vAlign w:val="center"/>
          </w:tcPr>
          <w:p w14:paraId="2C380A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39.65</w:t>
            </w:r>
          </w:p>
        </w:tc>
        <w:tc>
          <w:tcPr>
            <w:tcW w:w="1062" w:type="dxa"/>
            <w:noWrap w:val="0"/>
            <w:vAlign w:val="center"/>
          </w:tcPr>
          <w:p w14:paraId="5BA2F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139.61</w:t>
            </w:r>
          </w:p>
        </w:tc>
        <w:tc>
          <w:tcPr>
            <w:tcW w:w="776" w:type="dxa"/>
            <w:noWrap w:val="0"/>
            <w:vAlign w:val="center"/>
          </w:tcPr>
          <w:p w14:paraId="0CBE15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46" w:type="dxa"/>
            <w:noWrap w:val="0"/>
            <w:vAlign w:val="center"/>
          </w:tcPr>
          <w:p w14:paraId="095789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99.97</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p>
        </w:tc>
        <w:tc>
          <w:tcPr>
            <w:tcW w:w="912" w:type="dxa"/>
            <w:noWrap w:val="0"/>
            <w:vAlign w:val="center"/>
          </w:tcPr>
          <w:p w14:paraId="044BD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r>
      <w:tr w14:paraId="4D6A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9E304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1C2CCD3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上年结转资金　</w:t>
            </w:r>
          </w:p>
        </w:tc>
        <w:tc>
          <w:tcPr>
            <w:tcW w:w="1954" w:type="dxa"/>
            <w:noWrap w:val="0"/>
            <w:vAlign w:val="center"/>
          </w:tcPr>
          <w:p w14:paraId="18BA3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40" w:type="dxa"/>
            <w:noWrap w:val="0"/>
            <w:vAlign w:val="center"/>
          </w:tcPr>
          <w:p w14:paraId="3AD26A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62" w:type="dxa"/>
            <w:noWrap w:val="0"/>
            <w:vAlign w:val="center"/>
          </w:tcPr>
          <w:p w14:paraId="5C0EC9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76" w:type="dxa"/>
            <w:noWrap w:val="0"/>
            <w:vAlign w:val="center"/>
          </w:tcPr>
          <w:p w14:paraId="054F12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46" w:type="dxa"/>
            <w:noWrap w:val="0"/>
            <w:vAlign w:val="center"/>
          </w:tcPr>
          <w:p w14:paraId="06BFA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12" w:type="dxa"/>
            <w:noWrap w:val="0"/>
            <w:vAlign w:val="center"/>
          </w:tcPr>
          <w:p w14:paraId="137CF5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5F70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27D14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2108" w:type="dxa"/>
            <w:gridSpan w:val="2"/>
            <w:noWrap w:val="0"/>
            <w:vAlign w:val="center"/>
          </w:tcPr>
          <w:p w14:paraId="17FB652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其他资金</w:t>
            </w:r>
          </w:p>
        </w:tc>
        <w:tc>
          <w:tcPr>
            <w:tcW w:w="1954" w:type="dxa"/>
            <w:noWrap w:val="0"/>
            <w:vAlign w:val="center"/>
          </w:tcPr>
          <w:p w14:paraId="72F51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40" w:type="dxa"/>
            <w:noWrap w:val="0"/>
            <w:vAlign w:val="center"/>
          </w:tcPr>
          <w:p w14:paraId="078E1F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62" w:type="dxa"/>
            <w:noWrap w:val="0"/>
            <w:vAlign w:val="center"/>
          </w:tcPr>
          <w:p w14:paraId="1CAC32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776" w:type="dxa"/>
            <w:noWrap w:val="0"/>
            <w:vAlign w:val="center"/>
          </w:tcPr>
          <w:p w14:paraId="5A94A0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46" w:type="dxa"/>
            <w:noWrap w:val="0"/>
            <w:vAlign w:val="center"/>
          </w:tcPr>
          <w:p w14:paraId="2F689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912" w:type="dxa"/>
            <w:noWrap w:val="0"/>
            <w:vAlign w:val="center"/>
          </w:tcPr>
          <w:p w14:paraId="30E84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r w14:paraId="3DFD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1FEF2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p>
        </w:tc>
        <w:tc>
          <w:tcPr>
            <w:tcW w:w="5102" w:type="dxa"/>
            <w:gridSpan w:val="4"/>
            <w:noWrap w:val="0"/>
            <w:vAlign w:val="center"/>
          </w:tcPr>
          <w:p w14:paraId="086862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预期目标</w:t>
            </w:r>
          </w:p>
        </w:tc>
        <w:tc>
          <w:tcPr>
            <w:tcW w:w="3696" w:type="dxa"/>
            <w:gridSpan w:val="4"/>
            <w:noWrap w:val="0"/>
            <w:vAlign w:val="center"/>
          </w:tcPr>
          <w:p w14:paraId="3E7FD2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实际完成情况　</w:t>
            </w:r>
          </w:p>
        </w:tc>
      </w:tr>
      <w:tr w14:paraId="4A77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B8FD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5102" w:type="dxa"/>
            <w:gridSpan w:val="4"/>
            <w:noWrap w:val="0"/>
            <w:vAlign w:val="center"/>
          </w:tcPr>
          <w:p w14:paraId="4DDF6C6C">
            <w:pPr>
              <w:widowControl/>
              <w:jc w:val="left"/>
              <w:rPr>
                <w:rFonts w:hint="eastAsia" w:eastAsia="仿宋_GB2312"/>
                <w:kern w:val="0"/>
                <w:sz w:val="20"/>
                <w:szCs w:val="20"/>
                <w:lang w:val="en-US" w:eastAsia="zh-CN"/>
              </w:rPr>
            </w:pPr>
            <w:r>
              <w:rPr>
                <w:rFonts w:hint="eastAsia" w:eastAsia="仿宋_GB2312"/>
                <w:kern w:val="0"/>
                <w:sz w:val="20"/>
                <w:szCs w:val="20"/>
                <w:lang w:val="en-US" w:eastAsia="zh-CN"/>
              </w:rPr>
              <w:t>1.重点对南湖公园、金鹗公园、王家河公园、南湖广场游路两侧树木进行防治，对中心城区主要路段行道树木进行蚁害灭治。</w:t>
            </w:r>
          </w:p>
          <w:p w14:paraId="393008A5">
            <w:pPr>
              <w:widowControl/>
              <w:jc w:val="left"/>
              <w:rPr>
                <w:rFonts w:hint="eastAsia" w:eastAsia="仿宋_GB2312"/>
                <w:kern w:val="0"/>
                <w:sz w:val="20"/>
                <w:szCs w:val="20"/>
                <w:lang w:val="en-US" w:eastAsia="zh-CN"/>
              </w:rPr>
            </w:pPr>
            <w:r>
              <w:rPr>
                <w:rFonts w:hint="eastAsia" w:eastAsia="仿宋_GB2312"/>
                <w:kern w:val="0"/>
                <w:sz w:val="20"/>
                <w:szCs w:val="20"/>
                <w:lang w:val="en-US" w:eastAsia="zh-CN"/>
              </w:rPr>
              <w:t>2.达到施工条件的房屋白蚁预防项目进行施工全覆盖，在保防期内的项目按回访复查要求做到复查、复治</w:t>
            </w:r>
          </w:p>
          <w:p w14:paraId="1BA4A7FE">
            <w:pPr>
              <w:widowControl/>
              <w:jc w:val="left"/>
              <w:rPr>
                <w:rFonts w:hint="eastAsia" w:eastAsia="仿宋_GB2312"/>
                <w:kern w:val="0"/>
                <w:sz w:val="20"/>
                <w:szCs w:val="20"/>
              </w:rPr>
            </w:pPr>
            <w:r>
              <w:rPr>
                <w:rFonts w:hint="eastAsia" w:eastAsia="仿宋_GB2312"/>
                <w:kern w:val="0"/>
                <w:sz w:val="20"/>
                <w:szCs w:val="20"/>
                <w:lang w:val="en-US" w:eastAsia="zh-CN"/>
              </w:rPr>
              <w:t>3、</w:t>
            </w:r>
            <w:r>
              <w:rPr>
                <w:rFonts w:hint="eastAsia" w:eastAsia="仿宋_GB2312"/>
                <w:kern w:val="0"/>
                <w:sz w:val="20"/>
                <w:szCs w:val="20"/>
              </w:rPr>
              <w:t>公租房小区的配租、清查和退出管理</w:t>
            </w:r>
            <w:r>
              <w:rPr>
                <w:rFonts w:hint="eastAsia" w:eastAsia="仿宋_GB2312"/>
                <w:kern w:val="0"/>
                <w:sz w:val="20"/>
                <w:szCs w:val="20"/>
                <w:lang w:eastAsia="zh-CN"/>
              </w:rPr>
              <w:t>，</w:t>
            </w:r>
            <w:r>
              <w:rPr>
                <w:rFonts w:hint="eastAsia" w:eastAsia="仿宋_GB2312"/>
                <w:kern w:val="0"/>
                <w:sz w:val="20"/>
                <w:szCs w:val="20"/>
                <w:lang w:val="en-US" w:eastAsia="zh-CN"/>
              </w:rPr>
              <w:t>档案信息更新</w:t>
            </w:r>
            <w:r>
              <w:rPr>
                <w:rFonts w:hint="eastAsia" w:eastAsia="仿宋_GB2312"/>
                <w:kern w:val="0"/>
                <w:sz w:val="20"/>
                <w:szCs w:val="20"/>
              </w:rPr>
              <w:t>。</w:t>
            </w:r>
          </w:p>
          <w:p w14:paraId="10F15BB8">
            <w:pPr>
              <w:widowControl/>
              <w:numPr>
                <w:ilvl w:val="0"/>
                <w:numId w:val="0"/>
              </w:numPr>
              <w:jc w:val="left"/>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pPr>
            <w:r>
              <w:rPr>
                <w:rFonts w:hint="eastAsia" w:eastAsia="仿宋_GB2312"/>
                <w:kern w:val="0"/>
                <w:sz w:val="20"/>
                <w:szCs w:val="20"/>
                <w:lang w:val="en-US" w:eastAsia="zh-CN"/>
              </w:rPr>
              <w:t>4、</w:t>
            </w:r>
            <w:r>
              <w:rPr>
                <w:rFonts w:hint="eastAsia" w:eastAsia="仿宋_GB2312"/>
                <w:kern w:val="0"/>
                <w:sz w:val="20"/>
                <w:szCs w:val="20"/>
              </w:rPr>
              <w:t>乡村振兴</w:t>
            </w:r>
            <w:r>
              <w:rPr>
                <w:rFonts w:hint="eastAsia" w:eastAsia="仿宋_GB2312"/>
                <w:kern w:val="0"/>
                <w:sz w:val="20"/>
                <w:szCs w:val="20"/>
                <w:lang w:eastAsia="zh-CN"/>
              </w:rPr>
              <w:t>、</w:t>
            </w:r>
            <w:r>
              <w:rPr>
                <w:rFonts w:hint="eastAsia" w:eastAsia="仿宋_GB2312"/>
                <w:kern w:val="0"/>
                <w:sz w:val="20"/>
                <w:szCs w:val="20"/>
                <w:lang w:val="en-US" w:eastAsia="zh-CN"/>
              </w:rPr>
              <w:t>文明创建</w:t>
            </w:r>
            <w:r>
              <w:rPr>
                <w:rFonts w:hint="eastAsia" w:eastAsia="仿宋_GB2312"/>
                <w:kern w:val="0"/>
                <w:sz w:val="20"/>
                <w:szCs w:val="20"/>
              </w:rPr>
              <w:t>等</w:t>
            </w:r>
          </w:p>
        </w:tc>
        <w:tc>
          <w:tcPr>
            <w:tcW w:w="3696" w:type="dxa"/>
            <w:gridSpan w:val="4"/>
            <w:noWrap w:val="0"/>
            <w:vAlign w:val="center"/>
          </w:tcPr>
          <w:p w14:paraId="26D28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年度总体目标</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全部完成</w:t>
            </w:r>
          </w:p>
        </w:tc>
      </w:tr>
      <w:tr w14:paraId="19C9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456BD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绩</w:t>
            </w:r>
          </w:p>
          <w:p w14:paraId="655FE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w:t>
            </w:r>
          </w:p>
          <w:p w14:paraId="686E5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w:t>
            </w:r>
          </w:p>
          <w:p w14:paraId="68D9A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标</w:t>
            </w:r>
          </w:p>
        </w:tc>
        <w:tc>
          <w:tcPr>
            <w:tcW w:w="1062" w:type="dxa"/>
            <w:noWrap w:val="0"/>
            <w:vAlign w:val="center"/>
          </w:tcPr>
          <w:p w14:paraId="226C3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一级指标</w:t>
            </w:r>
          </w:p>
        </w:tc>
        <w:tc>
          <w:tcPr>
            <w:tcW w:w="1046" w:type="dxa"/>
            <w:noWrap w:val="0"/>
            <w:vAlign w:val="center"/>
          </w:tcPr>
          <w:p w14:paraId="2147D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二级指标</w:t>
            </w:r>
          </w:p>
        </w:tc>
        <w:tc>
          <w:tcPr>
            <w:tcW w:w="1954" w:type="dxa"/>
            <w:noWrap w:val="0"/>
            <w:vAlign w:val="center"/>
          </w:tcPr>
          <w:p w14:paraId="4A5B9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三级指标</w:t>
            </w:r>
          </w:p>
        </w:tc>
        <w:tc>
          <w:tcPr>
            <w:tcW w:w="1040" w:type="dxa"/>
            <w:noWrap w:val="0"/>
            <w:vAlign w:val="center"/>
          </w:tcPr>
          <w:p w14:paraId="1C009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年度</w:t>
            </w:r>
          </w:p>
          <w:p w14:paraId="4C3E9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指标值</w:t>
            </w:r>
          </w:p>
        </w:tc>
        <w:tc>
          <w:tcPr>
            <w:tcW w:w="1062" w:type="dxa"/>
            <w:noWrap w:val="0"/>
            <w:vAlign w:val="center"/>
          </w:tcPr>
          <w:p w14:paraId="42B0C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实际</w:t>
            </w:r>
          </w:p>
          <w:p w14:paraId="4AE402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完成值</w:t>
            </w:r>
          </w:p>
        </w:tc>
        <w:tc>
          <w:tcPr>
            <w:tcW w:w="776" w:type="dxa"/>
            <w:noWrap w:val="0"/>
            <w:vAlign w:val="center"/>
          </w:tcPr>
          <w:p w14:paraId="51E1D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分值</w:t>
            </w:r>
          </w:p>
        </w:tc>
        <w:tc>
          <w:tcPr>
            <w:tcW w:w="946" w:type="dxa"/>
            <w:noWrap w:val="0"/>
            <w:vAlign w:val="center"/>
          </w:tcPr>
          <w:p w14:paraId="3F40F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得分</w:t>
            </w:r>
          </w:p>
        </w:tc>
        <w:tc>
          <w:tcPr>
            <w:tcW w:w="912" w:type="dxa"/>
            <w:noWrap w:val="0"/>
            <w:vAlign w:val="center"/>
          </w:tcPr>
          <w:p w14:paraId="1F0C35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偏差原因分析及改进措施</w:t>
            </w:r>
          </w:p>
        </w:tc>
      </w:tr>
      <w:tr w14:paraId="3D5F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6F99B8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restart"/>
            <w:noWrap w:val="0"/>
            <w:vAlign w:val="center"/>
          </w:tcPr>
          <w:p w14:paraId="747285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产出指标</w:t>
            </w:r>
          </w:p>
          <w:p w14:paraId="30EE64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14:paraId="708A72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(50分)</w:t>
            </w:r>
          </w:p>
        </w:tc>
        <w:tc>
          <w:tcPr>
            <w:tcW w:w="1046" w:type="dxa"/>
            <w:vMerge w:val="restart"/>
            <w:noWrap w:val="0"/>
            <w:vAlign w:val="center"/>
          </w:tcPr>
          <w:p w14:paraId="30FE61C0">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数量指标</w:t>
            </w:r>
          </w:p>
        </w:tc>
        <w:tc>
          <w:tcPr>
            <w:tcW w:w="1954" w:type="dxa"/>
            <w:noWrap w:val="0"/>
            <w:vAlign w:val="top"/>
          </w:tcPr>
          <w:p w14:paraId="063D73C0">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多个园林单位</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绿化</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以及城区主干道行道树木</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实施白蚁防治</w:t>
            </w:r>
          </w:p>
        </w:tc>
        <w:tc>
          <w:tcPr>
            <w:tcW w:w="1040" w:type="dxa"/>
            <w:noWrap w:val="0"/>
            <w:vAlign w:val="center"/>
          </w:tcPr>
          <w:p w14:paraId="3CE0421D">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灭治区域</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达到90%</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xml:space="preserve"> </w:t>
            </w:r>
          </w:p>
        </w:tc>
        <w:tc>
          <w:tcPr>
            <w:tcW w:w="1062" w:type="dxa"/>
            <w:shd w:val="clear" w:color="auto" w:fill="auto"/>
            <w:noWrap w:val="0"/>
            <w:vAlign w:val="center"/>
          </w:tcPr>
          <w:p w14:paraId="3487E61B">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灭治区域</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达到90%</w:t>
            </w:r>
          </w:p>
        </w:tc>
        <w:tc>
          <w:tcPr>
            <w:tcW w:w="776" w:type="dxa"/>
            <w:noWrap w:val="0"/>
            <w:vAlign w:val="center"/>
          </w:tcPr>
          <w:p w14:paraId="60F3C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46" w:type="dxa"/>
            <w:noWrap w:val="0"/>
            <w:vAlign w:val="center"/>
          </w:tcPr>
          <w:p w14:paraId="3248E8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12" w:type="dxa"/>
            <w:noWrap w:val="0"/>
            <w:vAlign w:val="center"/>
          </w:tcPr>
          <w:p w14:paraId="13AD8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D97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70CF241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B652A2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213705C">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71987F76">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中心</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城区新建房屋</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预防项目</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达到施工条件的进行</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白蚁防治</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施工全覆盖。</w:t>
            </w:r>
          </w:p>
        </w:tc>
        <w:tc>
          <w:tcPr>
            <w:tcW w:w="1040" w:type="dxa"/>
            <w:noWrap w:val="0"/>
            <w:vAlign w:val="center"/>
          </w:tcPr>
          <w:p w14:paraId="5ACC075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260</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万平方米</w:t>
            </w:r>
          </w:p>
        </w:tc>
        <w:tc>
          <w:tcPr>
            <w:tcW w:w="1062" w:type="dxa"/>
            <w:shd w:val="clear" w:color="auto" w:fill="auto"/>
            <w:noWrap w:val="0"/>
            <w:vAlign w:val="center"/>
          </w:tcPr>
          <w:p w14:paraId="06B5EA57">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252</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万平方米</w:t>
            </w:r>
          </w:p>
        </w:tc>
        <w:tc>
          <w:tcPr>
            <w:tcW w:w="776" w:type="dxa"/>
            <w:noWrap w:val="0"/>
            <w:vAlign w:val="center"/>
          </w:tcPr>
          <w:p w14:paraId="19CD0A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46" w:type="dxa"/>
            <w:noWrap w:val="0"/>
            <w:vAlign w:val="center"/>
          </w:tcPr>
          <w:p w14:paraId="0E7F4F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9.69</w:t>
            </w:r>
          </w:p>
        </w:tc>
        <w:tc>
          <w:tcPr>
            <w:tcW w:w="912" w:type="dxa"/>
            <w:noWrap w:val="0"/>
            <w:vAlign w:val="center"/>
          </w:tcPr>
          <w:p w14:paraId="7BB03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部分未完工</w:t>
            </w:r>
          </w:p>
        </w:tc>
      </w:tr>
      <w:tr w14:paraId="2E9B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8A825B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50648CB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C2CDF4F">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567D1F6A">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制定</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白蚁防治</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施工方案</w:t>
            </w:r>
          </w:p>
        </w:tc>
        <w:tc>
          <w:tcPr>
            <w:tcW w:w="1040" w:type="dxa"/>
            <w:noWrap w:val="0"/>
            <w:vAlign w:val="center"/>
          </w:tcPr>
          <w:p w14:paraId="3BBEBD96">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1个</w:t>
            </w:r>
          </w:p>
        </w:tc>
        <w:tc>
          <w:tcPr>
            <w:tcW w:w="1062" w:type="dxa"/>
            <w:shd w:val="clear" w:color="auto" w:fill="auto"/>
            <w:noWrap w:val="0"/>
            <w:vAlign w:val="center"/>
          </w:tcPr>
          <w:p w14:paraId="516C8563">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1个</w:t>
            </w:r>
          </w:p>
        </w:tc>
        <w:tc>
          <w:tcPr>
            <w:tcW w:w="776" w:type="dxa"/>
            <w:noWrap w:val="0"/>
            <w:vAlign w:val="center"/>
          </w:tcPr>
          <w:p w14:paraId="38B02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3FDA6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0379AD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250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348C056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4E7002C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21EEB5A1">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质量指标</w:t>
            </w:r>
          </w:p>
        </w:tc>
        <w:tc>
          <w:tcPr>
            <w:tcW w:w="1954" w:type="dxa"/>
            <w:noWrap w:val="0"/>
            <w:vAlign w:val="center"/>
          </w:tcPr>
          <w:p w14:paraId="668A4E2A">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确保城区</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已实施白蚁防治区域无明显蚁害、不出现重复蚁害。</w:t>
            </w:r>
          </w:p>
        </w:tc>
        <w:tc>
          <w:tcPr>
            <w:tcW w:w="1040" w:type="dxa"/>
            <w:noWrap w:val="0"/>
            <w:vAlign w:val="center"/>
          </w:tcPr>
          <w:p w14:paraId="754B7B8E">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无明显蚁害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不出现重复蚁</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害</w:t>
            </w:r>
          </w:p>
        </w:tc>
        <w:tc>
          <w:tcPr>
            <w:tcW w:w="1062" w:type="dxa"/>
            <w:noWrap w:val="0"/>
            <w:vAlign w:val="center"/>
          </w:tcPr>
          <w:p w14:paraId="4FB558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无明显蚁害</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不出现重复蚁</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害</w:t>
            </w:r>
          </w:p>
        </w:tc>
        <w:tc>
          <w:tcPr>
            <w:tcW w:w="776" w:type="dxa"/>
            <w:noWrap w:val="0"/>
            <w:vAlign w:val="center"/>
          </w:tcPr>
          <w:p w14:paraId="5AC89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46" w:type="dxa"/>
            <w:noWrap w:val="0"/>
            <w:vAlign w:val="center"/>
          </w:tcPr>
          <w:p w14:paraId="17EFD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12" w:type="dxa"/>
            <w:noWrap w:val="0"/>
            <w:vAlign w:val="center"/>
          </w:tcPr>
          <w:p w14:paraId="18D57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646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53" w:type="dxa"/>
            <w:vMerge w:val="continue"/>
            <w:noWrap w:val="0"/>
            <w:vAlign w:val="center"/>
          </w:tcPr>
          <w:p w14:paraId="04CA455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6D8529B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6B85376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shd w:val="clear" w:color="auto" w:fill="auto"/>
            <w:noWrap w:val="0"/>
            <w:vAlign w:val="center"/>
          </w:tcPr>
          <w:p w14:paraId="67612F05">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在保防期内的项目按回访复查要求做到复查、复访</w:t>
            </w:r>
          </w:p>
        </w:tc>
        <w:tc>
          <w:tcPr>
            <w:tcW w:w="1040" w:type="dxa"/>
            <w:shd w:val="clear" w:color="auto" w:fill="auto"/>
            <w:noWrap w:val="0"/>
            <w:vAlign w:val="center"/>
          </w:tcPr>
          <w:p w14:paraId="5C94D7D1">
            <w:pPr>
              <w:keepNext w:val="0"/>
              <w:keepLines w:val="0"/>
              <w:widowControl/>
              <w:suppressLineNumbers w:val="0"/>
              <w:jc w:val="both"/>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按回访复查要求复查、复访</w:t>
            </w:r>
          </w:p>
        </w:tc>
        <w:tc>
          <w:tcPr>
            <w:tcW w:w="1062" w:type="dxa"/>
            <w:shd w:val="clear" w:color="auto" w:fill="auto"/>
            <w:noWrap w:val="0"/>
            <w:vAlign w:val="center"/>
          </w:tcPr>
          <w:p w14:paraId="6AD83D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按回访复查要求复查、复访</w:t>
            </w:r>
          </w:p>
        </w:tc>
        <w:tc>
          <w:tcPr>
            <w:tcW w:w="776" w:type="dxa"/>
            <w:shd w:val="clear" w:color="auto" w:fill="auto"/>
            <w:noWrap w:val="0"/>
            <w:vAlign w:val="center"/>
          </w:tcPr>
          <w:p w14:paraId="3F66F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shd w:val="clear" w:color="auto" w:fill="auto"/>
            <w:noWrap w:val="0"/>
            <w:vAlign w:val="center"/>
          </w:tcPr>
          <w:p w14:paraId="30097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5</w:t>
            </w:r>
          </w:p>
        </w:tc>
        <w:tc>
          <w:tcPr>
            <w:tcW w:w="912" w:type="dxa"/>
            <w:shd w:val="clear" w:color="auto" w:fill="auto"/>
            <w:noWrap w:val="0"/>
            <w:vAlign w:val="center"/>
          </w:tcPr>
          <w:p w14:paraId="51880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kern w:val="0"/>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30D2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53" w:type="dxa"/>
            <w:vMerge w:val="continue"/>
            <w:noWrap w:val="0"/>
            <w:vAlign w:val="center"/>
          </w:tcPr>
          <w:p w14:paraId="6A85CD1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032EC67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noWrap w:val="0"/>
            <w:vAlign w:val="center"/>
          </w:tcPr>
          <w:p w14:paraId="1DC923D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时效指标</w:t>
            </w:r>
          </w:p>
        </w:tc>
        <w:tc>
          <w:tcPr>
            <w:tcW w:w="1954" w:type="dxa"/>
            <w:noWrap w:val="0"/>
            <w:vAlign w:val="center"/>
          </w:tcPr>
          <w:p w14:paraId="52469307">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保防期</w:t>
            </w:r>
          </w:p>
        </w:tc>
        <w:tc>
          <w:tcPr>
            <w:tcW w:w="1040" w:type="dxa"/>
            <w:noWrap w:val="0"/>
            <w:vAlign w:val="center"/>
          </w:tcPr>
          <w:p w14:paraId="06D2D8AF">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15年</w:t>
            </w:r>
          </w:p>
        </w:tc>
        <w:tc>
          <w:tcPr>
            <w:tcW w:w="1062" w:type="dxa"/>
            <w:noWrap w:val="0"/>
            <w:vAlign w:val="center"/>
          </w:tcPr>
          <w:p w14:paraId="5AB49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15年</w:t>
            </w:r>
          </w:p>
        </w:tc>
        <w:tc>
          <w:tcPr>
            <w:tcW w:w="776" w:type="dxa"/>
            <w:noWrap w:val="0"/>
            <w:vAlign w:val="center"/>
          </w:tcPr>
          <w:p w14:paraId="34D06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46" w:type="dxa"/>
            <w:noWrap w:val="0"/>
            <w:vAlign w:val="center"/>
          </w:tcPr>
          <w:p w14:paraId="21C34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12" w:type="dxa"/>
            <w:noWrap w:val="0"/>
            <w:vAlign w:val="center"/>
          </w:tcPr>
          <w:p w14:paraId="6A6277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A0C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9EF428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0132877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noWrap w:val="0"/>
            <w:vAlign w:val="center"/>
          </w:tcPr>
          <w:p w14:paraId="69FEF593">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成本指标</w:t>
            </w:r>
          </w:p>
        </w:tc>
        <w:tc>
          <w:tcPr>
            <w:tcW w:w="1954" w:type="dxa"/>
            <w:noWrap w:val="0"/>
            <w:vAlign w:val="center"/>
          </w:tcPr>
          <w:p w14:paraId="697D104B">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全年预算数</w:t>
            </w:r>
          </w:p>
        </w:tc>
        <w:tc>
          <w:tcPr>
            <w:tcW w:w="1040" w:type="dxa"/>
            <w:noWrap w:val="0"/>
            <w:vAlign w:val="center"/>
          </w:tcPr>
          <w:p w14:paraId="6F109D56">
            <w:pPr>
              <w:keepNext w:val="0"/>
              <w:keepLines w:val="0"/>
              <w:widowControl/>
              <w:suppressLineNumbers w:val="0"/>
              <w:jc w:val="both"/>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153.65</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万元</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内</w:t>
            </w:r>
          </w:p>
        </w:tc>
        <w:tc>
          <w:tcPr>
            <w:tcW w:w="1062" w:type="dxa"/>
            <w:noWrap w:val="0"/>
            <w:vAlign w:val="center"/>
          </w:tcPr>
          <w:p w14:paraId="5EFD0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153.61万元</w:t>
            </w:r>
          </w:p>
        </w:tc>
        <w:tc>
          <w:tcPr>
            <w:tcW w:w="776" w:type="dxa"/>
            <w:noWrap w:val="0"/>
            <w:vAlign w:val="center"/>
          </w:tcPr>
          <w:p w14:paraId="3F68A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46" w:type="dxa"/>
            <w:noWrap w:val="0"/>
            <w:vAlign w:val="center"/>
          </w:tcPr>
          <w:p w14:paraId="7F02B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10</w:t>
            </w:r>
          </w:p>
        </w:tc>
        <w:tc>
          <w:tcPr>
            <w:tcW w:w="912" w:type="dxa"/>
            <w:noWrap w:val="0"/>
            <w:vAlign w:val="center"/>
          </w:tcPr>
          <w:p w14:paraId="3B37C4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353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4C9684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restart"/>
            <w:noWrap w:val="0"/>
            <w:vAlign w:val="center"/>
          </w:tcPr>
          <w:p w14:paraId="70FAE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效益指标</w:t>
            </w:r>
          </w:p>
          <w:p w14:paraId="17ADBD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14:paraId="6A1B55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（30分）</w:t>
            </w:r>
          </w:p>
          <w:p w14:paraId="0CE986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c>
          <w:tcPr>
            <w:tcW w:w="1046" w:type="dxa"/>
            <w:noWrap w:val="0"/>
            <w:vAlign w:val="center"/>
          </w:tcPr>
          <w:p w14:paraId="619CD6A4">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经济效</w:t>
            </w:r>
          </w:p>
          <w:p w14:paraId="182A62C8">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1954" w:type="dxa"/>
            <w:noWrap w:val="0"/>
            <w:vAlign w:val="center"/>
          </w:tcPr>
          <w:p w14:paraId="3B3E134D">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无直接经济效益</w:t>
            </w:r>
          </w:p>
        </w:tc>
        <w:tc>
          <w:tcPr>
            <w:tcW w:w="1040" w:type="dxa"/>
            <w:noWrap w:val="0"/>
            <w:vAlign w:val="center"/>
          </w:tcPr>
          <w:p w14:paraId="7599352C">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不适用</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w:t>
            </w:r>
          </w:p>
        </w:tc>
        <w:tc>
          <w:tcPr>
            <w:tcW w:w="1062" w:type="dxa"/>
            <w:noWrap w:val="0"/>
            <w:vAlign w:val="center"/>
          </w:tcPr>
          <w:p w14:paraId="7EDBDB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不适用</w:t>
            </w:r>
          </w:p>
        </w:tc>
        <w:tc>
          <w:tcPr>
            <w:tcW w:w="776" w:type="dxa"/>
            <w:noWrap w:val="0"/>
            <w:vAlign w:val="center"/>
          </w:tcPr>
          <w:p w14:paraId="2D162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p>
        </w:tc>
        <w:tc>
          <w:tcPr>
            <w:tcW w:w="946" w:type="dxa"/>
            <w:noWrap w:val="0"/>
            <w:vAlign w:val="center"/>
          </w:tcPr>
          <w:p w14:paraId="42513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p>
        </w:tc>
        <w:tc>
          <w:tcPr>
            <w:tcW w:w="912" w:type="dxa"/>
            <w:noWrap w:val="0"/>
            <w:vAlign w:val="center"/>
          </w:tcPr>
          <w:p w14:paraId="54100A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pPr>
          </w:p>
        </w:tc>
      </w:tr>
      <w:tr w14:paraId="5C2E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53" w:type="dxa"/>
            <w:vMerge w:val="continue"/>
            <w:noWrap w:val="0"/>
            <w:vAlign w:val="center"/>
          </w:tcPr>
          <w:p w14:paraId="2757F66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51ECB4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6D97D89A">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社会效</w:t>
            </w:r>
          </w:p>
          <w:p w14:paraId="6922FD8D">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1954" w:type="dxa"/>
            <w:noWrap w:val="0"/>
            <w:vAlign w:val="center"/>
          </w:tcPr>
          <w:p w14:paraId="52D8964D">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城区多个园林单位以及城区主干道行道树木逐渐消除蚁害。</w:t>
            </w:r>
          </w:p>
        </w:tc>
        <w:tc>
          <w:tcPr>
            <w:tcW w:w="1040" w:type="dxa"/>
            <w:noWrap w:val="0"/>
            <w:vAlign w:val="center"/>
          </w:tcPr>
          <w:p w14:paraId="2F930525">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达到良好的社会效益</w:t>
            </w:r>
          </w:p>
        </w:tc>
        <w:tc>
          <w:tcPr>
            <w:tcW w:w="1062" w:type="dxa"/>
            <w:noWrap w:val="0"/>
            <w:vAlign w:val="center"/>
          </w:tcPr>
          <w:p w14:paraId="03B3D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40B0E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0B4FF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4</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788049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部分区域蚁害未完全消除，后续加强蚁害防治</w:t>
            </w:r>
          </w:p>
        </w:tc>
      </w:tr>
      <w:tr w14:paraId="0CF5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0A9BC39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3B470C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55FCA4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69B86039">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确保城市房屋住用安全</w:t>
            </w:r>
          </w:p>
        </w:tc>
        <w:tc>
          <w:tcPr>
            <w:tcW w:w="1040" w:type="dxa"/>
            <w:noWrap w:val="0"/>
            <w:vAlign w:val="center"/>
          </w:tcPr>
          <w:p w14:paraId="6BD5FEB1">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确保城市房屋住用安全</w:t>
            </w:r>
          </w:p>
        </w:tc>
        <w:tc>
          <w:tcPr>
            <w:tcW w:w="1062" w:type="dxa"/>
            <w:noWrap w:val="0"/>
            <w:vAlign w:val="center"/>
          </w:tcPr>
          <w:p w14:paraId="514CF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50EEE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292B1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4.5</w:t>
            </w:r>
          </w:p>
        </w:tc>
        <w:tc>
          <w:tcPr>
            <w:tcW w:w="912" w:type="dxa"/>
            <w:noWrap w:val="0"/>
            <w:vAlign w:val="center"/>
          </w:tcPr>
          <w:p w14:paraId="78428C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部分房屋蚁害未完全消除，后续加强蚁害防治</w:t>
            </w:r>
          </w:p>
        </w:tc>
      </w:tr>
      <w:tr w14:paraId="02E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99C1F2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7CA5E78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367F0295">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生态效</w:t>
            </w:r>
          </w:p>
          <w:p w14:paraId="23744F5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益指标</w:t>
            </w:r>
          </w:p>
        </w:tc>
        <w:tc>
          <w:tcPr>
            <w:tcW w:w="1954" w:type="dxa"/>
            <w:noWrap w:val="0"/>
            <w:vAlign w:val="center"/>
          </w:tcPr>
          <w:p w14:paraId="3DE267CD">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逐渐消除城市园林绿地蚁害，达到山清水绿。</w:t>
            </w:r>
          </w:p>
        </w:tc>
        <w:tc>
          <w:tcPr>
            <w:tcW w:w="1040" w:type="dxa"/>
            <w:noWrap w:val="0"/>
            <w:vAlign w:val="center"/>
          </w:tcPr>
          <w:p w14:paraId="1B862151">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环境效益好</w:t>
            </w:r>
          </w:p>
        </w:tc>
        <w:tc>
          <w:tcPr>
            <w:tcW w:w="1062" w:type="dxa"/>
            <w:noWrap w:val="0"/>
            <w:vAlign w:val="center"/>
          </w:tcPr>
          <w:p w14:paraId="21347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59E3BB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0FA8B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349744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部分区域蚁害未完全消除，后续加强蚁害防治</w:t>
            </w:r>
          </w:p>
        </w:tc>
      </w:tr>
      <w:tr w14:paraId="2DF2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4F044F6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28C5244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349D0A7">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46680D26">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降低城市房屋白蚁危害</w:t>
            </w:r>
          </w:p>
        </w:tc>
        <w:tc>
          <w:tcPr>
            <w:tcW w:w="1040" w:type="dxa"/>
            <w:noWrap w:val="0"/>
            <w:vAlign w:val="center"/>
          </w:tcPr>
          <w:p w14:paraId="0C97A0ED">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环境效益好</w:t>
            </w:r>
          </w:p>
        </w:tc>
        <w:tc>
          <w:tcPr>
            <w:tcW w:w="1062" w:type="dxa"/>
            <w:noWrap w:val="0"/>
            <w:vAlign w:val="center"/>
          </w:tcPr>
          <w:p w14:paraId="3180F4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14:textFill>
                  <w14:solidFill>
                    <w14:schemeClr w14:val="tx1"/>
                  </w14:solidFill>
                </w14:textFill>
              </w:rPr>
              <w:t>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90</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w:t>
            </w:r>
          </w:p>
        </w:tc>
        <w:tc>
          <w:tcPr>
            <w:tcW w:w="776" w:type="dxa"/>
            <w:noWrap w:val="0"/>
            <w:vAlign w:val="center"/>
          </w:tcPr>
          <w:p w14:paraId="15C5A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1EB19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4.</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1530A7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部分房屋蚁害未完全消除，后续加强蚁害防治</w:t>
            </w:r>
          </w:p>
        </w:tc>
      </w:tr>
      <w:tr w14:paraId="47B9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7C1031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0D8A63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restart"/>
            <w:noWrap w:val="0"/>
            <w:vAlign w:val="center"/>
          </w:tcPr>
          <w:p w14:paraId="3F6EDBC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可持续影响指标</w:t>
            </w:r>
          </w:p>
        </w:tc>
        <w:tc>
          <w:tcPr>
            <w:tcW w:w="1954" w:type="dxa"/>
            <w:noWrap w:val="0"/>
            <w:vAlign w:val="center"/>
          </w:tcPr>
          <w:p w14:paraId="405A2CC2">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蚁害逐年递减</w:t>
            </w:r>
          </w:p>
        </w:tc>
        <w:tc>
          <w:tcPr>
            <w:tcW w:w="1040" w:type="dxa"/>
            <w:noWrap w:val="0"/>
            <w:vAlign w:val="center"/>
          </w:tcPr>
          <w:p w14:paraId="21F17B78">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1062" w:type="dxa"/>
            <w:noWrap w:val="0"/>
            <w:vAlign w:val="center"/>
          </w:tcPr>
          <w:p w14:paraId="633E8BB7">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776" w:type="dxa"/>
            <w:noWrap w:val="0"/>
            <w:vAlign w:val="center"/>
          </w:tcPr>
          <w:p w14:paraId="14CED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2F2D55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50A56E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0E0A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19E7AE4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vMerge w:val="continue"/>
            <w:noWrap w:val="0"/>
            <w:vAlign w:val="center"/>
          </w:tcPr>
          <w:p w14:paraId="2E149D9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46" w:type="dxa"/>
            <w:vMerge w:val="continue"/>
            <w:noWrap w:val="0"/>
            <w:vAlign w:val="center"/>
          </w:tcPr>
          <w:p w14:paraId="2F8B8AC5">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p>
        </w:tc>
        <w:tc>
          <w:tcPr>
            <w:tcW w:w="1954" w:type="dxa"/>
            <w:noWrap w:val="0"/>
            <w:vAlign w:val="center"/>
          </w:tcPr>
          <w:p w14:paraId="715A4F19">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城市房屋15年保防期内无蚁害现象发生</w:t>
            </w:r>
          </w:p>
        </w:tc>
        <w:tc>
          <w:tcPr>
            <w:tcW w:w="1040" w:type="dxa"/>
            <w:noWrap w:val="0"/>
            <w:vAlign w:val="center"/>
          </w:tcPr>
          <w:p w14:paraId="7864D3B2">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1062" w:type="dxa"/>
            <w:noWrap w:val="0"/>
            <w:vAlign w:val="center"/>
          </w:tcPr>
          <w:p w14:paraId="278A32EA">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有可持续影响</w:t>
            </w:r>
          </w:p>
        </w:tc>
        <w:tc>
          <w:tcPr>
            <w:tcW w:w="776" w:type="dxa"/>
            <w:noWrap w:val="0"/>
            <w:vAlign w:val="center"/>
          </w:tcPr>
          <w:p w14:paraId="3A047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46" w:type="dxa"/>
            <w:noWrap w:val="0"/>
            <w:vAlign w:val="center"/>
          </w:tcPr>
          <w:p w14:paraId="029BC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5</w:t>
            </w:r>
          </w:p>
        </w:tc>
        <w:tc>
          <w:tcPr>
            <w:tcW w:w="912" w:type="dxa"/>
            <w:noWrap w:val="0"/>
            <w:vAlign w:val="center"/>
          </w:tcPr>
          <w:p w14:paraId="7D72F1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BB2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35D425F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062" w:type="dxa"/>
            <w:noWrap w:val="0"/>
            <w:vAlign w:val="center"/>
          </w:tcPr>
          <w:p w14:paraId="5C5123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满意度</w:t>
            </w:r>
          </w:p>
          <w:p w14:paraId="266BE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指标</w:t>
            </w:r>
          </w:p>
          <w:p w14:paraId="616F6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1046" w:type="dxa"/>
            <w:noWrap w:val="0"/>
            <w:vAlign w:val="center"/>
          </w:tcPr>
          <w:p w14:paraId="1EC6BD59">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服务对象满意度指标</w:t>
            </w:r>
          </w:p>
        </w:tc>
        <w:tc>
          <w:tcPr>
            <w:tcW w:w="1954" w:type="dxa"/>
            <w:noWrap w:val="0"/>
            <w:vAlign w:val="center"/>
          </w:tcPr>
          <w:p w14:paraId="58E72E33">
            <w:pPr>
              <w:keepNext w:val="0"/>
              <w:keepLines w:val="0"/>
              <w:widowControl/>
              <w:suppressLineNumbers w:val="0"/>
              <w:jc w:val="left"/>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施工验收后达到90%以上的满意度</w:t>
            </w:r>
          </w:p>
        </w:tc>
        <w:tc>
          <w:tcPr>
            <w:tcW w:w="1040" w:type="dxa"/>
            <w:noWrap w:val="0"/>
            <w:vAlign w:val="center"/>
          </w:tcPr>
          <w:p w14:paraId="34B72DD4">
            <w:pPr>
              <w:keepNext w:val="0"/>
              <w:keepLines w:val="0"/>
              <w:widowControl/>
              <w:suppressLineNumbers w:val="0"/>
              <w:jc w:val="center"/>
              <w:textAlignment w:val="top"/>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90%</w:t>
            </w:r>
          </w:p>
        </w:tc>
        <w:tc>
          <w:tcPr>
            <w:tcW w:w="1062" w:type="dxa"/>
            <w:noWrap w:val="0"/>
            <w:vAlign w:val="center"/>
          </w:tcPr>
          <w:p w14:paraId="60BD1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90%</w:t>
            </w:r>
          </w:p>
        </w:tc>
        <w:tc>
          <w:tcPr>
            <w:tcW w:w="776" w:type="dxa"/>
            <w:noWrap w:val="0"/>
            <w:vAlign w:val="center"/>
          </w:tcPr>
          <w:p w14:paraId="2AEF69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46" w:type="dxa"/>
            <w:noWrap w:val="0"/>
            <w:vAlign w:val="center"/>
          </w:tcPr>
          <w:p w14:paraId="7A14E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lang w:val="en-US"/>
                <w14:textFill>
                  <w14:solidFill>
                    <w14:schemeClr w14:val="tx1"/>
                  </w14:solidFill>
                </w14:textFill>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10</w:t>
            </w:r>
          </w:p>
        </w:tc>
        <w:tc>
          <w:tcPr>
            <w:tcW w:w="912" w:type="dxa"/>
            <w:noWrap w:val="0"/>
            <w:vAlign w:val="center"/>
          </w:tcPr>
          <w:p w14:paraId="29D192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663A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7" w:type="dxa"/>
            <w:gridSpan w:val="6"/>
            <w:noWrap w:val="0"/>
            <w:vAlign w:val="center"/>
          </w:tcPr>
          <w:p w14:paraId="76291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总分</w:t>
            </w:r>
          </w:p>
        </w:tc>
        <w:tc>
          <w:tcPr>
            <w:tcW w:w="776" w:type="dxa"/>
            <w:noWrap w:val="0"/>
            <w:vAlign w:val="center"/>
          </w:tcPr>
          <w:p w14:paraId="49C8D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100</w:t>
            </w:r>
          </w:p>
        </w:tc>
        <w:tc>
          <w:tcPr>
            <w:tcW w:w="946" w:type="dxa"/>
            <w:noWrap w:val="0"/>
            <w:vAlign w:val="center"/>
          </w:tcPr>
          <w:p w14:paraId="6C39F22C">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97.69</w:t>
            </w:r>
          </w:p>
        </w:tc>
        <w:tc>
          <w:tcPr>
            <w:tcW w:w="912" w:type="dxa"/>
            <w:noWrap w:val="0"/>
            <w:vAlign w:val="center"/>
          </w:tcPr>
          <w:p w14:paraId="114B5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　</w:t>
            </w:r>
          </w:p>
        </w:tc>
      </w:tr>
    </w:tbl>
    <w:p w14:paraId="7C65A3FE">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default" w:ascii="Times New Roman" w:hAnsi="Times New Roman" w:eastAsia="仿宋_GB2312" w:cs="Times New Roman"/>
          <w:color w:val="000000" w:themeColor="text1"/>
          <w:sz w:val="22"/>
          <w:szCs w:val="22"/>
          <w:highlight w:val="none"/>
          <w14:textFill>
            <w14:solidFill>
              <w14:schemeClr w14:val="tx1"/>
            </w14:solidFill>
          </w14:textFill>
        </w:rPr>
      </w:pPr>
    </w:p>
    <w:p w14:paraId="44D75A51">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color w:val="000000" w:themeColor="text1"/>
          <w:sz w:val="22"/>
          <w:szCs w:val="22"/>
          <w:highlight w:val="none"/>
          <w14:textFill>
            <w14:solidFill>
              <w14:schemeClr w14:val="tx1"/>
            </w14:solidFill>
          </w14:textFill>
        </w:rPr>
        <w:t>填表人：</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李青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填报日期：</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2025.4.2</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联系电话：</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 xml:space="preserve">13873083020 </w:t>
      </w:r>
      <w:r>
        <w:rPr>
          <w:rFonts w:hint="default" w:ascii="Times New Roman" w:hAnsi="Times New Roman" w:eastAsia="仿宋_GB2312" w:cs="Times New Roman"/>
          <w:color w:val="000000" w:themeColor="text1"/>
          <w:sz w:val="22"/>
          <w:szCs w:val="22"/>
          <w:highlight w:val="none"/>
          <w14:textFill>
            <w14:solidFill>
              <w14:schemeClr w14:val="tx1"/>
            </w14:solidFill>
          </w14:textFill>
        </w:rPr>
        <w:t xml:space="preserve"> 单位</w:t>
      </w:r>
      <w:r>
        <w:rPr>
          <w:rFonts w:hint="eastAsia" w:ascii="Times New Roman" w:hAnsi="Times New Roman" w:eastAsia="仿宋_GB2312" w:cs="Times New Roman"/>
          <w:color w:val="000000" w:themeColor="text1"/>
          <w:sz w:val="22"/>
          <w:szCs w:val="22"/>
          <w:highlight w:val="none"/>
          <w:lang w:val="en-US" w:eastAsia="zh-CN"/>
          <w14:textFill>
            <w14:solidFill>
              <w14:schemeClr w14:val="tx1"/>
            </w14:solidFill>
          </w14:textFill>
        </w:rPr>
        <w:t>负责人签字：</w:t>
      </w:r>
    </w:p>
    <w:p w14:paraId="7B08204F">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5B93977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963" w:type="dxa"/>
        <w:jc w:val="center"/>
        <w:tblLayout w:type="fixed"/>
        <w:tblCellMar>
          <w:top w:w="0" w:type="dxa"/>
          <w:left w:w="108" w:type="dxa"/>
          <w:bottom w:w="0" w:type="dxa"/>
          <w:right w:w="108" w:type="dxa"/>
        </w:tblCellMar>
      </w:tblPr>
      <w:tblGrid>
        <w:gridCol w:w="1049"/>
        <w:gridCol w:w="1024"/>
        <w:gridCol w:w="1395"/>
        <w:gridCol w:w="1987"/>
        <w:gridCol w:w="907"/>
        <w:gridCol w:w="1021"/>
        <w:gridCol w:w="615"/>
        <w:gridCol w:w="660"/>
        <w:gridCol w:w="1305"/>
      </w:tblGrid>
      <w:tr w14:paraId="376DFF09">
        <w:tblPrEx>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4FA44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5242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14" w:type="dxa"/>
            <w:gridSpan w:val="8"/>
            <w:tcBorders>
              <w:top w:val="single" w:color="auto" w:sz="4" w:space="0"/>
              <w:left w:val="nil"/>
              <w:bottom w:val="single" w:color="auto" w:sz="4" w:space="0"/>
              <w:right w:val="single" w:color="auto" w:sz="4" w:space="0"/>
            </w:tcBorders>
            <w:noWrap w:val="0"/>
            <w:vAlign w:val="center"/>
          </w:tcPr>
          <w:p w14:paraId="0095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非税收入执收成本</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w:t>
            </w:r>
          </w:p>
        </w:tc>
      </w:tr>
      <w:tr w14:paraId="09E9B0FE">
        <w:tblPrEx>
          <w:tblCellMar>
            <w:top w:w="0" w:type="dxa"/>
            <w:left w:w="108" w:type="dxa"/>
            <w:bottom w:w="0" w:type="dxa"/>
            <w:right w:w="108" w:type="dxa"/>
          </w:tblCellMar>
        </w:tblPrEx>
        <w:trPr>
          <w:jc w:val="center"/>
        </w:trPr>
        <w:tc>
          <w:tcPr>
            <w:tcW w:w="1049" w:type="dxa"/>
            <w:tcBorders>
              <w:top w:val="nil"/>
              <w:left w:val="single" w:color="auto" w:sz="4" w:space="0"/>
              <w:bottom w:val="single" w:color="auto" w:sz="4" w:space="0"/>
              <w:right w:val="single" w:color="auto" w:sz="4" w:space="0"/>
            </w:tcBorders>
            <w:noWrap w:val="0"/>
            <w:vAlign w:val="center"/>
          </w:tcPr>
          <w:p w14:paraId="4C783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13" w:type="dxa"/>
            <w:gridSpan w:val="4"/>
            <w:tcBorders>
              <w:top w:val="single" w:color="auto" w:sz="4" w:space="0"/>
              <w:left w:val="nil"/>
              <w:bottom w:val="single" w:color="auto" w:sz="4" w:space="0"/>
              <w:right w:val="single" w:color="auto" w:sz="4" w:space="0"/>
            </w:tcBorders>
            <w:noWrap w:val="0"/>
            <w:vAlign w:val="center"/>
          </w:tcPr>
          <w:p w14:paraId="198D20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21" w:type="dxa"/>
            <w:tcBorders>
              <w:top w:val="single" w:color="auto" w:sz="4" w:space="0"/>
              <w:left w:val="nil"/>
              <w:bottom w:val="single" w:color="auto" w:sz="4" w:space="0"/>
              <w:right w:val="single" w:color="000000" w:sz="4" w:space="0"/>
            </w:tcBorders>
            <w:noWrap w:val="0"/>
            <w:vAlign w:val="center"/>
          </w:tcPr>
          <w:p w14:paraId="095ED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580" w:type="dxa"/>
            <w:gridSpan w:val="3"/>
            <w:tcBorders>
              <w:top w:val="single" w:color="auto" w:sz="4" w:space="0"/>
              <w:left w:val="nil"/>
              <w:bottom w:val="single" w:color="auto" w:sz="4" w:space="0"/>
              <w:right w:val="single" w:color="auto" w:sz="4" w:space="0"/>
            </w:tcBorders>
            <w:noWrap w:val="0"/>
            <w:vAlign w:val="center"/>
          </w:tcPr>
          <w:p w14:paraId="30138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岳阳市住房保障服务中心</w:t>
            </w:r>
          </w:p>
        </w:tc>
      </w:tr>
      <w:tr w14:paraId="5204CDDF">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5F440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E51B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419" w:type="dxa"/>
            <w:gridSpan w:val="2"/>
            <w:tcBorders>
              <w:top w:val="nil"/>
              <w:left w:val="nil"/>
              <w:bottom w:val="single" w:color="auto" w:sz="4" w:space="0"/>
              <w:right w:val="single" w:color="auto" w:sz="4" w:space="0"/>
            </w:tcBorders>
            <w:noWrap w:val="0"/>
            <w:vAlign w:val="center"/>
          </w:tcPr>
          <w:p w14:paraId="3B51ED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87" w:type="dxa"/>
            <w:tcBorders>
              <w:top w:val="nil"/>
              <w:left w:val="nil"/>
              <w:bottom w:val="single" w:color="auto" w:sz="4" w:space="0"/>
              <w:right w:val="single" w:color="auto" w:sz="4" w:space="0"/>
            </w:tcBorders>
            <w:noWrap w:val="0"/>
            <w:vAlign w:val="center"/>
          </w:tcPr>
          <w:p w14:paraId="19177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F090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7" w:type="dxa"/>
            <w:tcBorders>
              <w:top w:val="nil"/>
              <w:left w:val="nil"/>
              <w:bottom w:val="single" w:color="auto" w:sz="4" w:space="0"/>
              <w:right w:val="single" w:color="auto" w:sz="4" w:space="0"/>
            </w:tcBorders>
            <w:noWrap w:val="0"/>
            <w:vAlign w:val="center"/>
          </w:tcPr>
          <w:p w14:paraId="229CC1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0FD6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1" w:type="dxa"/>
            <w:tcBorders>
              <w:top w:val="nil"/>
              <w:left w:val="nil"/>
              <w:bottom w:val="single" w:color="auto" w:sz="4" w:space="0"/>
              <w:right w:val="single" w:color="auto" w:sz="4" w:space="0"/>
            </w:tcBorders>
            <w:noWrap w:val="0"/>
            <w:vAlign w:val="center"/>
          </w:tcPr>
          <w:p w14:paraId="73C4CD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59099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5" w:type="dxa"/>
            <w:tcBorders>
              <w:top w:val="nil"/>
              <w:left w:val="nil"/>
              <w:bottom w:val="single" w:color="auto" w:sz="4" w:space="0"/>
              <w:right w:val="single" w:color="auto" w:sz="4" w:space="0"/>
            </w:tcBorders>
            <w:noWrap w:val="0"/>
            <w:vAlign w:val="center"/>
          </w:tcPr>
          <w:p w14:paraId="20ABEC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08B6FD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05" w:type="dxa"/>
            <w:tcBorders>
              <w:top w:val="nil"/>
              <w:left w:val="nil"/>
              <w:bottom w:val="single" w:color="auto" w:sz="4" w:space="0"/>
              <w:right w:val="single" w:color="auto" w:sz="4" w:space="0"/>
            </w:tcBorders>
            <w:noWrap w:val="0"/>
            <w:vAlign w:val="center"/>
          </w:tcPr>
          <w:p w14:paraId="0B47D1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2A263E2">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0736A5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4215E8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87" w:type="dxa"/>
            <w:tcBorders>
              <w:top w:val="nil"/>
              <w:left w:val="nil"/>
              <w:bottom w:val="single" w:color="auto" w:sz="4" w:space="0"/>
              <w:right w:val="single" w:color="auto" w:sz="4" w:space="0"/>
            </w:tcBorders>
            <w:noWrap w:val="0"/>
            <w:vAlign w:val="center"/>
          </w:tcPr>
          <w:p w14:paraId="69445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14:paraId="56017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1021" w:type="dxa"/>
            <w:tcBorders>
              <w:top w:val="nil"/>
              <w:left w:val="nil"/>
              <w:bottom w:val="single" w:color="auto" w:sz="4" w:space="0"/>
              <w:right w:val="single" w:color="auto" w:sz="4" w:space="0"/>
            </w:tcBorders>
            <w:noWrap w:val="0"/>
            <w:vAlign w:val="center"/>
          </w:tcPr>
          <w:p w14:paraId="69664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615" w:type="dxa"/>
            <w:tcBorders>
              <w:top w:val="nil"/>
              <w:left w:val="nil"/>
              <w:bottom w:val="single" w:color="auto" w:sz="4" w:space="0"/>
              <w:right w:val="single" w:color="auto" w:sz="4" w:space="0"/>
            </w:tcBorders>
            <w:noWrap w:val="0"/>
            <w:vAlign w:val="center"/>
          </w:tcPr>
          <w:p w14:paraId="7446A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0" w:type="dxa"/>
            <w:tcBorders>
              <w:top w:val="nil"/>
              <w:left w:val="nil"/>
              <w:bottom w:val="single" w:color="auto" w:sz="4" w:space="0"/>
              <w:right w:val="single" w:color="auto" w:sz="4" w:space="0"/>
            </w:tcBorders>
            <w:noWrap w:val="0"/>
            <w:vAlign w:val="center"/>
          </w:tcPr>
          <w:p w14:paraId="5D4A0A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2182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0A35869">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725DC8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78099C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87" w:type="dxa"/>
            <w:tcBorders>
              <w:top w:val="nil"/>
              <w:left w:val="nil"/>
              <w:bottom w:val="single" w:color="auto" w:sz="4" w:space="0"/>
              <w:right w:val="single" w:color="auto" w:sz="4" w:space="0"/>
            </w:tcBorders>
            <w:noWrap w:val="0"/>
            <w:vAlign w:val="center"/>
          </w:tcPr>
          <w:p w14:paraId="68A4A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14:paraId="266E2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1021" w:type="dxa"/>
            <w:tcBorders>
              <w:top w:val="nil"/>
              <w:left w:val="nil"/>
              <w:bottom w:val="single" w:color="auto" w:sz="4" w:space="0"/>
              <w:right w:val="single" w:color="auto" w:sz="4" w:space="0"/>
            </w:tcBorders>
            <w:noWrap w:val="0"/>
            <w:vAlign w:val="center"/>
          </w:tcPr>
          <w:p w14:paraId="70D2C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w:t>
            </w:r>
          </w:p>
        </w:tc>
        <w:tc>
          <w:tcPr>
            <w:tcW w:w="615" w:type="dxa"/>
            <w:tcBorders>
              <w:top w:val="nil"/>
              <w:left w:val="nil"/>
              <w:bottom w:val="single" w:color="auto" w:sz="4" w:space="0"/>
              <w:right w:val="single" w:color="auto" w:sz="4" w:space="0"/>
            </w:tcBorders>
            <w:noWrap w:val="0"/>
            <w:vAlign w:val="center"/>
          </w:tcPr>
          <w:p w14:paraId="502E8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nil"/>
              <w:left w:val="nil"/>
              <w:bottom w:val="single" w:color="auto" w:sz="4" w:space="0"/>
              <w:right w:val="single" w:color="auto" w:sz="4" w:space="0"/>
            </w:tcBorders>
            <w:noWrap w:val="0"/>
            <w:vAlign w:val="center"/>
          </w:tcPr>
          <w:p w14:paraId="03F42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3B1D9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515C737">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6F246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0424A5C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87" w:type="dxa"/>
            <w:tcBorders>
              <w:top w:val="nil"/>
              <w:left w:val="nil"/>
              <w:bottom w:val="single" w:color="auto" w:sz="4" w:space="0"/>
              <w:right w:val="single" w:color="auto" w:sz="4" w:space="0"/>
            </w:tcBorders>
            <w:noWrap w:val="0"/>
            <w:vAlign w:val="center"/>
          </w:tcPr>
          <w:p w14:paraId="246860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572DB6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782BF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66F2D2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69E04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68892F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CF715">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4FF21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32587D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87" w:type="dxa"/>
            <w:tcBorders>
              <w:top w:val="nil"/>
              <w:left w:val="nil"/>
              <w:bottom w:val="single" w:color="auto" w:sz="4" w:space="0"/>
              <w:right w:val="single" w:color="auto" w:sz="4" w:space="0"/>
            </w:tcBorders>
            <w:noWrap w:val="0"/>
            <w:vAlign w:val="center"/>
          </w:tcPr>
          <w:p w14:paraId="3BF9A6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67D6D8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73468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21A64F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1A760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6A84DC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86AB69">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15F0E0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13" w:type="dxa"/>
            <w:gridSpan w:val="4"/>
            <w:tcBorders>
              <w:top w:val="single" w:color="auto" w:sz="4" w:space="0"/>
              <w:left w:val="nil"/>
              <w:bottom w:val="single" w:color="auto" w:sz="4" w:space="0"/>
              <w:right w:val="single" w:color="000000" w:sz="4" w:space="0"/>
            </w:tcBorders>
            <w:noWrap w:val="0"/>
            <w:vAlign w:val="center"/>
          </w:tcPr>
          <w:p w14:paraId="22248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1" w:type="dxa"/>
            <w:gridSpan w:val="4"/>
            <w:tcBorders>
              <w:top w:val="single" w:color="auto" w:sz="4" w:space="0"/>
              <w:left w:val="nil"/>
              <w:bottom w:val="single" w:color="auto" w:sz="4" w:space="0"/>
              <w:right w:val="single" w:color="auto" w:sz="4" w:space="0"/>
            </w:tcBorders>
            <w:noWrap w:val="0"/>
            <w:vAlign w:val="center"/>
          </w:tcPr>
          <w:p w14:paraId="6CC46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8F43D6C">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00163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313" w:type="dxa"/>
            <w:gridSpan w:val="4"/>
            <w:tcBorders>
              <w:top w:val="single" w:color="auto" w:sz="4" w:space="0"/>
              <w:left w:val="nil"/>
              <w:bottom w:val="single" w:color="auto" w:sz="4" w:space="0"/>
              <w:right w:val="single" w:color="000000" w:sz="4" w:space="0"/>
            </w:tcBorders>
            <w:noWrap w:val="0"/>
            <w:vAlign w:val="center"/>
          </w:tcPr>
          <w:p w14:paraId="17B5BD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1、按时完成并及时足额上缴2024年度非税征收任务—房租收入130万元。</w:t>
            </w:r>
          </w:p>
          <w:p w14:paraId="577753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2、保障低收入家庭住房安全。</w:t>
            </w:r>
          </w:p>
          <w:p w14:paraId="251F51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3、良好的物业管理。　</w:t>
            </w:r>
          </w:p>
          <w:p w14:paraId="3BB56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4、确保引进的人才住得舒适，安心工作。　</w:t>
            </w:r>
          </w:p>
        </w:tc>
        <w:tc>
          <w:tcPr>
            <w:tcW w:w="3601" w:type="dxa"/>
            <w:gridSpan w:val="4"/>
            <w:tcBorders>
              <w:top w:val="single" w:color="auto" w:sz="4" w:space="0"/>
              <w:left w:val="nil"/>
              <w:bottom w:val="single" w:color="auto" w:sz="4" w:space="0"/>
              <w:right w:val="single" w:color="auto" w:sz="4" w:space="0"/>
            </w:tcBorders>
            <w:noWrap w:val="0"/>
            <w:vAlign w:val="center"/>
          </w:tcPr>
          <w:p w14:paraId="2D66C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年度总体目标全部完成</w:t>
            </w:r>
          </w:p>
        </w:tc>
      </w:tr>
      <w:tr w14:paraId="21A07C7D">
        <w:tblPrEx>
          <w:tblCellMar>
            <w:top w:w="0" w:type="dxa"/>
            <w:left w:w="108" w:type="dxa"/>
            <w:bottom w:w="0" w:type="dxa"/>
            <w:right w:w="108" w:type="dxa"/>
          </w:tblCellMar>
        </w:tblPrEx>
        <w:trPr>
          <w:jc w:val="center"/>
        </w:trPr>
        <w:tc>
          <w:tcPr>
            <w:tcW w:w="1049" w:type="dxa"/>
            <w:vMerge w:val="restart"/>
            <w:tcBorders>
              <w:top w:val="nil"/>
              <w:left w:val="single" w:color="auto" w:sz="4" w:space="0"/>
              <w:right w:val="single" w:color="auto" w:sz="4" w:space="0"/>
            </w:tcBorders>
            <w:noWrap w:val="0"/>
            <w:vAlign w:val="center"/>
          </w:tcPr>
          <w:p w14:paraId="4EF91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BF8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FF93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857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4" w:type="dxa"/>
            <w:tcBorders>
              <w:top w:val="nil"/>
              <w:left w:val="nil"/>
              <w:bottom w:val="single" w:color="auto" w:sz="4" w:space="0"/>
              <w:right w:val="single" w:color="auto" w:sz="4" w:space="0"/>
            </w:tcBorders>
            <w:noWrap w:val="0"/>
            <w:vAlign w:val="center"/>
          </w:tcPr>
          <w:p w14:paraId="66A69A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95" w:type="dxa"/>
            <w:tcBorders>
              <w:top w:val="nil"/>
              <w:left w:val="nil"/>
              <w:bottom w:val="single" w:color="auto" w:sz="4" w:space="0"/>
              <w:right w:val="single" w:color="auto" w:sz="4" w:space="0"/>
            </w:tcBorders>
            <w:noWrap w:val="0"/>
            <w:vAlign w:val="center"/>
          </w:tcPr>
          <w:p w14:paraId="6EBB1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87" w:type="dxa"/>
            <w:tcBorders>
              <w:top w:val="nil"/>
              <w:left w:val="nil"/>
              <w:bottom w:val="single" w:color="auto" w:sz="4" w:space="0"/>
              <w:right w:val="single" w:color="auto" w:sz="4" w:space="0"/>
            </w:tcBorders>
            <w:noWrap w:val="0"/>
            <w:vAlign w:val="center"/>
          </w:tcPr>
          <w:p w14:paraId="345BC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7" w:type="dxa"/>
            <w:tcBorders>
              <w:top w:val="nil"/>
              <w:left w:val="nil"/>
              <w:bottom w:val="single" w:color="auto" w:sz="4" w:space="0"/>
              <w:right w:val="single" w:color="auto" w:sz="4" w:space="0"/>
            </w:tcBorders>
            <w:noWrap w:val="0"/>
            <w:vAlign w:val="center"/>
          </w:tcPr>
          <w:p w14:paraId="21227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E1966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1" w:type="dxa"/>
            <w:tcBorders>
              <w:top w:val="nil"/>
              <w:left w:val="nil"/>
              <w:bottom w:val="single" w:color="auto" w:sz="4" w:space="0"/>
              <w:right w:val="single" w:color="auto" w:sz="4" w:space="0"/>
            </w:tcBorders>
            <w:noWrap w:val="0"/>
            <w:vAlign w:val="center"/>
          </w:tcPr>
          <w:p w14:paraId="001FC2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5F27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5" w:type="dxa"/>
            <w:tcBorders>
              <w:top w:val="nil"/>
              <w:left w:val="nil"/>
              <w:bottom w:val="single" w:color="auto" w:sz="4" w:space="0"/>
              <w:right w:val="single" w:color="auto" w:sz="4" w:space="0"/>
            </w:tcBorders>
            <w:noWrap w:val="0"/>
            <w:vAlign w:val="center"/>
          </w:tcPr>
          <w:p w14:paraId="2F68D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78FB0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05" w:type="dxa"/>
            <w:tcBorders>
              <w:top w:val="nil"/>
              <w:left w:val="nil"/>
              <w:bottom w:val="single" w:color="auto" w:sz="4" w:space="0"/>
              <w:right w:val="single" w:color="auto" w:sz="4" w:space="0"/>
            </w:tcBorders>
            <w:noWrap w:val="0"/>
            <w:vAlign w:val="center"/>
          </w:tcPr>
          <w:p w14:paraId="0A3DEE5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68176D2">
        <w:tblPrEx>
          <w:tblCellMar>
            <w:top w:w="0" w:type="dxa"/>
            <w:left w:w="108" w:type="dxa"/>
            <w:bottom w:w="0" w:type="dxa"/>
            <w:right w:w="108" w:type="dxa"/>
          </w:tblCellMar>
        </w:tblPrEx>
        <w:trPr>
          <w:trHeight w:val="90" w:hRule="atLeast"/>
          <w:jc w:val="center"/>
        </w:trPr>
        <w:tc>
          <w:tcPr>
            <w:tcW w:w="1049" w:type="dxa"/>
            <w:vMerge w:val="continue"/>
            <w:tcBorders>
              <w:left w:val="single" w:color="auto" w:sz="4" w:space="0"/>
              <w:right w:val="single" w:color="auto" w:sz="4" w:space="0"/>
            </w:tcBorders>
            <w:noWrap w:val="0"/>
            <w:vAlign w:val="center"/>
          </w:tcPr>
          <w:p w14:paraId="7025F2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568D2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011C4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50CC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9B0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数量指标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517C4C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非税收入</w:t>
            </w:r>
            <w:r>
              <w:rPr>
                <w:rFonts w:hint="eastAsia" w:ascii="仿宋_GB2312" w:hAnsi="仿宋_GB2312" w:eastAsia="仿宋_GB2312" w:cs="仿宋_GB2312"/>
                <w:color w:val="000000"/>
                <w:sz w:val="20"/>
                <w:szCs w:val="20"/>
                <w:highlight w:val="none"/>
                <w:u w:val="none"/>
                <w:lang w:eastAsia="zh-CN"/>
              </w:rPr>
              <w:t>—</w:t>
            </w:r>
            <w:r>
              <w:rPr>
                <w:rFonts w:hint="eastAsia" w:ascii="仿宋_GB2312" w:hAnsi="仿宋_GB2312" w:eastAsia="仿宋_GB2312" w:cs="仿宋_GB2312"/>
                <w:color w:val="000000"/>
                <w:sz w:val="20"/>
                <w:szCs w:val="20"/>
                <w:highlight w:val="none"/>
                <w:u w:val="none"/>
              </w:rPr>
              <w:t>公租房租金收入</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AEDF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129.6</w:t>
            </w:r>
            <w:r>
              <w:rPr>
                <w:rFonts w:hint="eastAsia" w:ascii="仿宋_GB2312" w:hAnsi="仿宋_GB2312" w:eastAsia="仿宋_GB2312" w:cs="仿宋_GB2312"/>
                <w:color w:val="000000"/>
                <w:sz w:val="20"/>
                <w:szCs w:val="20"/>
                <w:highlight w:val="none"/>
              </w:rPr>
              <w:t>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717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3836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CFBD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A7C8E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超额</w:t>
            </w: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完成</w:t>
            </w:r>
          </w:p>
        </w:tc>
      </w:tr>
      <w:tr w14:paraId="10E9A4C4">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0B79BB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F1E2A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right w:val="single" w:color="auto" w:sz="4" w:space="0"/>
            </w:tcBorders>
            <w:noWrap w:val="0"/>
            <w:vAlign w:val="center"/>
          </w:tcPr>
          <w:p w14:paraId="66832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6C6AA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公租房管理与维护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610B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F622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C05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BB99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E2C6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7D28446">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038133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F83F5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left w:val="single" w:color="auto" w:sz="4" w:space="0"/>
              <w:right w:val="single" w:color="auto" w:sz="4" w:space="0"/>
            </w:tcBorders>
            <w:noWrap w:val="0"/>
            <w:vAlign w:val="center"/>
          </w:tcPr>
          <w:p w14:paraId="35F328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D8283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保障低收入房屋居住安全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66D06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17A7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2F0A6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6577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0DED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0DBA2C36">
        <w:tblPrEx>
          <w:tblCellMar>
            <w:top w:w="0" w:type="dxa"/>
            <w:left w:w="108" w:type="dxa"/>
            <w:bottom w:w="0" w:type="dxa"/>
            <w:right w:w="108" w:type="dxa"/>
          </w:tblCellMar>
        </w:tblPrEx>
        <w:trPr>
          <w:trHeight w:val="426" w:hRule="atLeast"/>
          <w:jc w:val="center"/>
        </w:trPr>
        <w:tc>
          <w:tcPr>
            <w:tcW w:w="1049" w:type="dxa"/>
            <w:vMerge w:val="continue"/>
            <w:tcBorders>
              <w:left w:val="single" w:color="auto" w:sz="4" w:space="0"/>
              <w:right w:val="single" w:color="auto" w:sz="4" w:space="0"/>
            </w:tcBorders>
            <w:noWrap w:val="0"/>
            <w:vAlign w:val="center"/>
          </w:tcPr>
          <w:p w14:paraId="274997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619E15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left w:val="single" w:color="auto" w:sz="4" w:space="0"/>
              <w:bottom w:val="single" w:color="auto" w:sz="4" w:space="0"/>
              <w:right w:val="single" w:color="auto" w:sz="4" w:space="0"/>
            </w:tcBorders>
            <w:noWrap w:val="0"/>
            <w:vAlign w:val="center"/>
          </w:tcPr>
          <w:p w14:paraId="7CFBCD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C0715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人才公寓管理与维护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9F5F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63F8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54B92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4400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2D8BD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4A713F3">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727E23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324417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14:paraId="529CC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813A40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房屋维修维护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D6721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8C497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3723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2AF89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DC5CB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6EAE80C1">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10F123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22AA1A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14:paraId="21BB95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59423F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物业管理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188B96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79B0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C8CCB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9ED1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63BE1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42C7756">
        <w:tblPrEx>
          <w:tblCellMar>
            <w:top w:w="0" w:type="dxa"/>
            <w:left w:w="108" w:type="dxa"/>
            <w:bottom w:w="0" w:type="dxa"/>
            <w:right w:w="108" w:type="dxa"/>
          </w:tblCellMar>
        </w:tblPrEx>
        <w:trPr>
          <w:trHeight w:val="722" w:hRule="atLeast"/>
          <w:jc w:val="center"/>
        </w:trPr>
        <w:tc>
          <w:tcPr>
            <w:tcW w:w="1049" w:type="dxa"/>
            <w:vMerge w:val="continue"/>
            <w:tcBorders>
              <w:left w:val="single" w:color="auto" w:sz="4" w:space="0"/>
              <w:right w:val="single" w:color="auto" w:sz="4" w:space="0"/>
            </w:tcBorders>
            <w:noWrap w:val="0"/>
            <w:vAlign w:val="center"/>
          </w:tcPr>
          <w:p w14:paraId="35B123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331DF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3478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1AAE3A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严格按预算控制各项维修维护支出</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43E6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万元以内</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449D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EA7D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A6C4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7172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753AA8D3">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4DDE8C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72D24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17845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23C26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6F22B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BFB4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981B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660C8A2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完成非税收入征收，保证低收入家庭居住安全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22BD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129.6</w:t>
            </w:r>
            <w:r>
              <w:rPr>
                <w:rFonts w:hint="eastAsia" w:ascii="仿宋_GB2312" w:hAnsi="仿宋_GB2312" w:eastAsia="仿宋_GB2312" w:cs="仿宋_GB2312"/>
                <w:color w:val="000000"/>
                <w:sz w:val="20"/>
                <w:szCs w:val="20"/>
                <w:highlight w:val="none"/>
              </w:rPr>
              <w:t>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0F65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94CE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5BA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335D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超额完成</w:t>
            </w:r>
          </w:p>
        </w:tc>
      </w:tr>
      <w:tr w14:paraId="6D6A105C">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64E9FE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7BF5F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51FA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28051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EDD9DE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保障低收入家庭住</w:t>
            </w:r>
            <w:r>
              <w:rPr>
                <w:rFonts w:hint="eastAsia" w:ascii="仿宋_GB2312" w:hAnsi="仿宋_GB2312" w:eastAsia="仿宋_GB2312" w:cs="仿宋_GB2312"/>
                <w:color w:val="000000"/>
                <w:sz w:val="20"/>
                <w:szCs w:val="20"/>
                <w:highlight w:val="none"/>
                <w:lang w:val="en-US" w:eastAsia="zh-CN"/>
              </w:rPr>
              <w:t>有所居</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C6E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2803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A27E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C941E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E9CD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4B9B4F3E">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29E535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332FDA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9287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91383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2E1D39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改善老旧城区面貌</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7045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AB3A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5AF0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F4D9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CDF39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小区环境有待改善</w:t>
            </w:r>
          </w:p>
        </w:tc>
      </w:tr>
      <w:tr w14:paraId="0FB2AEF5">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30AE7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16354E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9FAF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AC0E8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真正实现低收入家庭两不愁、三保障中的不愁住</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F66B4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8766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998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DADF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3FC8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62CE0DF">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0E08FB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14:paraId="3B7651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869E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9F2EA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84BF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19ECC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租赁户满意率</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CE27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8BE1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B433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F4CD2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185DA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5FB346B1">
        <w:tblPrEx>
          <w:tblCellMar>
            <w:top w:w="0" w:type="dxa"/>
            <w:left w:w="108" w:type="dxa"/>
            <w:bottom w:w="0" w:type="dxa"/>
            <w:right w:w="108" w:type="dxa"/>
          </w:tblCellMar>
        </w:tblPrEx>
        <w:trPr>
          <w:jc w:val="center"/>
        </w:trPr>
        <w:tc>
          <w:tcPr>
            <w:tcW w:w="7383" w:type="dxa"/>
            <w:gridSpan w:val="6"/>
            <w:tcBorders>
              <w:top w:val="single" w:color="auto" w:sz="4" w:space="0"/>
              <w:left w:val="single" w:color="auto" w:sz="4" w:space="0"/>
              <w:bottom w:val="single" w:color="auto" w:sz="4" w:space="0"/>
              <w:right w:val="single" w:color="000000" w:sz="4" w:space="0"/>
            </w:tcBorders>
            <w:noWrap w:val="0"/>
            <w:vAlign w:val="center"/>
          </w:tcPr>
          <w:p w14:paraId="67B8B6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5" w:type="dxa"/>
            <w:tcBorders>
              <w:top w:val="nil"/>
              <w:left w:val="nil"/>
              <w:bottom w:val="single" w:color="auto" w:sz="4" w:space="0"/>
              <w:right w:val="single" w:color="auto" w:sz="4" w:space="0"/>
            </w:tcBorders>
            <w:noWrap w:val="0"/>
            <w:vAlign w:val="center"/>
          </w:tcPr>
          <w:p w14:paraId="12987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tcBorders>
              <w:top w:val="nil"/>
              <w:left w:val="nil"/>
              <w:bottom w:val="single" w:color="auto" w:sz="4" w:space="0"/>
              <w:right w:val="single" w:color="auto" w:sz="4" w:space="0"/>
            </w:tcBorders>
            <w:noWrap w:val="0"/>
            <w:vAlign w:val="center"/>
          </w:tcPr>
          <w:p w14:paraId="6FB8E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305" w:type="dxa"/>
            <w:tcBorders>
              <w:top w:val="nil"/>
              <w:left w:val="nil"/>
              <w:bottom w:val="single" w:color="auto" w:sz="4" w:space="0"/>
              <w:right w:val="single" w:color="auto" w:sz="4" w:space="0"/>
            </w:tcBorders>
            <w:noWrap w:val="0"/>
            <w:vAlign w:val="center"/>
          </w:tcPr>
          <w:p w14:paraId="289B6E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3D111EF">
      <w:pPr>
        <w:widowControl/>
        <w:spacing w:line="240" w:lineRule="auto"/>
        <w:jc w:val="left"/>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李青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2025.4.2 </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13873083020   </w:t>
      </w:r>
      <w:r>
        <w:rPr>
          <w:rFonts w:hint="default" w:ascii="Times New Roman" w:hAnsi="Times New Roman" w:eastAsia="仿宋_GB2312" w:cs="Times New Roman"/>
          <w:sz w:val="22"/>
          <w:szCs w:val="22"/>
          <w:highlight w:val="none"/>
        </w:rPr>
        <w:t xml:space="preserve"> 单位负责</w:t>
      </w:r>
      <w:r>
        <w:rPr>
          <w:rFonts w:hint="eastAsia" w:ascii="Times New Roman" w:hAnsi="Times New Roman" w:eastAsia="仿宋_GB2312" w:cs="Times New Roman"/>
          <w:sz w:val="22"/>
          <w:szCs w:val="22"/>
          <w:highlight w:val="none"/>
          <w:lang w:val="en-US" w:eastAsia="zh-CN"/>
        </w:rPr>
        <w:t>人签字：</w:t>
      </w:r>
    </w:p>
    <w:p w14:paraId="44FF1E03">
      <w:pPr>
        <w:pStyle w:val="2"/>
        <w:rPr>
          <w:rFonts w:hint="eastAsia" w:ascii="Times New Roman" w:hAnsi="Times New Roman" w:eastAsia="仿宋_GB2312" w:cs="Times New Roman"/>
          <w:sz w:val="22"/>
          <w:szCs w:val="22"/>
          <w:highlight w:val="none"/>
          <w:lang w:val="en-US" w:eastAsia="zh-CN"/>
        </w:rPr>
      </w:pPr>
    </w:p>
    <w:p w14:paraId="6E9BEFFB">
      <w:pPr>
        <w:pStyle w:val="2"/>
        <w:rPr>
          <w:rFonts w:hint="eastAsia" w:ascii="Times New Roman" w:hAnsi="Times New Roman" w:eastAsia="仿宋_GB2312" w:cs="Times New Roman"/>
          <w:sz w:val="22"/>
          <w:szCs w:val="22"/>
          <w:highlight w:val="none"/>
          <w:lang w:val="en-US" w:eastAsia="zh-CN"/>
        </w:rPr>
      </w:pPr>
    </w:p>
    <w:p w14:paraId="6BDD50DB">
      <w:pPr>
        <w:pStyle w:val="2"/>
        <w:rPr>
          <w:rFonts w:hint="eastAsia" w:ascii="Times New Roman" w:hAnsi="Times New Roman" w:eastAsia="仿宋_GB2312" w:cs="Times New Roman"/>
          <w:sz w:val="22"/>
          <w:szCs w:val="22"/>
          <w:highlight w:val="none"/>
          <w:lang w:val="en-US" w:eastAsia="zh-CN"/>
        </w:rPr>
      </w:pPr>
    </w:p>
    <w:p w14:paraId="6F6E8CD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14:paraId="1897270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963" w:type="dxa"/>
        <w:jc w:val="center"/>
        <w:tblLayout w:type="fixed"/>
        <w:tblCellMar>
          <w:top w:w="0" w:type="dxa"/>
          <w:left w:w="108" w:type="dxa"/>
          <w:bottom w:w="0" w:type="dxa"/>
          <w:right w:w="108" w:type="dxa"/>
        </w:tblCellMar>
      </w:tblPr>
      <w:tblGrid>
        <w:gridCol w:w="1049"/>
        <w:gridCol w:w="1024"/>
        <w:gridCol w:w="1395"/>
        <w:gridCol w:w="1987"/>
        <w:gridCol w:w="907"/>
        <w:gridCol w:w="1021"/>
        <w:gridCol w:w="615"/>
        <w:gridCol w:w="660"/>
        <w:gridCol w:w="1305"/>
      </w:tblGrid>
      <w:tr w14:paraId="632DE472">
        <w:tblPrEx>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1E13B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044F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14" w:type="dxa"/>
            <w:gridSpan w:val="8"/>
            <w:tcBorders>
              <w:top w:val="single" w:color="auto" w:sz="4" w:space="0"/>
              <w:left w:val="nil"/>
              <w:bottom w:val="single" w:color="auto" w:sz="4" w:space="0"/>
              <w:right w:val="single" w:color="auto" w:sz="4" w:space="0"/>
            </w:tcBorders>
            <w:noWrap w:val="0"/>
            <w:vAlign w:val="center"/>
          </w:tcPr>
          <w:p w14:paraId="648E1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2024年住房保障工作经费</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w:t>
            </w:r>
          </w:p>
        </w:tc>
      </w:tr>
      <w:tr w14:paraId="6D6A0CBF">
        <w:tblPrEx>
          <w:tblCellMar>
            <w:top w:w="0" w:type="dxa"/>
            <w:left w:w="108" w:type="dxa"/>
            <w:bottom w:w="0" w:type="dxa"/>
            <w:right w:w="108" w:type="dxa"/>
          </w:tblCellMar>
        </w:tblPrEx>
        <w:trPr>
          <w:jc w:val="center"/>
        </w:trPr>
        <w:tc>
          <w:tcPr>
            <w:tcW w:w="1049" w:type="dxa"/>
            <w:tcBorders>
              <w:top w:val="nil"/>
              <w:left w:val="single" w:color="auto" w:sz="4" w:space="0"/>
              <w:bottom w:val="single" w:color="auto" w:sz="4" w:space="0"/>
              <w:right w:val="single" w:color="auto" w:sz="4" w:space="0"/>
            </w:tcBorders>
            <w:noWrap w:val="0"/>
            <w:vAlign w:val="center"/>
          </w:tcPr>
          <w:p w14:paraId="6FDE6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13" w:type="dxa"/>
            <w:gridSpan w:val="4"/>
            <w:tcBorders>
              <w:top w:val="single" w:color="auto" w:sz="4" w:space="0"/>
              <w:left w:val="nil"/>
              <w:bottom w:val="single" w:color="auto" w:sz="4" w:space="0"/>
              <w:right w:val="single" w:color="auto" w:sz="4" w:space="0"/>
            </w:tcBorders>
            <w:noWrap w:val="0"/>
            <w:vAlign w:val="center"/>
          </w:tcPr>
          <w:p w14:paraId="1C363A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21" w:type="dxa"/>
            <w:tcBorders>
              <w:top w:val="single" w:color="auto" w:sz="4" w:space="0"/>
              <w:left w:val="nil"/>
              <w:bottom w:val="single" w:color="auto" w:sz="4" w:space="0"/>
              <w:right w:val="single" w:color="000000" w:sz="4" w:space="0"/>
            </w:tcBorders>
            <w:noWrap w:val="0"/>
            <w:vAlign w:val="center"/>
          </w:tcPr>
          <w:p w14:paraId="1F38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580" w:type="dxa"/>
            <w:gridSpan w:val="3"/>
            <w:tcBorders>
              <w:top w:val="single" w:color="auto" w:sz="4" w:space="0"/>
              <w:left w:val="nil"/>
              <w:bottom w:val="single" w:color="auto" w:sz="4" w:space="0"/>
              <w:right w:val="single" w:color="auto" w:sz="4" w:space="0"/>
            </w:tcBorders>
            <w:noWrap w:val="0"/>
            <w:vAlign w:val="center"/>
          </w:tcPr>
          <w:p w14:paraId="4C74F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岳阳市住房保障服务中心</w:t>
            </w:r>
          </w:p>
        </w:tc>
      </w:tr>
      <w:tr w14:paraId="52A37F3D">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4A6A53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E1A8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419" w:type="dxa"/>
            <w:gridSpan w:val="2"/>
            <w:tcBorders>
              <w:top w:val="nil"/>
              <w:left w:val="nil"/>
              <w:bottom w:val="single" w:color="auto" w:sz="4" w:space="0"/>
              <w:right w:val="single" w:color="auto" w:sz="4" w:space="0"/>
            </w:tcBorders>
            <w:noWrap w:val="0"/>
            <w:vAlign w:val="center"/>
          </w:tcPr>
          <w:p w14:paraId="3DA696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87" w:type="dxa"/>
            <w:tcBorders>
              <w:top w:val="nil"/>
              <w:left w:val="nil"/>
              <w:bottom w:val="single" w:color="auto" w:sz="4" w:space="0"/>
              <w:right w:val="single" w:color="auto" w:sz="4" w:space="0"/>
            </w:tcBorders>
            <w:noWrap w:val="0"/>
            <w:vAlign w:val="center"/>
          </w:tcPr>
          <w:p w14:paraId="6208E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7D6C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7" w:type="dxa"/>
            <w:tcBorders>
              <w:top w:val="nil"/>
              <w:left w:val="nil"/>
              <w:bottom w:val="single" w:color="auto" w:sz="4" w:space="0"/>
              <w:right w:val="single" w:color="auto" w:sz="4" w:space="0"/>
            </w:tcBorders>
            <w:noWrap w:val="0"/>
            <w:vAlign w:val="center"/>
          </w:tcPr>
          <w:p w14:paraId="7DBFE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67D5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1" w:type="dxa"/>
            <w:tcBorders>
              <w:top w:val="nil"/>
              <w:left w:val="nil"/>
              <w:bottom w:val="single" w:color="auto" w:sz="4" w:space="0"/>
              <w:right w:val="single" w:color="auto" w:sz="4" w:space="0"/>
            </w:tcBorders>
            <w:noWrap w:val="0"/>
            <w:vAlign w:val="center"/>
          </w:tcPr>
          <w:p w14:paraId="1BAA6A8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F4C27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5" w:type="dxa"/>
            <w:tcBorders>
              <w:top w:val="nil"/>
              <w:left w:val="nil"/>
              <w:bottom w:val="single" w:color="auto" w:sz="4" w:space="0"/>
              <w:right w:val="single" w:color="auto" w:sz="4" w:space="0"/>
            </w:tcBorders>
            <w:noWrap w:val="0"/>
            <w:vAlign w:val="center"/>
          </w:tcPr>
          <w:p w14:paraId="40D0D7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4632A2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05" w:type="dxa"/>
            <w:tcBorders>
              <w:top w:val="nil"/>
              <w:left w:val="nil"/>
              <w:bottom w:val="single" w:color="auto" w:sz="4" w:space="0"/>
              <w:right w:val="single" w:color="auto" w:sz="4" w:space="0"/>
            </w:tcBorders>
            <w:noWrap w:val="0"/>
            <w:vAlign w:val="center"/>
          </w:tcPr>
          <w:p w14:paraId="7546C2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E4B2D9">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25E38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12C665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87" w:type="dxa"/>
            <w:tcBorders>
              <w:top w:val="nil"/>
              <w:left w:val="nil"/>
              <w:bottom w:val="single" w:color="auto" w:sz="4" w:space="0"/>
              <w:right w:val="single" w:color="auto" w:sz="4" w:space="0"/>
            </w:tcBorders>
            <w:noWrap w:val="0"/>
            <w:vAlign w:val="center"/>
          </w:tcPr>
          <w:p w14:paraId="72CCA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907" w:type="dxa"/>
            <w:tcBorders>
              <w:top w:val="nil"/>
              <w:left w:val="nil"/>
              <w:bottom w:val="single" w:color="auto" w:sz="4" w:space="0"/>
              <w:right w:val="single" w:color="auto" w:sz="4" w:space="0"/>
            </w:tcBorders>
            <w:noWrap w:val="0"/>
            <w:vAlign w:val="center"/>
          </w:tcPr>
          <w:p w14:paraId="6FCB8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021" w:type="dxa"/>
            <w:tcBorders>
              <w:top w:val="nil"/>
              <w:left w:val="nil"/>
              <w:bottom w:val="single" w:color="auto" w:sz="4" w:space="0"/>
              <w:right w:val="single" w:color="auto" w:sz="4" w:space="0"/>
            </w:tcBorders>
            <w:noWrap w:val="0"/>
            <w:vAlign w:val="center"/>
          </w:tcPr>
          <w:p w14:paraId="304FB5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615" w:type="dxa"/>
            <w:tcBorders>
              <w:top w:val="nil"/>
              <w:left w:val="nil"/>
              <w:bottom w:val="single" w:color="auto" w:sz="4" w:space="0"/>
              <w:right w:val="single" w:color="auto" w:sz="4" w:space="0"/>
            </w:tcBorders>
            <w:noWrap w:val="0"/>
            <w:vAlign w:val="center"/>
          </w:tcPr>
          <w:p w14:paraId="2F449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0" w:type="dxa"/>
            <w:tcBorders>
              <w:top w:val="nil"/>
              <w:left w:val="nil"/>
              <w:bottom w:val="single" w:color="auto" w:sz="4" w:space="0"/>
              <w:right w:val="single" w:color="auto" w:sz="4" w:space="0"/>
            </w:tcBorders>
            <w:noWrap w:val="0"/>
            <w:vAlign w:val="center"/>
          </w:tcPr>
          <w:p w14:paraId="19A40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62599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C69481A">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485CCA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201136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87" w:type="dxa"/>
            <w:tcBorders>
              <w:top w:val="nil"/>
              <w:left w:val="nil"/>
              <w:bottom w:val="single" w:color="auto" w:sz="4" w:space="0"/>
              <w:right w:val="single" w:color="auto" w:sz="4" w:space="0"/>
            </w:tcBorders>
            <w:noWrap w:val="0"/>
            <w:vAlign w:val="center"/>
          </w:tcPr>
          <w:p w14:paraId="4F51E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907" w:type="dxa"/>
            <w:tcBorders>
              <w:top w:val="nil"/>
              <w:left w:val="nil"/>
              <w:bottom w:val="single" w:color="auto" w:sz="4" w:space="0"/>
              <w:right w:val="single" w:color="auto" w:sz="4" w:space="0"/>
            </w:tcBorders>
            <w:noWrap w:val="0"/>
            <w:vAlign w:val="center"/>
          </w:tcPr>
          <w:p w14:paraId="134D5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021" w:type="dxa"/>
            <w:tcBorders>
              <w:top w:val="nil"/>
              <w:left w:val="nil"/>
              <w:bottom w:val="single" w:color="auto" w:sz="4" w:space="0"/>
              <w:right w:val="single" w:color="auto" w:sz="4" w:space="0"/>
            </w:tcBorders>
            <w:noWrap w:val="0"/>
            <w:vAlign w:val="center"/>
          </w:tcPr>
          <w:p w14:paraId="517D6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615" w:type="dxa"/>
            <w:tcBorders>
              <w:top w:val="nil"/>
              <w:left w:val="nil"/>
              <w:bottom w:val="single" w:color="auto" w:sz="4" w:space="0"/>
              <w:right w:val="single" w:color="auto" w:sz="4" w:space="0"/>
            </w:tcBorders>
            <w:noWrap w:val="0"/>
            <w:vAlign w:val="center"/>
          </w:tcPr>
          <w:p w14:paraId="47C6B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nil"/>
              <w:left w:val="nil"/>
              <w:bottom w:val="single" w:color="auto" w:sz="4" w:space="0"/>
              <w:right w:val="single" w:color="auto" w:sz="4" w:space="0"/>
            </w:tcBorders>
            <w:noWrap w:val="0"/>
            <w:vAlign w:val="center"/>
          </w:tcPr>
          <w:p w14:paraId="171BE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44803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664716A">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0C1844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0B2460F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87" w:type="dxa"/>
            <w:tcBorders>
              <w:top w:val="nil"/>
              <w:left w:val="nil"/>
              <w:bottom w:val="single" w:color="auto" w:sz="4" w:space="0"/>
              <w:right w:val="single" w:color="auto" w:sz="4" w:space="0"/>
            </w:tcBorders>
            <w:noWrap w:val="0"/>
            <w:vAlign w:val="center"/>
          </w:tcPr>
          <w:p w14:paraId="4D06B3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050881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6EA9F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488EA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0607B6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724A20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89E7C1">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46ED9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14:paraId="7D89B02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87" w:type="dxa"/>
            <w:tcBorders>
              <w:top w:val="nil"/>
              <w:left w:val="nil"/>
              <w:bottom w:val="single" w:color="auto" w:sz="4" w:space="0"/>
              <w:right w:val="single" w:color="auto" w:sz="4" w:space="0"/>
            </w:tcBorders>
            <w:noWrap w:val="0"/>
            <w:vAlign w:val="center"/>
          </w:tcPr>
          <w:p w14:paraId="7B6470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14:paraId="4334D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14:paraId="0A0F75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14:paraId="00F1CA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14:paraId="780E7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14:paraId="7C7B8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7EF04B">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14:paraId="0A21E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13" w:type="dxa"/>
            <w:gridSpan w:val="4"/>
            <w:tcBorders>
              <w:top w:val="single" w:color="auto" w:sz="4" w:space="0"/>
              <w:left w:val="nil"/>
              <w:bottom w:val="single" w:color="auto" w:sz="4" w:space="0"/>
              <w:right w:val="single" w:color="000000" w:sz="4" w:space="0"/>
            </w:tcBorders>
            <w:noWrap w:val="0"/>
            <w:vAlign w:val="center"/>
          </w:tcPr>
          <w:p w14:paraId="1B9D9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1" w:type="dxa"/>
            <w:gridSpan w:val="4"/>
            <w:tcBorders>
              <w:top w:val="single" w:color="auto" w:sz="4" w:space="0"/>
              <w:left w:val="nil"/>
              <w:bottom w:val="single" w:color="auto" w:sz="4" w:space="0"/>
              <w:right w:val="single" w:color="auto" w:sz="4" w:space="0"/>
            </w:tcBorders>
            <w:noWrap w:val="0"/>
            <w:vAlign w:val="center"/>
          </w:tcPr>
          <w:p w14:paraId="3B3D2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0F0BA85">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14:paraId="1FBA43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313" w:type="dxa"/>
            <w:gridSpan w:val="4"/>
            <w:tcBorders>
              <w:top w:val="single" w:color="auto" w:sz="4" w:space="0"/>
              <w:left w:val="nil"/>
              <w:bottom w:val="single" w:color="auto" w:sz="4" w:space="0"/>
              <w:right w:val="single" w:color="000000" w:sz="4" w:space="0"/>
            </w:tcBorders>
            <w:noWrap w:val="0"/>
            <w:vAlign w:val="center"/>
          </w:tcPr>
          <w:p w14:paraId="3D00B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1、完成中心食堂装修</w:t>
            </w:r>
          </w:p>
          <w:p w14:paraId="40F9A4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2、完成中心信息系统维护</w:t>
            </w:r>
          </w:p>
          <w:p w14:paraId="3C4D71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3、保障中心良好的物业管理。　</w:t>
            </w:r>
          </w:p>
        </w:tc>
        <w:tc>
          <w:tcPr>
            <w:tcW w:w="3601" w:type="dxa"/>
            <w:gridSpan w:val="4"/>
            <w:tcBorders>
              <w:top w:val="single" w:color="auto" w:sz="4" w:space="0"/>
              <w:left w:val="nil"/>
              <w:bottom w:val="single" w:color="auto" w:sz="4" w:space="0"/>
              <w:right w:val="single" w:color="auto" w:sz="4" w:space="0"/>
            </w:tcBorders>
            <w:noWrap w:val="0"/>
            <w:vAlign w:val="center"/>
          </w:tcPr>
          <w:p w14:paraId="7D3D7F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年度总体目标全部完成</w:t>
            </w:r>
          </w:p>
        </w:tc>
      </w:tr>
      <w:tr w14:paraId="73DCA9B5">
        <w:tblPrEx>
          <w:tblCellMar>
            <w:top w:w="0" w:type="dxa"/>
            <w:left w:w="108" w:type="dxa"/>
            <w:bottom w:w="0" w:type="dxa"/>
            <w:right w:w="108" w:type="dxa"/>
          </w:tblCellMar>
        </w:tblPrEx>
        <w:trPr>
          <w:jc w:val="center"/>
        </w:trPr>
        <w:tc>
          <w:tcPr>
            <w:tcW w:w="1049" w:type="dxa"/>
            <w:vMerge w:val="restart"/>
            <w:tcBorders>
              <w:top w:val="nil"/>
              <w:left w:val="single" w:color="auto" w:sz="4" w:space="0"/>
              <w:right w:val="single" w:color="auto" w:sz="4" w:space="0"/>
            </w:tcBorders>
            <w:noWrap w:val="0"/>
            <w:vAlign w:val="center"/>
          </w:tcPr>
          <w:p w14:paraId="36AA5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4DAD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DCDD3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805A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4" w:type="dxa"/>
            <w:tcBorders>
              <w:top w:val="nil"/>
              <w:left w:val="nil"/>
              <w:bottom w:val="single" w:color="auto" w:sz="4" w:space="0"/>
              <w:right w:val="single" w:color="auto" w:sz="4" w:space="0"/>
            </w:tcBorders>
            <w:noWrap w:val="0"/>
            <w:vAlign w:val="center"/>
          </w:tcPr>
          <w:p w14:paraId="4CB95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95" w:type="dxa"/>
            <w:tcBorders>
              <w:top w:val="nil"/>
              <w:left w:val="nil"/>
              <w:bottom w:val="single" w:color="auto" w:sz="4" w:space="0"/>
              <w:right w:val="single" w:color="auto" w:sz="4" w:space="0"/>
            </w:tcBorders>
            <w:noWrap w:val="0"/>
            <w:vAlign w:val="center"/>
          </w:tcPr>
          <w:p w14:paraId="032CB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87" w:type="dxa"/>
            <w:tcBorders>
              <w:top w:val="nil"/>
              <w:left w:val="nil"/>
              <w:bottom w:val="single" w:color="auto" w:sz="4" w:space="0"/>
              <w:right w:val="single" w:color="auto" w:sz="4" w:space="0"/>
            </w:tcBorders>
            <w:noWrap w:val="0"/>
            <w:vAlign w:val="center"/>
          </w:tcPr>
          <w:p w14:paraId="6196B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7" w:type="dxa"/>
            <w:tcBorders>
              <w:top w:val="nil"/>
              <w:left w:val="nil"/>
              <w:bottom w:val="single" w:color="auto" w:sz="4" w:space="0"/>
              <w:right w:val="single" w:color="auto" w:sz="4" w:space="0"/>
            </w:tcBorders>
            <w:noWrap w:val="0"/>
            <w:vAlign w:val="center"/>
          </w:tcPr>
          <w:p w14:paraId="708FC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8D231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1" w:type="dxa"/>
            <w:tcBorders>
              <w:top w:val="nil"/>
              <w:left w:val="nil"/>
              <w:bottom w:val="single" w:color="auto" w:sz="4" w:space="0"/>
              <w:right w:val="single" w:color="auto" w:sz="4" w:space="0"/>
            </w:tcBorders>
            <w:noWrap w:val="0"/>
            <w:vAlign w:val="center"/>
          </w:tcPr>
          <w:p w14:paraId="25BAD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40DB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5" w:type="dxa"/>
            <w:tcBorders>
              <w:top w:val="nil"/>
              <w:left w:val="nil"/>
              <w:bottom w:val="single" w:color="auto" w:sz="4" w:space="0"/>
              <w:right w:val="single" w:color="auto" w:sz="4" w:space="0"/>
            </w:tcBorders>
            <w:noWrap w:val="0"/>
            <w:vAlign w:val="center"/>
          </w:tcPr>
          <w:p w14:paraId="42605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tcBorders>
              <w:top w:val="nil"/>
              <w:left w:val="nil"/>
              <w:bottom w:val="single" w:color="auto" w:sz="4" w:space="0"/>
              <w:right w:val="single" w:color="auto" w:sz="4" w:space="0"/>
            </w:tcBorders>
            <w:noWrap w:val="0"/>
            <w:vAlign w:val="center"/>
          </w:tcPr>
          <w:p w14:paraId="6AF9E8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05" w:type="dxa"/>
            <w:tcBorders>
              <w:top w:val="nil"/>
              <w:left w:val="nil"/>
              <w:bottom w:val="single" w:color="auto" w:sz="4" w:space="0"/>
              <w:right w:val="single" w:color="auto" w:sz="4" w:space="0"/>
            </w:tcBorders>
            <w:noWrap w:val="0"/>
            <w:vAlign w:val="center"/>
          </w:tcPr>
          <w:p w14:paraId="16C97C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5780245">
        <w:tblPrEx>
          <w:tblCellMar>
            <w:top w:w="0" w:type="dxa"/>
            <w:left w:w="108" w:type="dxa"/>
            <w:bottom w:w="0" w:type="dxa"/>
            <w:right w:w="108" w:type="dxa"/>
          </w:tblCellMar>
        </w:tblPrEx>
        <w:trPr>
          <w:trHeight w:val="440" w:hRule="atLeast"/>
          <w:jc w:val="center"/>
        </w:trPr>
        <w:tc>
          <w:tcPr>
            <w:tcW w:w="1049" w:type="dxa"/>
            <w:vMerge w:val="continue"/>
            <w:tcBorders>
              <w:left w:val="single" w:color="auto" w:sz="4" w:space="0"/>
              <w:right w:val="single" w:color="auto" w:sz="4" w:space="0"/>
            </w:tcBorders>
            <w:noWrap w:val="0"/>
            <w:vAlign w:val="center"/>
          </w:tcPr>
          <w:p w14:paraId="0F3F54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179F5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5754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35F6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D9B5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数量指标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0EE843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u w:val="none"/>
                <w:lang w:val="en-US" w:eastAsia="zh-CN"/>
              </w:rPr>
            </w:pPr>
            <w:r>
              <w:rPr>
                <w:rFonts w:hint="eastAsia" w:ascii="仿宋_GB2312" w:hAnsi="仿宋_GB2312" w:eastAsia="仿宋_GB2312" w:cs="仿宋_GB2312"/>
                <w:color w:val="000000"/>
                <w:sz w:val="20"/>
                <w:szCs w:val="20"/>
                <w:highlight w:val="none"/>
                <w:u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50B3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DB0D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D0F6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50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7D0F0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1BDB1FF">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44DBA1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F94CC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right w:val="single" w:color="auto" w:sz="4" w:space="0"/>
            </w:tcBorders>
            <w:noWrap w:val="0"/>
            <w:vAlign w:val="center"/>
          </w:tcPr>
          <w:p w14:paraId="086D0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7BC411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保障中心信息系统正常运转</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6FEA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正常运转</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CBF5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正常运转</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CD909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20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5521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目标完成</w:t>
            </w:r>
          </w:p>
        </w:tc>
      </w:tr>
      <w:tr w14:paraId="6785FDFB">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5F490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0AB28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left w:val="single" w:color="auto" w:sz="4" w:space="0"/>
              <w:right w:val="single" w:color="auto" w:sz="4" w:space="0"/>
            </w:tcBorders>
            <w:noWrap w:val="0"/>
            <w:vAlign w:val="center"/>
          </w:tcPr>
          <w:p w14:paraId="4CF64A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EAA052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中心食堂餐厅装修合格</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D284A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221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4F90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D76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CE76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目标完成</w:t>
            </w:r>
          </w:p>
        </w:tc>
      </w:tr>
      <w:tr w14:paraId="57B96B27">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31CDE7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41512B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9EA4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23568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年内完成</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7E5722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年内完成</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D891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年内已完成</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9707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31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4CC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264318F7">
        <w:tblPrEx>
          <w:tblCellMar>
            <w:top w:w="0" w:type="dxa"/>
            <w:left w:w="108" w:type="dxa"/>
            <w:bottom w:w="0" w:type="dxa"/>
            <w:right w:w="108" w:type="dxa"/>
          </w:tblCellMar>
        </w:tblPrEx>
        <w:trPr>
          <w:trHeight w:val="722" w:hRule="atLeast"/>
          <w:jc w:val="center"/>
        </w:trPr>
        <w:tc>
          <w:tcPr>
            <w:tcW w:w="1049" w:type="dxa"/>
            <w:vMerge w:val="continue"/>
            <w:tcBorders>
              <w:left w:val="single" w:color="auto" w:sz="4" w:space="0"/>
              <w:right w:val="single" w:color="auto" w:sz="4" w:space="0"/>
            </w:tcBorders>
            <w:noWrap w:val="0"/>
            <w:vAlign w:val="center"/>
          </w:tcPr>
          <w:p w14:paraId="3B7806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25CB57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EB2D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943736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不超预算数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F0BE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14</w:t>
            </w:r>
            <w:r>
              <w:rPr>
                <w:rFonts w:hint="eastAsia" w:ascii="仿宋_GB2312" w:hAnsi="仿宋_GB2312" w:eastAsia="仿宋_GB2312" w:cs="仿宋_GB2312"/>
                <w:color w:val="auto"/>
                <w:sz w:val="20"/>
                <w:szCs w:val="20"/>
                <w:highlight w:val="none"/>
              </w:rPr>
              <w:t>万元以内</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3BE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13B22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6F7C3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99F7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w:t>
            </w:r>
          </w:p>
        </w:tc>
      </w:tr>
      <w:tr w14:paraId="156F3A84">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307008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411775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A2E5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F7173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3649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A1BAE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15BF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C32D8B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1870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466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2449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7F7B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C463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1ACC9C0A">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21530E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E3448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216D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822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41BC3F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E54D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F9DD7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4983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827C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6846D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10CD67A">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43B87F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7022F1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8F82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0032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337125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455C2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1642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80E6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2A33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F9A11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21B67161">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1021C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055A1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3253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5215E42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B1FD1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2386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6383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5C36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17D3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5E9CE5C">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14:paraId="66179E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14:paraId="15D56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CEEB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28F83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6722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2CAC79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30633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DB94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B4AD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3426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613BA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E5B3903">
        <w:tblPrEx>
          <w:tblCellMar>
            <w:top w:w="0" w:type="dxa"/>
            <w:left w:w="108" w:type="dxa"/>
            <w:bottom w:w="0" w:type="dxa"/>
            <w:right w:w="108" w:type="dxa"/>
          </w:tblCellMar>
        </w:tblPrEx>
        <w:trPr>
          <w:jc w:val="center"/>
        </w:trPr>
        <w:tc>
          <w:tcPr>
            <w:tcW w:w="7383" w:type="dxa"/>
            <w:gridSpan w:val="6"/>
            <w:tcBorders>
              <w:top w:val="single" w:color="auto" w:sz="4" w:space="0"/>
              <w:left w:val="single" w:color="auto" w:sz="4" w:space="0"/>
              <w:bottom w:val="single" w:color="auto" w:sz="4" w:space="0"/>
              <w:right w:val="single" w:color="000000" w:sz="4" w:space="0"/>
            </w:tcBorders>
            <w:noWrap w:val="0"/>
            <w:vAlign w:val="center"/>
          </w:tcPr>
          <w:p w14:paraId="6336B2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5" w:type="dxa"/>
            <w:tcBorders>
              <w:top w:val="nil"/>
              <w:left w:val="nil"/>
              <w:bottom w:val="single" w:color="auto" w:sz="4" w:space="0"/>
              <w:right w:val="single" w:color="auto" w:sz="4" w:space="0"/>
            </w:tcBorders>
            <w:noWrap w:val="0"/>
            <w:vAlign w:val="center"/>
          </w:tcPr>
          <w:p w14:paraId="73450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tcBorders>
              <w:top w:val="nil"/>
              <w:left w:val="nil"/>
              <w:bottom w:val="single" w:color="auto" w:sz="4" w:space="0"/>
              <w:right w:val="single" w:color="auto" w:sz="4" w:space="0"/>
            </w:tcBorders>
            <w:noWrap w:val="0"/>
            <w:vAlign w:val="center"/>
          </w:tcPr>
          <w:p w14:paraId="79D65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05" w:type="dxa"/>
            <w:tcBorders>
              <w:top w:val="nil"/>
              <w:left w:val="nil"/>
              <w:bottom w:val="single" w:color="auto" w:sz="4" w:space="0"/>
              <w:right w:val="single" w:color="auto" w:sz="4" w:space="0"/>
            </w:tcBorders>
            <w:noWrap w:val="0"/>
            <w:vAlign w:val="center"/>
          </w:tcPr>
          <w:p w14:paraId="001AE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DCE2129">
      <w:pPr>
        <w:widowControl/>
        <w:spacing w:line="240" w:lineRule="auto"/>
        <w:jc w:val="left"/>
        <w:rPr>
          <w:rFonts w:hint="default"/>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李青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2025.4.2 </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13873083020   </w:t>
      </w:r>
      <w:r>
        <w:rPr>
          <w:rFonts w:hint="default" w:ascii="Times New Roman" w:hAnsi="Times New Roman" w:eastAsia="仿宋_GB2312" w:cs="Times New Roman"/>
          <w:sz w:val="22"/>
          <w:szCs w:val="22"/>
          <w:highlight w:val="none"/>
        </w:rPr>
        <w:t xml:space="preserve"> 单位负责</w:t>
      </w:r>
      <w:r>
        <w:rPr>
          <w:rFonts w:hint="eastAsia" w:ascii="Times New Roman" w:hAnsi="Times New Roman" w:eastAsia="仿宋_GB2312" w:cs="Times New Roman"/>
          <w:sz w:val="22"/>
          <w:szCs w:val="22"/>
          <w:highlight w:val="none"/>
          <w:lang w:val="en-US" w:eastAsia="zh-CN"/>
        </w:rPr>
        <w:t>人签字：</w:t>
      </w:r>
    </w:p>
    <w:p w14:paraId="16437A5E">
      <w:pPr>
        <w:pStyle w:val="2"/>
        <w:rPr>
          <w:rFonts w:hint="default" w:ascii="Times New Roman" w:hAnsi="Times New Roman" w:eastAsia="仿宋_GB2312" w:cs="Times New Roman"/>
          <w:sz w:val="22"/>
          <w:szCs w:val="22"/>
          <w:highlight w:val="none"/>
          <w:lang w:val="en-US" w:eastAsia="zh-CN"/>
        </w:rPr>
      </w:pPr>
    </w:p>
    <w:sectPr>
      <w:pgSz w:w="11906" w:h="16838"/>
      <w:pgMar w:top="646" w:right="1800" w:bottom="1043" w:left="1800" w:header="851" w:footer="425" w:gutter="0"/>
      <w:pgNumType w:fmt="decimal" w:start="1"/>
      <w:cols w:space="0" w:num="1"/>
      <w:rtlGutter w:val="0"/>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C6F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38556"/>
    <w:multiLevelType w:val="singleLevel"/>
    <w:tmpl w:val="93038556"/>
    <w:lvl w:ilvl="0" w:tentative="0">
      <w:start w:val="1"/>
      <w:numFmt w:val="decimal"/>
      <w:suff w:val="nothing"/>
      <w:lvlText w:val="%1、"/>
      <w:lvlJc w:val="left"/>
    </w:lvl>
  </w:abstractNum>
  <w:abstractNum w:abstractNumId="1">
    <w:nsid w:val="A3DA452B"/>
    <w:multiLevelType w:val="singleLevel"/>
    <w:tmpl w:val="A3DA452B"/>
    <w:lvl w:ilvl="0" w:tentative="0">
      <w:start w:val="9"/>
      <w:numFmt w:val="chineseCounting"/>
      <w:suff w:val="nothing"/>
      <w:lvlText w:val="%1、"/>
      <w:lvlJc w:val="left"/>
      <w:rPr>
        <w:rFonts w:hint="eastAsia"/>
      </w:rPr>
    </w:lvl>
  </w:abstractNum>
  <w:abstractNum w:abstractNumId="2">
    <w:nsid w:val="B808B791"/>
    <w:multiLevelType w:val="singleLevel"/>
    <w:tmpl w:val="B808B791"/>
    <w:lvl w:ilvl="0" w:tentative="0">
      <w:start w:val="2"/>
      <w:numFmt w:val="decimal"/>
      <w:suff w:val="nothing"/>
      <w:lvlText w:val="%1、"/>
      <w:lvlJc w:val="left"/>
    </w:lvl>
  </w:abstractNum>
  <w:abstractNum w:abstractNumId="3">
    <w:nsid w:val="B9BFB1A8"/>
    <w:multiLevelType w:val="singleLevel"/>
    <w:tmpl w:val="B9BFB1A8"/>
    <w:lvl w:ilvl="0" w:tentative="0">
      <w:start w:val="1"/>
      <w:numFmt w:val="decimal"/>
      <w:suff w:val="nothing"/>
      <w:lvlText w:val="%1、"/>
      <w:lvlJc w:val="left"/>
    </w:lvl>
  </w:abstractNum>
  <w:abstractNum w:abstractNumId="4">
    <w:nsid w:val="E51A0CC6"/>
    <w:multiLevelType w:val="singleLevel"/>
    <w:tmpl w:val="E51A0CC6"/>
    <w:lvl w:ilvl="0" w:tentative="0">
      <w:start w:val="2"/>
      <w:numFmt w:val="chineseCounting"/>
      <w:suff w:val="nothing"/>
      <w:lvlText w:val="（%1）"/>
      <w:lvlJc w:val="left"/>
      <w:rPr>
        <w:rFonts w:hint="eastAsia"/>
      </w:rPr>
    </w:lvl>
  </w:abstractNum>
  <w:abstractNum w:abstractNumId="5">
    <w:nsid w:val="F0A096AA"/>
    <w:multiLevelType w:val="singleLevel"/>
    <w:tmpl w:val="F0A096AA"/>
    <w:lvl w:ilvl="0" w:tentative="0">
      <w:start w:val="1"/>
      <w:numFmt w:val="decimal"/>
      <w:suff w:val="nothing"/>
      <w:lvlText w:val="%1、"/>
      <w:lvlJc w:val="left"/>
    </w:lvl>
  </w:abstractNum>
  <w:abstractNum w:abstractNumId="6">
    <w:nsid w:val="FB26AAD8"/>
    <w:multiLevelType w:val="singleLevel"/>
    <w:tmpl w:val="FB26AAD8"/>
    <w:lvl w:ilvl="0" w:tentative="0">
      <w:start w:val="1"/>
      <w:numFmt w:val="chineseCounting"/>
      <w:suff w:val="nothing"/>
      <w:lvlText w:val="（%1）"/>
      <w:lvlJc w:val="left"/>
      <w:rPr>
        <w:rFonts w:hint="eastAsia"/>
      </w:rPr>
    </w:lvl>
  </w:abstractNum>
  <w:abstractNum w:abstractNumId="7">
    <w:nsid w:val="140B03C3"/>
    <w:multiLevelType w:val="singleLevel"/>
    <w:tmpl w:val="140B03C3"/>
    <w:lvl w:ilvl="0" w:tentative="0">
      <w:start w:val="4"/>
      <w:numFmt w:val="chineseCounting"/>
      <w:suff w:val="nothing"/>
      <w:lvlText w:val="%1、"/>
      <w:lvlJc w:val="left"/>
      <w:rPr>
        <w:rFonts w:hint="eastAsia"/>
      </w:rPr>
    </w:lvl>
  </w:abstractNum>
  <w:abstractNum w:abstractNumId="8">
    <w:nsid w:val="228969EA"/>
    <w:multiLevelType w:val="singleLevel"/>
    <w:tmpl w:val="228969EA"/>
    <w:lvl w:ilvl="0" w:tentative="0">
      <w:start w:val="1"/>
      <w:numFmt w:val="chineseCounting"/>
      <w:suff w:val="nothing"/>
      <w:lvlText w:val="%1、"/>
      <w:lvlJc w:val="left"/>
      <w:rPr>
        <w:rFonts w:hint="eastAsia"/>
      </w:rPr>
    </w:lvl>
  </w:abstractNum>
  <w:abstractNum w:abstractNumId="9">
    <w:nsid w:val="297FB2C3"/>
    <w:multiLevelType w:val="singleLevel"/>
    <w:tmpl w:val="297FB2C3"/>
    <w:lvl w:ilvl="0" w:tentative="0">
      <w:start w:val="1"/>
      <w:numFmt w:val="decimal"/>
      <w:suff w:val="nothing"/>
      <w:lvlText w:val="%1、"/>
      <w:lvlJc w:val="left"/>
    </w:lvl>
  </w:abstractNum>
  <w:abstractNum w:abstractNumId="10">
    <w:nsid w:val="77B69F4E"/>
    <w:multiLevelType w:val="singleLevel"/>
    <w:tmpl w:val="77B69F4E"/>
    <w:lvl w:ilvl="0" w:tentative="0">
      <w:start w:val="1"/>
      <w:numFmt w:val="decimal"/>
      <w:suff w:val="nothing"/>
      <w:lvlText w:val="%1、"/>
      <w:lvlJc w:val="left"/>
      <w:pPr>
        <w:ind w:left="420"/>
      </w:pPr>
    </w:lvl>
  </w:abstractNum>
  <w:num w:numId="1">
    <w:abstractNumId w:val="8"/>
  </w:num>
  <w:num w:numId="2">
    <w:abstractNumId w:val="5"/>
  </w:num>
  <w:num w:numId="3">
    <w:abstractNumId w:val="3"/>
  </w:num>
  <w:num w:numId="4">
    <w:abstractNumId w:val="4"/>
  </w:num>
  <w:num w:numId="5">
    <w:abstractNumId w:val="7"/>
  </w:num>
  <w:num w:numId="6">
    <w:abstractNumId w:val="6"/>
  </w:num>
  <w:num w:numId="7">
    <w:abstractNumId w:val="10"/>
  </w:num>
  <w:num w:numId="8">
    <w:abstractNumId w:val="0"/>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9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TAyN2E3YWRjMmI5NTI5YTMxMTYzNDI2N2QwMzUifQ=="/>
  </w:docVars>
  <w:rsids>
    <w:rsidRoot w:val="59886344"/>
    <w:rsid w:val="01927CF3"/>
    <w:rsid w:val="01BF5575"/>
    <w:rsid w:val="030D34E9"/>
    <w:rsid w:val="03345AEF"/>
    <w:rsid w:val="036D166B"/>
    <w:rsid w:val="03747103"/>
    <w:rsid w:val="038F07DA"/>
    <w:rsid w:val="03C230FA"/>
    <w:rsid w:val="03D64153"/>
    <w:rsid w:val="04F24515"/>
    <w:rsid w:val="0541053E"/>
    <w:rsid w:val="06AF2863"/>
    <w:rsid w:val="07096CC3"/>
    <w:rsid w:val="07A60D5C"/>
    <w:rsid w:val="07BE1792"/>
    <w:rsid w:val="085E53BC"/>
    <w:rsid w:val="08664DAC"/>
    <w:rsid w:val="08C416C3"/>
    <w:rsid w:val="091D0AB4"/>
    <w:rsid w:val="0951428C"/>
    <w:rsid w:val="095C2B24"/>
    <w:rsid w:val="09E65669"/>
    <w:rsid w:val="0AE73B1F"/>
    <w:rsid w:val="0B04224A"/>
    <w:rsid w:val="0B0D3FDC"/>
    <w:rsid w:val="0B3138C6"/>
    <w:rsid w:val="0B4A312A"/>
    <w:rsid w:val="0B7868B7"/>
    <w:rsid w:val="0BC814CA"/>
    <w:rsid w:val="0C593EA3"/>
    <w:rsid w:val="0C823CFE"/>
    <w:rsid w:val="0F6B7FCD"/>
    <w:rsid w:val="0FBD4B74"/>
    <w:rsid w:val="10260EB5"/>
    <w:rsid w:val="103F63AE"/>
    <w:rsid w:val="10473273"/>
    <w:rsid w:val="10BF233B"/>
    <w:rsid w:val="10EF47A3"/>
    <w:rsid w:val="114F540F"/>
    <w:rsid w:val="122512A7"/>
    <w:rsid w:val="12823991"/>
    <w:rsid w:val="12BC340B"/>
    <w:rsid w:val="12FC5EFD"/>
    <w:rsid w:val="13F14EFC"/>
    <w:rsid w:val="14EC61ED"/>
    <w:rsid w:val="16492A93"/>
    <w:rsid w:val="171739A6"/>
    <w:rsid w:val="17B61B3B"/>
    <w:rsid w:val="17CE60BA"/>
    <w:rsid w:val="17D17F51"/>
    <w:rsid w:val="181B7C4D"/>
    <w:rsid w:val="182B1BF3"/>
    <w:rsid w:val="18543B9A"/>
    <w:rsid w:val="19277C60"/>
    <w:rsid w:val="19507774"/>
    <w:rsid w:val="199B6470"/>
    <w:rsid w:val="1AC217DA"/>
    <w:rsid w:val="1AC31E86"/>
    <w:rsid w:val="1AE600F4"/>
    <w:rsid w:val="1B4641B9"/>
    <w:rsid w:val="1B933BF8"/>
    <w:rsid w:val="1BD140AA"/>
    <w:rsid w:val="1C6A0015"/>
    <w:rsid w:val="1CA31D28"/>
    <w:rsid w:val="1CFD28D8"/>
    <w:rsid w:val="1D0E5D1E"/>
    <w:rsid w:val="1D655CE4"/>
    <w:rsid w:val="1E314D51"/>
    <w:rsid w:val="1F120F82"/>
    <w:rsid w:val="1F170346"/>
    <w:rsid w:val="1F5076F3"/>
    <w:rsid w:val="2091414E"/>
    <w:rsid w:val="215A31D7"/>
    <w:rsid w:val="218A7A01"/>
    <w:rsid w:val="219C7A82"/>
    <w:rsid w:val="224156DA"/>
    <w:rsid w:val="229323DA"/>
    <w:rsid w:val="229D5007"/>
    <w:rsid w:val="22AD1472"/>
    <w:rsid w:val="22CB7BFC"/>
    <w:rsid w:val="23163A13"/>
    <w:rsid w:val="2373298F"/>
    <w:rsid w:val="237C5D58"/>
    <w:rsid w:val="23CA3199"/>
    <w:rsid w:val="24A22AF2"/>
    <w:rsid w:val="26155504"/>
    <w:rsid w:val="263900D6"/>
    <w:rsid w:val="26731F2F"/>
    <w:rsid w:val="26B8641B"/>
    <w:rsid w:val="26CC5EBA"/>
    <w:rsid w:val="277051C0"/>
    <w:rsid w:val="27837766"/>
    <w:rsid w:val="27D5683C"/>
    <w:rsid w:val="284C4191"/>
    <w:rsid w:val="286F4817"/>
    <w:rsid w:val="28A433F9"/>
    <w:rsid w:val="29A7146A"/>
    <w:rsid w:val="29B17794"/>
    <w:rsid w:val="2AD6032F"/>
    <w:rsid w:val="2ADC0696"/>
    <w:rsid w:val="2B243FAD"/>
    <w:rsid w:val="2B3247EE"/>
    <w:rsid w:val="2BD46751"/>
    <w:rsid w:val="2C050895"/>
    <w:rsid w:val="2C212804"/>
    <w:rsid w:val="2C355769"/>
    <w:rsid w:val="2C71481F"/>
    <w:rsid w:val="2D051C40"/>
    <w:rsid w:val="2D091E2F"/>
    <w:rsid w:val="2D7E06DF"/>
    <w:rsid w:val="2D8C7408"/>
    <w:rsid w:val="2E6B213C"/>
    <w:rsid w:val="2EC17EC2"/>
    <w:rsid w:val="2ED912E8"/>
    <w:rsid w:val="2EEF6A27"/>
    <w:rsid w:val="30BC79E2"/>
    <w:rsid w:val="30EE4C7F"/>
    <w:rsid w:val="30FF6E8C"/>
    <w:rsid w:val="31172428"/>
    <w:rsid w:val="312131A7"/>
    <w:rsid w:val="312608BD"/>
    <w:rsid w:val="317433D6"/>
    <w:rsid w:val="32207E4F"/>
    <w:rsid w:val="32626969"/>
    <w:rsid w:val="32E91BA2"/>
    <w:rsid w:val="32F64E7E"/>
    <w:rsid w:val="33B42132"/>
    <w:rsid w:val="346D0FE4"/>
    <w:rsid w:val="34A33B07"/>
    <w:rsid w:val="34A6722E"/>
    <w:rsid w:val="35CE14C6"/>
    <w:rsid w:val="35D02BA5"/>
    <w:rsid w:val="3643781B"/>
    <w:rsid w:val="364F5B1B"/>
    <w:rsid w:val="36D43244"/>
    <w:rsid w:val="37074CED"/>
    <w:rsid w:val="375C4D18"/>
    <w:rsid w:val="375F6026"/>
    <w:rsid w:val="37897C7C"/>
    <w:rsid w:val="3809239F"/>
    <w:rsid w:val="384F24A7"/>
    <w:rsid w:val="38C033A5"/>
    <w:rsid w:val="39B90E85"/>
    <w:rsid w:val="39D471E6"/>
    <w:rsid w:val="3A557CAE"/>
    <w:rsid w:val="3A86417A"/>
    <w:rsid w:val="3A874BD8"/>
    <w:rsid w:val="3A992F8C"/>
    <w:rsid w:val="3A9D6DFE"/>
    <w:rsid w:val="3AD63FC5"/>
    <w:rsid w:val="3AE07990"/>
    <w:rsid w:val="3B211535"/>
    <w:rsid w:val="3B494436"/>
    <w:rsid w:val="3B632ED8"/>
    <w:rsid w:val="3C177780"/>
    <w:rsid w:val="3D414F09"/>
    <w:rsid w:val="3D884009"/>
    <w:rsid w:val="3D896191"/>
    <w:rsid w:val="3DB35831"/>
    <w:rsid w:val="3E246184"/>
    <w:rsid w:val="3E300685"/>
    <w:rsid w:val="3F621B88"/>
    <w:rsid w:val="3FA034D4"/>
    <w:rsid w:val="412F2E76"/>
    <w:rsid w:val="41474664"/>
    <w:rsid w:val="420267DC"/>
    <w:rsid w:val="42332D3F"/>
    <w:rsid w:val="43747724"/>
    <w:rsid w:val="43B81849"/>
    <w:rsid w:val="44041E3C"/>
    <w:rsid w:val="44054362"/>
    <w:rsid w:val="44195AD4"/>
    <w:rsid w:val="44E12BE6"/>
    <w:rsid w:val="453125D9"/>
    <w:rsid w:val="45864E7D"/>
    <w:rsid w:val="45FF5626"/>
    <w:rsid w:val="46544838"/>
    <w:rsid w:val="46C6602A"/>
    <w:rsid w:val="481505D2"/>
    <w:rsid w:val="48180B22"/>
    <w:rsid w:val="4821210F"/>
    <w:rsid w:val="487F0532"/>
    <w:rsid w:val="489258EA"/>
    <w:rsid w:val="490115D2"/>
    <w:rsid w:val="49813A2F"/>
    <w:rsid w:val="49A14B2D"/>
    <w:rsid w:val="4A06310F"/>
    <w:rsid w:val="4A77763C"/>
    <w:rsid w:val="4A9E080E"/>
    <w:rsid w:val="4C0F53BC"/>
    <w:rsid w:val="4C1F05D9"/>
    <w:rsid w:val="4C277446"/>
    <w:rsid w:val="4C5E73C0"/>
    <w:rsid w:val="4D196681"/>
    <w:rsid w:val="4D707FFE"/>
    <w:rsid w:val="4E157897"/>
    <w:rsid w:val="4E8E7E5B"/>
    <w:rsid w:val="4E9C0204"/>
    <w:rsid w:val="4EAB0C1C"/>
    <w:rsid w:val="4EEC684A"/>
    <w:rsid w:val="4F490DD1"/>
    <w:rsid w:val="4F8B5318"/>
    <w:rsid w:val="4F94767E"/>
    <w:rsid w:val="4FB45452"/>
    <w:rsid w:val="504B3428"/>
    <w:rsid w:val="50765317"/>
    <w:rsid w:val="50DA7F96"/>
    <w:rsid w:val="512E698F"/>
    <w:rsid w:val="51307BBA"/>
    <w:rsid w:val="51984A73"/>
    <w:rsid w:val="51AF3F96"/>
    <w:rsid w:val="51C81D05"/>
    <w:rsid w:val="51E9296D"/>
    <w:rsid w:val="523A41EC"/>
    <w:rsid w:val="527B3406"/>
    <w:rsid w:val="52D13764"/>
    <w:rsid w:val="531B76FE"/>
    <w:rsid w:val="532F0F7F"/>
    <w:rsid w:val="53984706"/>
    <w:rsid w:val="53F02939"/>
    <w:rsid w:val="540D34EB"/>
    <w:rsid w:val="54484523"/>
    <w:rsid w:val="54B14AB0"/>
    <w:rsid w:val="5560589C"/>
    <w:rsid w:val="561B2CF0"/>
    <w:rsid w:val="561C2B4F"/>
    <w:rsid w:val="575D5545"/>
    <w:rsid w:val="57FE1686"/>
    <w:rsid w:val="58133704"/>
    <w:rsid w:val="58414EA0"/>
    <w:rsid w:val="58535DB5"/>
    <w:rsid w:val="58B862F1"/>
    <w:rsid w:val="59153460"/>
    <w:rsid w:val="592C7D4F"/>
    <w:rsid w:val="595E1385"/>
    <w:rsid w:val="59886344"/>
    <w:rsid w:val="5A7933C0"/>
    <w:rsid w:val="5B202D62"/>
    <w:rsid w:val="5BA01CB1"/>
    <w:rsid w:val="5BBB79D7"/>
    <w:rsid w:val="5BD2501C"/>
    <w:rsid w:val="5C2F7D76"/>
    <w:rsid w:val="5C503FFD"/>
    <w:rsid w:val="5CBE52AD"/>
    <w:rsid w:val="5CC961E1"/>
    <w:rsid w:val="5DFF5F61"/>
    <w:rsid w:val="5EB56C59"/>
    <w:rsid w:val="5EDD2BC2"/>
    <w:rsid w:val="5F744618"/>
    <w:rsid w:val="5F777228"/>
    <w:rsid w:val="601B7482"/>
    <w:rsid w:val="6095125E"/>
    <w:rsid w:val="61175938"/>
    <w:rsid w:val="61A82AA5"/>
    <w:rsid w:val="62D424E5"/>
    <w:rsid w:val="6316557E"/>
    <w:rsid w:val="631657EC"/>
    <w:rsid w:val="63557D1A"/>
    <w:rsid w:val="63950E07"/>
    <w:rsid w:val="64AC0E76"/>
    <w:rsid w:val="659B2CCA"/>
    <w:rsid w:val="66533E3C"/>
    <w:rsid w:val="66866151"/>
    <w:rsid w:val="66FD6545"/>
    <w:rsid w:val="67717348"/>
    <w:rsid w:val="67B41220"/>
    <w:rsid w:val="67C45716"/>
    <w:rsid w:val="685B7BDB"/>
    <w:rsid w:val="68D71074"/>
    <w:rsid w:val="699A0452"/>
    <w:rsid w:val="69DD59DD"/>
    <w:rsid w:val="6A611A43"/>
    <w:rsid w:val="6B4C44A1"/>
    <w:rsid w:val="6C382C77"/>
    <w:rsid w:val="6D237A65"/>
    <w:rsid w:val="6D5C087A"/>
    <w:rsid w:val="6E59263E"/>
    <w:rsid w:val="6E6F64CB"/>
    <w:rsid w:val="6E7678CD"/>
    <w:rsid w:val="6ECE013E"/>
    <w:rsid w:val="6F4E1582"/>
    <w:rsid w:val="6F813CCD"/>
    <w:rsid w:val="6FD04D0F"/>
    <w:rsid w:val="71045B67"/>
    <w:rsid w:val="7131634A"/>
    <w:rsid w:val="71525E28"/>
    <w:rsid w:val="720978E1"/>
    <w:rsid w:val="72561DC1"/>
    <w:rsid w:val="72973A90"/>
    <w:rsid w:val="732D1CCE"/>
    <w:rsid w:val="73D90AED"/>
    <w:rsid w:val="75075448"/>
    <w:rsid w:val="757A7E5C"/>
    <w:rsid w:val="75C06802"/>
    <w:rsid w:val="769200B9"/>
    <w:rsid w:val="76D128CB"/>
    <w:rsid w:val="77336515"/>
    <w:rsid w:val="77CF03EF"/>
    <w:rsid w:val="782D35AD"/>
    <w:rsid w:val="78871CEA"/>
    <w:rsid w:val="78B447B6"/>
    <w:rsid w:val="78C45047"/>
    <w:rsid w:val="79600350"/>
    <w:rsid w:val="797C6656"/>
    <w:rsid w:val="7A216E38"/>
    <w:rsid w:val="7AC878BC"/>
    <w:rsid w:val="7B25086A"/>
    <w:rsid w:val="7B5D01B2"/>
    <w:rsid w:val="7C217284"/>
    <w:rsid w:val="7C9E2756"/>
    <w:rsid w:val="7E6F7D52"/>
    <w:rsid w:val="7EAB4BAB"/>
    <w:rsid w:val="7EB919F5"/>
    <w:rsid w:val="7EEA7DE1"/>
    <w:rsid w:val="7EF0627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hint="default"/>
      <w:sz w:val="21"/>
      <w:szCs w:val="24"/>
    </w:rPr>
  </w:style>
  <w:style w:type="paragraph" w:styleId="3">
    <w:name w:val="toa heading"/>
    <w:basedOn w:val="1"/>
    <w:next w:val="1"/>
    <w:autoRedefine/>
    <w:qFormat/>
    <w:uiPriority w:val="99"/>
    <w:pPr>
      <w:spacing w:before="120" w:after="200" w:line="276" w:lineRule="auto"/>
    </w:pPr>
    <w:rPr>
      <w:rFonts w:ascii="Arial" w:hAnsi="Arial"/>
      <w:sz w:val="24"/>
    </w:rPr>
  </w:style>
  <w:style w:type="paragraph" w:styleId="4">
    <w:name w:val="Body Text"/>
    <w:basedOn w:val="1"/>
    <w:autoRedefine/>
    <w:qFormat/>
    <w:uiPriority w:val="0"/>
    <w:rPr>
      <w:rFonts w:ascii="仿宋" w:hAnsi="仿宋" w:eastAsia="仿宋" w:cs="仿宋"/>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0">
    <w:name w:val="列出段落1"/>
    <w:basedOn w:val="1"/>
    <w:qFormat/>
    <w:uiPriority w:val="34"/>
    <w:pPr>
      <w:ind w:firstLine="420" w:firstLineChars="200"/>
    </w:pPr>
  </w:style>
  <w:style w:type="paragraph" w:styleId="11">
    <w:name w:val="List Paragraph"/>
    <w:basedOn w:val="1"/>
    <w:autoRedefine/>
    <w:qFormat/>
    <w:uiPriority w:val="99"/>
    <w:pPr>
      <w:ind w:firstLine="420" w:firstLineChars="200"/>
    </w:pPr>
    <w:rPr>
      <w:rFonts w:ascii="Calibri" w:hAnsi="Calibri"/>
      <w:szCs w:val="22"/>
    </w:rPr>
  </w:style>
  <w:style w:type="character" w:customStyle="1" w:styleId="12">
    <w:name w:val="font31"/>
    <w:basedOn w:val="9"/>
    <w:autoRedefine/>
    <w:qFormat/>
    <w:uiPriority w:val="0"/>
    <w:rPr>
      <w:rFonts w:ascii="Calibri" w:hAnsi="Calibri" w:cs="Calibri"/>
      <w:color w:val="000000"/>
      <w:sz w:val="20"/>
      <w:szCs w:val="20"/>
      <w:u w:val="none"/>
    </w:rPr>
  </w:style>
  <w:style w:type="character" w:customStyle="1" w:styleId="13">
    <w:name w:val="font41"/>
    <w:basedOn w:val="9"/>
    <w:autoRedefine/>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6088</Words>
  <Characters>6781</Characters>
  <Lines>0</Lines>
  <Paragraphs>0</Paragraphs>
  <TotalTime>341</TotalTime>
  <ScaleCrop>false</ScaleCrop>
  <LinksUpToDate>false</LinksUpToDate>
  <CharactersWithSpaces>6945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涂姣</cp:lastModifiedBy>
  <cp:lastPrinted>2025-05-27T01:35:00Z</cp:lastPrinted>
  <dcterms:modified xsi:type="dcterms:W3CDTF">2025-06-04T07:13:15Z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16658AD9B6004A3C8DFB607C30A6C58E_13</vt:lpwstr>
  </property>
  <property fmtid="{D5CDD505-2E9C-101B-9397-08002B2CF9AE}" pid="4" name="KSOTemplateDocerSaveRecord">
    <vt:lpwstr>eyJoZGlkIjoiZDQwYTAyN2E3YWRjMmI5NTI5YTMxMTYzNDI2N2QwMzUiLCJ1c2VySWQiOiIyODcyNzU5ODkifQ==</vt:lpwstr>
  </property>
</Properties>
</file>