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color w:val="000000"/>
          <w:sz w:val="44"/>
          <w:szCs w:val="44"/>
        </w:rPr>
        <w:t>岳阳市城市管理和综合执法局湖南城陵矶新港区分局</w:t>
      </w:r>
      <w:r>
        <w:rPr>
          <w:rFonts w:hint="eastAsia" w:ascii="方正小标宋简体" w:hAnsi="方正小标宋简体" w:eastAsia="方正小标宋简体" w:cs="方正小标宋简体"/>
          <w:sz w:val="44"/>
          <w:szCs w:val="44"/>
        </w:rPr>
        <w:t>整体支出绩效自评</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both"/>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spacing w:line="600" w:lineRule="exact"/>
        <w:jc w:val="center"/>
        <w:rPr>
          <w:rFonts w:hint="eastAsia" w:ascii="方正小标宋简体" w:hAnsi="方正小标宋简体" w:eastAsia="方正小标宋简体" w:cs="方正小标宋简体"/>
          <w:color w:val="000000"/>
          <w:sz w:val="32"/>
          <w:szCs w:val="32"/>
          <w:u w:val="single"/>
        </w:rPr>
      </w:pPr>
      <w:r>
        <w:rPr>
          <w:rFonts w:hint="eastAsia" w:ascii="方正小标宋简体" w:hAnsi="方正小标宋简体" w:eastAsia="方正小标宋简体" w:cs="方正小标宋简体"/>
          <w:sz w:val="32"/>
          <w:szCs w:val="32"/>
        </w:rPr>
        <w:t>单位名称：</w:t>
      </w:r>
      <w:r>
        <w:rPr>
          <w:rFonts w:hint="eastAsia" w:ascii="方正小标宋简体" w:hAnsi="方正小标宋简体" w:eastAsia="方正小标宋简体" w:cs="方正小标宋简体"/>
          <w:color w:val="000000"/>
          <w:sz w:val="32"/>
          <w:szCs w:val="32"/>
          <w:u w:val="single"/>
        </w:rPr>
        <w:t>岳阳市城市管理和综合执法局</w:t>
      </w:r>
    </w:p>
    <w:p>
      <w:pPr>
        <w:spacing w:line="600" w:lineRule="exact"/>
        <w:jc w:val="left"/>
        <w:rPr>
          <w:rFonts w:hint="default"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color w:val="000000"/>
          <w:sz w:val="32"/>
          <w:szCs w:val="32"/>
          <w:u w:val="none"/>
          <w:lang w:val="en-US" w:eastAsia="zh-CN"/>
        </w:rPr>
        <w:t xml:space="preserve">                 </w:t>
      </w:r>
      <w:r>
        <w:rPr>
          <w:rFonts w:hint="eastAsia" w:ascii="方正小标宋简体" w:hAnsi="方正小标宋简体" w:eastAsia="方正小标宋简体" w:cs="方正小标宋简体"/>
          <w:color w:val="000000"/>
          <w:sz w:val="32"/>
          <w:szCs w:val="32"/>
          <w:u w:val="single"/>
        </w:rPr>
        <w:t>湖南城陵矶新港区分局</w:t>
      </w:r>
      <w:r>
        <w:rPr>
          <w:rFonts w:hint="eastAsia" w:ascii="方正小标宋简体" w:hAnsi="方正小标宋简体" w:eastAsia="方正小标宋简体" w:cs="方正小标宋简体"/>
          <w:color w:val="000000"/>
          <w:sz w:val="32"/>
          <w:szCs w:val="32"/>
          <w:u w:val="single"/>
          <w:lang w:val="en-US" w:eastAsia="zh-CN"/>
        </w:rPr>
        <w:t xml:space="preserve">       </w:t>
      </w:r>
    </w:p>
    <w:p>
      <w:pPr>
        <w:pStyle w:val="2"/>
        <w:jc w:val="left"/>
        <w:rPr>
          <w:rFonts w:hint="eastAsia" w:ascii="方正小标宋简体" w:hAnsi="方正小标宋简体" w:eastAsia="方正小标宋简体" w:cs="方正小标宋简体"/>
        </w:rPr>
      </w:pPr>
    </w:p>
    <w:p>
      <w:pPr>
        <w:spacing w:line="6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2024</w:t>
      </w:r>
      <w:r>
        <w:rPr>
          <w:rFonts w:hint="eastAsia" w:ascii="方正小标宋简体" w:hAnsi="方正小标宋简体" w:eastAsia="方正小标宋简体" w:cs="方正小标宋简体"/>
          <w:sz w:val="32"/>
          <w:szCs w:val="32"/>
        </w:rPr>
        <w:t>年</w:t>
      </w:r>
      <w:r>
        <w:rPr>
          <w:rFonts w:hint="eastAsia" w:ascii="方正小标宋简体" w:hAnsi="方正小标宋简体" w:eastAsia="方正小标宋简体" w:cs="方正小标宋简体"/>
          <w:sz w:val="32"/>
          <w:szCs w:val="32"/>
          <w:lang w:val="en-US" w:eastAsia="zh-CN"/>
        </w:rPr>
        <w:t>6</w:t>
      </w:r>
      <w:r>
        <w:rPr>
          <w:rFonts w:hint="eastAsia" w:ascii="方正小标宋简体" w:hAnsi="方正小标宋简体" w:eastAsia="方正小标宋简体" w:cs="方正小标宋简体"/>
          <w:sz w:val="32"/>
          <w:szCs w:val="32"/>
        </w:rPr>
        <w:t>月</w:t>
      </w:r>
      <w:r>
        <w:rPr>
          <w:rFonts w:hint="eastAsia" w:ascii="方正小标宋简体" w:hAnsi="方正小标宋简体" w:eastAsia="方正小标宋简体" w:cs="方正小标宋简体"/>
          <w:sz w:val="32"/>
          <w:szCs w:val="32"/>
          <w:lang w:val="en-US" w:eastAsia="zh-CN"/>
        </w:rPr>
        <w:t>25</w:t>
      </w:r>
      <w:r>
        <w:rPr>
          <w:rFonts w:hint="eastAsia" w:ascii="方正小标宋简体" w:hAnsi="方正小标宋简体" w:eastAsia="方正小标宋简体" w:cs="方正小标宋简体"/>
          <w:sz w:val="32"/>
          <w:szCs w:val="32"/>
        </w:rPr>
        <w:t>日</w:t>
      </w:r>
    </w:p>
    <w:p>
      <w:pPr>
        <w:jc w:val="center"/>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afterLines="0" w:line="360" w:lineRule="auto"/>
        <w:jc w:val="both"/>
        <w:textAlignment w:val="auto"/>
        <w:rPr>
          <w:rFonts w:hint="eastAsia"/>
          <w:lang w:eastAsia="zh-CN"/>
        </w:rPr>
        <w:sectPr>
          <w:pgSz w:w="11906" w:h="16838"/>
          <w:pgMar w:top="1440" w:right="1800" w:bottom="1440" w:left="1800" w:header="851" w:footer="992" w:gutter="0"/>
          <w:cols w:space="425" w:num="1"/>
          <w:docGrid w:type="lines" w:linePitch="312" w:charSpace="0"/>
        </w:sectPr>
      </w:pPr>
    </w:p>
    <w:p>
      <w:pPr>
        <w:pStyle w:val="2"/>
        <w:rPr>
          <w:rFonts w:hint="eastAsia"/>
          <w:lang w:eastAsia="zh-CN"/>
        </w:rPr>
      </w:pPr>
    </w:p>
    <w:p>
      <w:pPr>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202</w:t>
      </w:r>
      <w:r>
        <w:rPr>
          <w:rFonts w:hint="eastAsia" w:asciiTheme="majorEastAsia" w:hAnsiTheme="majorEastAsia" w:eastAsiaTheme="majorEastAsia" w:cstheme="majorEastAsia"/>
          <w:b/>
          <w:bCs/>
          <w:sz w:val="36"/>
          <w:szCs w:val="36"/>
          <w:lang w:val="en-US" w:eastAsia="zh-CN"/>
        </w:rPr>
        <w:t>3</w:t>
      </w:r>
      <w:r>
        <w:rPr>
          <w:rFonts w:hint="eastAsia" w:asciiTheme="majorEastAsia" w:hAnsiTheme="majorEastAsia" w:eastAsiaTheme="majorEastAsia" w:cstheme="majorEastAsia"/>
          <w:b/>
          <w:bCs/>
          <w:sz w:val="36"/>
          <w:szCs w:val="36"/>
        </w:rPr>
        <w:t>年度</w:t>
      </w:r>
      <w:r>
        <w:rPr>
          <w:rFonts w:hint="eastAsia" w:asciiTheme="majorEastAsia" w:hAnsiTheme="majorEastAsia" w:eastAsiaTheme="majorEastAsia" w:cstheme="majorEastAsia"/>
          <w:b/>
          <w:bCs/>
          <w:color w:val="000000"/>
          <w:sz w:val="36"/>
          <w:szCs w:val="36"/>
        </w:rPr>
        <w:t>岳阳市城市管理和综合执法局湖南城陵矶新港区分局</w:t>
      </w:r>
      <w:r>
        <w:rPr>
          <w:rFonts w:hint="eastAsia" w:asciiTheme="majorEastAsia" w:hAnsiTheme="majorEastAsia" w:eastAsiaTheme="majorEastAsia" w:cstheme="majorEastAsia"/>
          <w:b/>
          <w:bCs/>
          <w:sz w:val="36"/>
          <w:szCs w:val="36"/>
        </w:rPr>
        <w:t>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numPr>
          <w:ilvl w:val="0"/>
          <w:numId w:val="1"/>
        </w:numPr>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单位基本情况</w:t>
      </w:r>
    </w:p>
    <w:p>
      <w:pPr>
        <w:keepNext w:val="0"/>
        <w:keepLines w:val="0"/>
        <w:pageBreakBefore w:val="0"/>
        <w:widowControl/>
        <w:kinsoku/>
        <w:wordWrap/>
        <w:overflowPunct/>
        <w:topLinePunct w:val="0"/>
        <w:bidi w:val="0"/>
        <w:adjustRightInd/>
        <w:snapToGrid/>
        <w:spacing w:line="600" w:lineRule="exact"/>
        <w:ind w:firstLine="642" w:firstLineChars="20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（一）职能职责</w:t>
      </w:r>
    </w:p>
    <w:p>
      <w:pPr>
        <w:keepNext w:val="0"/>
        <w:keepLines w:val="0"/>
        <w:pageBreakBefore w:val="0"/>
        <w:widowControl/>
        <w:kinsoku/>
        <w:wordWrap/>
        <w:overflowPunct/>
        <w:topLinePunct w:val="0"/>
        <w:bidi w:val="0"/>
        <w:adjustRightInd/>
        <w:snapToGrid/>
        <w:spacing w:line="600" w:lineRule="exact"/>
        <w:ind w:firstLine="640" w:firstLineChars="200"/>
        <w:jc w:val="left"/>
        <w:textAlignment w:val="auto"/>
        <w:rPr>
          <w:rFonts w:hint="eastAsia" w:ascii="仿宋_GB2312" w:hAnsi="仿宋_GB2312" w:eastAsia="仿宋_GB2312" w:cs="仿宋_GB2312"/>
          <w:kern w:val="0"/>
          <w:sz w:val="32"/>
          <w:szCs w:val="32"/>
          <w:lang w:val="zh-CN" w:eastAsia="zh-CN"/>
        </w:rPr>
      </w:pPr>
      <w:r>
        <w:rPr>
          <w:rFonts w:hint="eastAsia" w:ascii="仿宋_GB2312" w:hAnsi="仿宋_GB2312" w:eastAsia="仿宋_GB2312" w:cs="仿宋_GB2312"/>
          <w:kern w:val="0"/>
          <w:sz w:val="32"/>
          <w:szCs w:val="32"/>
          <w:lang w:val="zh-CN" w:eastAsia="zh-CN"/>
        </w:rPr>
        <w:t>岳阳市城市管理和综合执法局湖南城陵矶新港区分局承担城陵矶新港区辖区内市容环境卫生、园林绿化、城管执法、市政公共设施维护、路灯亮化、渣土运输（道路破占道）、户外广告、城镇燃气、停车管理等职能。</w:t>
      </w:r>
    </w:p>
    <w:p>
      <w:pPr>
        <w:keepNext w:val="0"/>
        <w:keepLines w:val="0"/>
        <w:pageBreakBefore w:val="0"/>
        <w:widowControl/>
        <w:kinsoku/>
        <w:wordWrap/>
        <w:overflowPunct/>
        <w:topLinePunct w:val="0"/>
        <w:bidi w:val="0"/>
        <w:adjustRightInd/>
        <w:snapToGrid/>
        <w:spacing w:line="600" w:lineRule="exact"/>
        <w:ind w:firstLine="642" w:firstLineChars="20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（二）机构设置</w:t>
      </w:r>
    </w:p>
    <w:p>
      <w:pPr>
        <w:keepNext w:val="0"/>
        <w:keepLines w:val="0"/>
        <w:pageBreakBefore w:val="0"/>
        <w:widowControl/>
        <w:kinsoku/>
        <w:wordWrap/>
        <w:overflowPunct/>
        <w:topLinePunct w:val="0"/>
        <w:bidi w:val="0"/>
        <w:adjustRightInd/>
        <w:snapToGrid/>
        <w:spacing w:line="600" w:lineRule="exact"/>
        <w:ind w:firstLine="640" w:firstLineChars="200"/>
        <w:jc w:val="left"/>
        <w:textAlignment w:val="auto"/>
        <w:rPr>
          <w:rFonts w:hint="default"/>
          <w:sz w:val="32"/>
          <w:szCs w:val="32"/>
        </w:rPr>
      </w:pPr>
      <w:r>
        <w:rPr>
          <w:rFonts w:hint="eastAsia" w:ascii="仿宋_GB2312" w:hAnsi="仿宋_GB2312" w:eastAsia="仿宋_GB2312" w:cs="仿宋_GB2312"/>
          <w:kern w:val="0"/>
          <w:sz w:val="32"/>
          <w:szCs w:val="32"/>
          <w:lang w:val="en-US" w:eastAsia="zh-CN"/>
        </w:rPr>
        <w:t>本单位为岳阳市城市管理和综合执法局直属</w:t>
      </w:r>
      <w:r>
        <w:rPr>
          <w:rFonts w:hint="eastAsia" w:ascii="仿宋_GB2312" w:hAnsi="仿宋_GB2312" w:eastAsia="仿宋_GB2312" w:cs="仿宋_GB2312"/>
          <w:kern w:val="0"/>
          <w:sz w:val="32"/>
          <w:szCs w:val="32"/>
          <w:lang w:val="zh-CN" w:eastAsia="zh-CN"/>
        </w:rPr>
        <w:t>公益一类事业单位，核定人员编制2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val="zh-CN" w:eastAsia="zh-CN"/>
        </w:rPr>
        <w:t>人，内设科室分别是综合股、财务股、行政审批股、维护考评股、执法一中队、执法二中队、执法三中队。</w:t>
      </w:r>
    </w:p>
    <w:p>
      <w:pPr>
        <w:pStyle w:val="9"/>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9"/>
        <w:keepNext w:val="0"/>
        <w:keepLines w:val="0"/>
        <w:pageBreakBefore w:val="0"/>
        <w:widowControl/>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23</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单位</w:t>
      </w:r>
      <w:r>
        <w:rPr>
          <w:rFonts w:hint="eastAsia" w:ascii="仿宋_GB2312" w:hAnsi="仿宋_GB2312" w:eastAsia="仿宋_GB2312" w:cs="仿宋_GB2312"/>
          <w:bCs/>
          <w:sz w:val="32"/>
          <w:szCs w:val="32"/>
        </w:rPr>
        <w:t>基本支出</w:t>
      </w:r>
      <w:r>
        <w:rPr>
          <w:rFonts w:hint="eastAsia" w:ascii="仿宋_GB2312" w:hAnsi="仿宋_GB2312" w:eastAsia="仿宋_GB2312" w:cs="仿宋_GB2312"/>
          <w:bCs/>
          <w:sz w:val="32"/>
          <w:szCs w:val="32"/>
          <w:lang w:val="en-US" w:eastAsia="zh-CN"/>
        </w:rPr>
        <w:t>总额为368.03</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其中人员经费支出总额为299.36万元，主要用于</w:t>
      </w:r>
      <w:r>
        <w:rPr>
          <w:rFonts w:hint="eastAsia" w:ascii="仿宋_GB2312" w:hAnsi="仿宋_GB2312" w:eastAsia="仿宋_GB2312" w:cs="仿宋_GB2312"/>
          <w:bCs/>
          <w:sz w:val="32"/>
          <w:szCs w:val="32"/>
          <w:highlight w:val="none"/>
          <w:lang w:val="en-US" w:eastAsia="zh-CN"/>
        </w:rPr>
        <w:t>职工工资、津补贴、绩效工资及社会缴费等，日常公用经费支出总额为68.67万元，</w:t>
      </w:r>
      <w:r>
        <w:rPr>
          <w:rFonts w:hint="eastAsia" w:ascii="仿宋_GB2312" w:hAnsi="仿宋_GB2312" w:eastAsia="仿宋_GB2312" w:cs="仿宋_GB2312"/>
          <w:bCs/>
          <w:sz w:val="32"/>
          <w:szCs w:val="32"/>
          <w:lang w:val="en-US" w:eastAsia="zh-CN"/>
        </w:rPr>
        <w:t>主要用于办公费、印刷费、水电费、邮电费、取暖费、物业费、差旅费、维修（护）费、租赁费、会议费、培训费、公务接待费、劳务费、委托业务费、工会经费、公务用车运行费、其他交通费用、其他商品和服务支出等</w:t>
      </w:r>
      <w:r>
        <w:rPr>
          <w:rFonts w:hint="eastAsia" w:ascii="仿宋_GB2312" w:hAnsi="仿宋_GB2312" w:eastAsia="仿宋_GB2312" w:cs="仿宋_GB2312"/>
          <w:bCs/>
          <w:sz w:val="32"/>
          <w:szCs w:val="32"/>
          <w:highlight w:val="none"/>
          <w:lang w:val="en-US" w:eastAsia="zh-CN"/>
        </w:rPr>
        <w:t>保障单位</w:t>
      </w:r>
      <w:r>
        <w:rPr>
          <w:rFonts w:hint="eastAsia" w:ascii="仿宋_GB2312" w:hAnsi="仿宋_GB2312" w:eastAsia="仿宋_GB2312" w:cs="仿宋_GB2312"/>
          <w:bCs/>
          <w:sz w:val="32"/>
          <w:szCs w:val="32"/>
          <w:lang w:val="en-US" w:eastAsia="zh-CN"/>
        </w:rPr>
        <w:t>运转</w:t>
      </w:r>
      <w:r>
        <w:rPr>
          <w:rFonts w:hint="eastAsia" w:ascii="仿宋_GB2312" w:hAnsi="仿宋_GB2312" w:eastAsia="仿宋_GB2312" w:cs="仿宋_GB2312"/>
          <w:bCs/>
          <w:sz w:val="32"/>
          <w:szCs w:val="32"/>
          <w:highlight w:val="none"/>
          <w:lang w:val="en-US" w:eastAsia="zh-CN"/>
        </w:rPr>
        <w:t>的</w:t>
      </w:r>
      <w:r>
        <w:rPr>
          <w:rFonts w:hint="eastAsia" w:ascii="仿宋_GB2312" w:hAnsi="仿宋_GB2312" w:eastAsia="仿宋_GB2312" w:cs="仿宋_GB2312"/>
          <w:bCs/>
          <w:sz w:val="32"/>
          <w:szCs w:val="32"/>
          <w:lang w:val="en-US" w:eastAsia="zh-CN"/>
        </w:rPr>
        <w:t>支出。</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楷体_GB2312" w:cs="Times New Roman"/>
          <w:b/>
          <w:sz w:val="32"/>
          <w:szCs w:val="32"/>
        </w:rPr>
      </w:pPr>
      <w:r>
        <w:rPr>
          <w:rFonts w:hint="eastAsia" w:ascii="仿宋_GB2312" w:hAnsi="仿宋_GB2312" w:eastAsia="仿宋_GB2312" w:cs="仿宋_GB2312"/>
          <w:bCs/>
          <w:sz w:val="32"/>
          <w:szCs w:val="32"/>
        </w:rPr>
        <w:t>本年度公务接待费</w:t>
      </w:r>
      <w:r>
        <w:rPr>
          <w:rFonts w:hint="eastAsia" w:ascii="仿宋_GB2312" w:hAnsi="仿宋_GB2312" w:eastAsia="仿宋_GB2312" w:cs="仿宋_GB2312"/>
          <w:bCs/>
          <w:sz w:val="32"/>
          <w:szCs w:val="32"/>
          <w:lang w:eastAsia="zh-CN"/>
        </w:rPr>
        <w:t>预算</w:t>
      </w:r>
      <w:r>
        <w:rPr>
          <w:rFonts w:hint="eastAsia" w:ascii="仿宋_GB2312" w:hAnsi="仿宋_GB2312" w:eastAsia="仿宋_GB2312" w:cs="仿宋_GB2312"/>
          <w:bCs/>
          <w:sz w:val="32"/>
          <w:szCs w:val="32"/>
          <w:lang w:val="en-US" w:eastAsia="zh-CN"/>
        </w:rPr>
        <w:t>1.00万元，实际支出为</w:t>
      </w:r>
      <w:r>
        <w:rPr>
          <w:rFonts w:hint="eastAsia" w:ascii="仿宋_GB2312" w:hAnsi="仿宋_GB2312" w:eastAsia="仿宋_GB2312" w:cs="仿宋_GB2312"/>
          <w:bCs/>
          <w:sz w:val="32"/>
          <w:szCs w:val="32"/>
        </w:rPr>
        <w:t>0万元，</w:t>
      </w:r>
      <w:r>
        <w:rPr>
          <w:rFonts w:hint="eastAsia" w:ascii="仿宋_GB2312" w:hAnsi="仿宋_GB2312" w:eastAsia="仿宋_GB2312" w:cs="仿宋_GB2312"/>
          <w:bCs/>
          <w:color w:val="auto"/>
          <w:sz w:val="32"/>
          <w:szCs w:val="32"/>
          <w:lang w:val="en-US" w:eastAsia="zh-CN"/>
        </w:rPr>
        <w:t>公务用车购置及</w:t>
      </w:r>
      <w:r>
        <w:rPr>
          <w:rFonts w:hint="eastAsia" w:ascii="仿宋_GB2312" w:hAnsi="仿宋_GB2312" w:eastAsia="仿宋_GB2312" w:cs="仿宋_GB2312"/>
          <w:bCs/>
          <w:color w:val="auto"/>
          <w:sz w:val="32"/>
          <w:szCs w:val="32"/>
        </w:rPr>
        <w:t>公务用车运行维护费支出</w:t>
      </w:r>
      <w:r>
        <w:rPr>
          <w:rFonts w:hint="eastAsia" w:ascii="仿宋_GB2312" w:hAnsi="仿宋_GB2312" w:eastAsia="仿宋_GB2312" w:cs="仿宋_GB2312"/>
          <w:bCs/>
          <w:color w:val="auto"/>
          <w:sz w:val="32"/>
          <w:szCs w:val="32"/>
          <w:lang w:eastAsia="zh-CN"/>
        </w:rPr>
        <w:t>预算</w:t>
      </w:r>
      <w:r>
        <w:rPr>
          <w:rFonts w:hint="eastAsia" w:ascii="仿宋_GB2312" w:hAnsi="仿宋_GB2312" w:eastAsia="仿宋_GB2312" w:cs="仿宋_GB2312"/>
          <w:bCs/>
          <w:color w:val="auto"/>
          <w:sz w:val="32"/>
          <w:szCs w:val="32"/>
          <w:lang w:val="en-US" w:eastAsia="zh-CN"/>
        </w:rPr>
        <w:t>和决算均为0</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bCs/>
          <w:color w:val="auto"/>
          <w:sz w:val="32"/>
          <w:szCs w:val="32"/>
          <w:lang w:eastAsia="zh-CN"/>
        </w:rPr>
        <w:t>，因</w:t>
      </w:r>
      <w:r>
        <w:rPr>
          <w:rFonts w:hint="eastAsia" w:ascii="仿宋_GB2312" w:hAnsi="仿宋_GB2312" w:eastAsia="仿宋_GB2312" w:cs="仿宋_GB2312"/>
          <w:bCs/>
          <w:color w:val="auto"/>
          <w:sz w:val="32"/>
          <w:szCs w:val="32"/>
        </w:rPr>
        <w:t>公出国</w:t>
      </w:r>
      <w:r>
        <w:rPr>
          <w:rFonts w:hint="eastAsia" w:ascii="仿宋_GB2312" w:hAnsi="仿宋_GB2312" w:eastAsia="仿宋_GB2312" w:cs="仿宋_GB2312"/>
          <w:bCs/>
          <w:color w:val="auto"/>
          <w:sz w:val="32"/>
          <w:szCs w:val="32"/>
          <w:lang w:eastAsia="zh-CN"/>
        </w:rPr>
        <w:t>费用</w:t>
      </w:r>
      <w:r>
        <w:rPr>
          <w:rFonts w:hint="eastAsia" w:ascii="仿宋_GB2312" w:hAnsi="仿宋_GB2312" w:eastAsia="仿宋_GB2312" w:cs="仿宋_GB2312"/>
          <w:bCs/>
          <w:color w:val="auto"/>
          <w:sz w:val="32"/>
          <w:szCs w:val="32"/>
          <w:lang w:val="en-US" w:eastAsia="zh-CN"/>
        </w:rPr>
        <w:t>预算和决算均为</w:t>
      </w:r>
      <w:r>
        <w:rPr>
          <w:rFonts w:hint="eastAsia" w:ascii="仿宋_GB2312" w:hAnsi="仿宋_GB2312" w:eastAsia="仿宋_GB2312" w:cs="仿宋_GB2312"/>
          <w:bCs/>
          <w:color w:val="auto"/>
          <w:sz w:val="32"/>
          <w:szCs w:val="32"/>
        </w:rPr>
        <w:t>0万元</w:t>
      </w:r>
      <w:r>
        <w:rPr>
          <w:rFonts w:hint="eastAsia" w:ascii="仿宋_GB2312" w:hAnsi="仿宋_GB2312" w:eastAsia="仿宋_GB2312" w:cs="仿宋_GB2312"/>
          <w:bCs/>
          <w:color w:val="auto"/>
          <w:sz w:val="32"/>
          <w:szCs w:val="32"/>
          <w:lang w:eastAsia="zh-CN"/>
        </w:rPr>
        <w:t>，“三公经费”支出</w:t>
      </w:r>
      <w:r>
        <w:rPr>
          <w:rFonts w:hint="eastAsia" w:ascii="仿宋_GB2312" w:hAnsi="仿宋_GB2312" w:eastAsia="仿宋_GB2312" w:cs="仿宋_GB2312"/>
          <w:bCs/>
          <w:color w:val="auto"/>
          <w:sz w:val="32"/>
          <w:szCs w:val="32"/>
          <w:lang w:val="en-US" w:eastAsia="zh-CN"/>
        </w:rPr>
        <w:t>总额0万元</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lang w:eastAsia="zh-CN"/>
        </w:rPr>
        <w:t>控制在年初预算</w:t>
      </w:r>
      <w:r>
        <w:rPr>
          <w:rFonts w:hint="eastAsia" w:ascii="仿宋_GB2312" w:hAnsi="仿宋_GB2312" w:eastAsia="仿宋_GB2312" w:cs="仿宋_GB2312"/>
          <w:bCs/>
          <w:sz w:val="32"/>
          <w:szCs w:val="32"/>
          <w:lang w:val="en-US" w:eastAsia="zh-CN"/>
        </w:rPr>
        <w:t>金额</w:t>
      </w:r>
      <w:r>
        <w:rPr>
          <w:rFonts w:hint="eastAsia" w:ascii="仿宋_GB2312" w:hAnsi="仿宋_GB2312" w:eastAsia="仿宋_GB2312" w:cs="仿宋_GB2312"/>
          <w:bCs/>
          <w:sz w:val="32"/>
          <w:szCs w:val="32"/>
          <w:lang w:eastAsia="zh-CN"/>
        </w:rPr>
        <w:t>之内</w:t>
      </w:r>
      <w:r>
        <w:rPr>
          <w:rFonts w:hint="eastAsia" w:ascii="仿宋_GB2312" w:hAnsi="仿宋_GB2312" w:eastAsia="仿宋_GB2312" w:cs="仿宋_GB2312"/>
          <w:bCs/>
          <w:sz w:val="32"/>
          <w:szCs w:val="32"/>
        </w:rPr>
        <w:t>。</w:t>
      </w:r>
    </w:p>
    <w:p>
      <w:pPr>
        <w:pStyle w:val="9"/>
        <w:keepNext w:val="0"/>
        <w:keepLines w:val="0"/>
        <w:pageBreakBefore w:val="0"/>
        <w:widowControl/>
        <w:numPr>
          <w:ilvl w:val="0"/>
          <w:numId w:val="2"/>
        </w:numPr>
        <w:kinsoku/>
        <w:wordWrap/>
        <w:overflowPunct/>
        <w:topLinePunct w:val="0"/>
        <w:autoSpaceDE/>
        <w:autoSpaceDN/>
        <w:bidi w:val="0"/>
        <w:adjustRightInd/>
        <w:snapToGrid/>
        <w:spacing w:line="600" w:lineRule="exact"/>
        <w:ind w:left="-83" w:leftChars="0" w:firstLine="643" w:firstLineChars="0"/>
        <w:jc w:val="both"/>
        <w:textAlignment w:val="auto"/>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项目支出情况</w:t>
      </w:r>
    </w:p>
    <w:p>
      <w:pPr>
        <w:pStyle w:val="9"/>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23</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lang w:eastAsia="zh-CN"/>
        </w:rPr>
        <w:t>我单位无项目支出</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kern w:val="0"/>
          <w:sz w:val="32"/>
          <w:szCs w:val="32"/>
          <w:lang w:val="en-US" w:eastAsia="zh-CN"/>
        </w:rPr>
        <w:t>由港区保障的城市管理专项经费支出在港区相关管理部门核算，我单位仅核算保障机关运行和日常管理的相关费用。</w:t>
      </w:r>
    </w:p>
    <w:p>
      <w:pPr>
        <w:pStyle w:val="9"/>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政府性基金预算</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国有资本经营预算</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社会保险基金预算支出情况</w:t>
      </w:r>
    </w:p>
    <w:p>
      <w:pPr>
        <w:pStyle w:val="9"/>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eastAsia" w:ascii="仿宋_GB2312" w:hAnsi="仿宋_GB2312" w:eastAsia="仿宋_GB2312" w:cs="仿宋_GB2312"/>
          <w:sz w:val="32"/>
          <w:szCs w:val="32"/>
          <w:lang w:val="en-US" w:eastAsia="zh-CN"/>
        </w:rPr>
        <w:t>我单位无</w:t>
      </w:r>
      <w:r>
        <w:rPr>
          <w:rFonts w:hint="eastAsia" w:ascii="仿宋_GB2312" w:hAnsi="仿宋_GB2312" w:eastAsia="仿宋_GB2312" w:cs="仿宋_GB2312"/>
          <w:sz w:val="32"/>
          <w:szCs w:val="32"/>
        </w:rPr>
        <w:t>政府性基金预算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国有资本经营预算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社会保险基金预算支出</w:t>
      </w:r>
      <w:r>
        <w:rPr>
          <w:rFonts w:hint="eastAsia" w:ascii="仿宋_GB2312" w:hAnsi="仿宋_GB2312" w:eastAsia="仿宋_GB2312" w:cs="仿宋_GB2312"/>
          <w:sz w:val="32"/>
          <w:szCs w:val="32"/>
          <w:lang w:val="en-US" w:eastAsia="zh-CN"/>
        </w:rPr>
        <w:t>预算。</w:t>
      </w:r>
    </w:p>
    <w:p>
      <w:pPr>
        <w:keepNext w:val="0"/>
        <w:keepLines w:val="0"/>
        <w:pageBreakBefore w:val="0"/>
        <w:widowControl/>
        <w:numPr>
          <w:ilvl w:val="0"/>
          <w:numId w:val="3"/>
        </w:numPr>
        <w:kinsoku/>
        <w:wordWrap/>
        <w:overflowPunct/>
        <w:topLinePunct w:val="0"/>
        <w:autoSpaceDE/>
        <w:autoSpaceDN/>
        <w:bidi w:val="0"/>
        <w:adjustRightInd/>
        <w:snapToGrid/>
        <w:spacing w:line="600" w:lineRule="exact"/>
        <w:ind w:firstLine="640" w:firstLineChars="200"/>
        <w:jc w:val="both"/>
        <w:textAlignment w:val="auto"/>
        <w:rPr>
          <w:rFonts w:hint="default"/>
          <w:sz w:val="32"/>
          <w:szCs w:val="32"/>
        </w:rPr>
      </w:pPr>
      <w:r>
        <w:rPr>
          <w:rFonts w:hint="default" w:ascii="Times New Roman" w:hAnsi="Times New Roman" w:eastAsia="黑体" w:cs="Times New Roman"/>
          <w:sz w:val="32"/>
          <w:szCs w:val="32"/>
        </w:rPr>
        <w:t>部门整体支出绩效情</w:t>
      </w:r>
      <w:r>
        <w:rPr>
          <w:rFonts w:hint="eastAsia" w:ascii="Times New Roman" w:hAnsi="Times New Roman" w:eastAsia="黑体" w:cs="Times New Roman"/>
          <w:sz w:val="32"/>
          <w:szCs w:val="32"/>
          <w:lang w:val="en-US" w:eastAsia="zh-CN"/>
        </w:rPr>
        <w:t>况</w:t>
      </w:r>
    </w:p>
    <w:p>
      <w:pPr>
        <w:pStyle w:val="3"/>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（一）年度绩效目标</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目标1：</w:t>
      </w:r>
      <w:r>
        <w:rPr>
          <w:rFonts w:hint="eastAsia" w:ascii="仿宋_GB2312" w:hAnsi="仿宋_GB2312" w:eastAsia="仿宋_GB2312" w:cs="仿宋_GB2312"/>
          <w:color w:val="000000"/>
          <w:sz w:val="32"/>
          <w:szCs w:val="32"/>
          <w:highlight w:val="none"/>
        </w:rPr>
        <w:t>提升维护管理工作，加大考评力度、提升维护质量、创新工作机制</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目标2：</w:t>
      </w:r>
      <w:r>
        <w:rPr>
          <w:rFonts w:hint="eastAsia" w:ascii="仿宋_GB2312" w:hAnsi="仿宋_GB2312" w:eastAsia="仿宋_GB2312" w:cs="仿宋_GB2312"/>
          <w:color w:val="000000"/>
          <w:sz w:val="32"/>
          <w:szCs w:val="32"/>
          <w:highlight w:val="none"/>
        </w:rPr>
        <w:t>单位负责的行政审批工作提效</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目标3：</w:t>
      </w:r>
      <w:r>
        <w:rPr>
          <w:rFonts w:hint="eastAsia" w:ascii="仿宋_GB2312" w:hAnsi="仿宋_GB2312" w:eastAsia="仿宋_GB2312" w:cs="仿宋_GB2312"/>
          <w:color w:val="000000"/>
          <w:sz w:val="32"/>
          <w:szCs w:val="32"/>
          <w:highlight w:val="none"/>
        </w:rPr>
        <w:t>大力推进环保和垃圾分类工作</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高效完成接待任务</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目标4：</w:t>
      </w:r>
      <w:r>
        <w:rPr>
          <w:rFonts w:hint="eastAsia" w:ascii="仿宋_GB2312" w:hAnsi="仿宋_GB2312" w:eastAsia="仿宋_GB2312" w:cs="仿宋_GB2312"/>
          <w:color w:val="000000"/>
          <w:sz w:val="32"/>
          <w:szCs w:val="32"/>
          <w:highlight w:val="none"/>
        </w:rPr>
        <w:t>不断完善执法程序，持续开展综合整治，坚决抓好扬尘管控和禁燃禁放工作</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jc w:val="both"/>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目标</w:t>
      </w:r>
      <w:r>
        <w:rPr>
          <w:rFonts w:hint="eastAsia" w:ascii="仿宋_GB2312" w:hAnsi="仿宋_GB2312" w:eastAsia="仿宋_GB2312" w:cs="仿宋_GB2312"/>
          <w:color w:val="000000"/>
          <w:sz w:val="32"/>
          <w:szCs w:val="32"/>
          <w:highlight w:val="none"/>
        </w:rPr>
        <w:t>5</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及时受理信访投诉</w:t>
      </w:r>
      <w:r>
        <w:rPr>
          <w:rFonts w:hint="eastAsia" w:ascii="仿宋_GB2312" w:hAnsi="仿宋_GB2312" w:eastAsia="仿宋_GB2312" w:cs="仿宋_GB2312"/>
          <w:color w:val="000000"/>
          <w:sz w:val="32"/>
          <w:szCs w:val="32"/>
          <w:highlight w:val="none"/>
          <w:lang w:eastAsia="zh-CN"/>
        </w:rPr>
        <w:t>；</w:t>
      </w:r>
    </w:p>
    <w:p>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bCs/>
          <w:color w:val="333333"/>
          <w:sz w:val="32"/>
          <w:szCs w:val="32"/>
          <w:shd w:val="clear" w:color="auto" w:fill="FFFFFF"/>
        </w:rPr>
      </w:pPr>
      <w:r>
        <w:rPr>
          <w:rFonts w:hint="eastAsia" w:ascii="仿宋_GB2312" w:hAnsi="仿宋_GB2312" w:eastAsia="仿宋_GB2312" w:cs="仿宋_GB2312"/>
          <w:color w:val="000000"/>
          <w:sz w:val="32"/>
          <w:szCs w:val="32"/>
          <w:highlight w:val="none"/>
        </w:rPr>
        <w:t>　　</w:t>
      </w:r>
      <w:r>
        <w:rPr>
          <w:rFonts w:hint="eastAsia" w:ascii="楷体_GB2312" w:hAnsi="楷体_GB2312" w:eastAsia="楷体_GB2312" w:cs="楷体_GB2312"/>
          <w:b/>
          <w:bCs/>
          <w:color w:val="000000"/>
          <w:sz w:val="32"/>
          <w:szCs w:val="32"/>
          <w:lang w:val="en-US" w:eastAsia="zh-CN"/>
        </w:rPr>
        <w:t>（二）</w:t>
      </w:r>
      <w:r>
        <w:rPr>
          <w:rFonts w:hint="eastAsia" w:ascii="楷体_GB2312" w:hAnsi="楷体_GB2312" w:eastAsia="楷体_GB2312" w:cs="楷体_GB2312"/>
          <w:b/>
          <w:bCs/>
          <w:color w:val="333333"/>
          <w:sz w:val="32"/>
          <w:szCs w:val="32"/>
          <w:shd w:val="clear" w:color="auto" w:fill="FFFFFF"/>
        </w:rPr>
        <w:t>目标完成及取得效益情况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highlight w:val="none"/>
          <w:lang w:val="en-US" w:eastAsia="zh-CN"/>
        </w:rPr>
        <w:t>目标</w:t>
      </w:r>
      <w:r>
        <w:rPr>
          <w:rFonts w:hint="eastAsia" w:ascii="仿宋_GB2312" w:hAnsi="仿宋_GB2312" w:eastAsia="仿宋_GB2312" w:cs="仿宋_GB2312"/>
          <w:sz w:val="32"/>
          <w:szCs w:val="32"/>
          <w:lang w:val="en-US" w:eastAsia="zh-CN"/>
        </w:rPr>
        <w:t>1完成情况：加大了市政设施</w:t>
      </w:r>
      <w:r>
        <w:rPr>
          <w:rFonts w:hint="eastAsia" w:ascii="仿宋_GB2312" w:hAnsi="仿宋_GB2312" w:eastAsia="仿宋_GB2312" w:cs="仿宋_GB2312"/>
          <w:sz w:val="32"/>
          <w:szCs w:val="32"/>
          <w:lang w:eastAsia="zh-CN"/>
        </w:rPr>
        <w:t>维护管理</w:t>
      </w:r>
      <w:r>
        <w:rPr>
          <w:rFonts w:hint="eastAsia" w:ascii="仿宋_GB2312" w:hAnsi="仿宋_GB2312" w:eastAsia="仿宋_GB2312" w:cs="仿宋_GB2312"/>
          <w:sz w:val="32"/>
          <w:szCs w:val="32"/>
          <w:lang w:val="en-US" w:eastAsia="zh-CN"/>
        </w:rPr>
        <w:t>力度</w:t>
      </w:r>
      <w:r>
        <w:rPr>
          <w:rFonts w:hint="eastAsia" w:ascii="仿宋_GB2312" w:hAnsi="仿宋_GB2312" w:eastAsia="仿宋_GB2312" w:cs="仿宋_GB2312"/>
          <w:sz w:val="32"/>
          <w:szCs w:val="32"/>
          <w:lang w:eastAsia="zh-CN"/>
        </w:rPr>
        <w:t>，考评</w:t>
      </w:r>
      <w:r>
        <w:rPr>
          <w:rFonts w:hint="eastAsia" w:ascii="仿宋_GB2312" w:hAnsi="仿宋_GB2312" w:eastAsia="仿宋_GB2312" w:cs="仿宋_GB2312"/>
          <w:sz w:val="32"/>
          <w:szCs w:val="32"/>
          <w:lang w:val="en-US" w:eastAsia="zh-CN"/>
        </w:rPr>
        <w:t>考核更加细致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市政设施</w:t>
      </w:r>
      <w:r>
        <w:rPr>
          <w:rFonts w:hint="eastAsia" w:ascii="仿宋_GB2312" w:hAnsi="仿宋_GB2312" w:eastAsia="仿宋_GB2312" w:cs="仿宋_GB2312"/>
          <w:sz w:val="32"/>
          <w:szCs w:val="32"/>
          <w:lang w:eastAsia="zh-CN"/>
        </w:rPr>
        <w:t>维护质量，</w:t>
      </w:r>
      <w:r>
        <w:rPr>
          <w:rFonts w:hint="eastAsia" w:ascii="仿宋_GB2312" w:hAnsi="仿宋_GB2312" w:eastAsia="仿宋_GB2312" w:cs="仿宋_GB2312"/>
          <w:sz w:val="32"/>
          <w:szCs w:val="32"/>
          <w:lang w:val="en-US" w:eastAsia="zh-CN"/>
        </w:rPr>
        <w:t>管养水平不断提升;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highlight w:val="none"/>
          <w:lang w:val="en-US" w:eastAsia="zh-CN"/>
        </w:rPr>
        <w:t>目标</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完成情况</w:t>
      </w:r>
      <w:r>
        <w:rPr>
          <w:rFonts w:hint="eastAsia" w:ascii="仿宋_GB2312" w:hAnsi="仿宋_GB2312" w:eastAsia="仿宋_GB2312" w:cs="仿宋_GB2312"/>
          <w:sz w:val="32"/>
          <w:szCs w:val="32"/>
          <w:lang w:eastAsia="zh-CN"/>
        </w:rPr>
        <w:t>：单位负责的行政审批工作</w:t>
      </w:r>
      <w:r>
        <w:rPr>
          <w:rFonts w:hint="eastAsia" w:ascii="仿宋_GB2312" w:hAnsi="仿宋_GB2312" w:eastAsia="仿宋_GB2312" w:cs="仿宋_GB2312"/>
          <w:sz w:val="32"/>
          <w:szCs w:val="32"/>
          <w:lang w:val="en-US" w:eastAsia="zh-CN"/>
        </w:rPr>
        <w:t>办理流程得到进一步优化，办理效率不断提升；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highlight w:val="none"/>
          <w:lang w:val="en-US" w:eastAsia="zh-CN"/>
        </w:rPr>
        <w:t>目标</w:t>
      </w:r>
      <w:r>
        <w:rPr>
          <w:rFonts w:hint="eastAsia" w:ascii="仿宋_GB2312" w:hAnsi="仿宋_GB2312" w:eastAsia="仿宋_GB2312" w:cs="仿宋_GB2312"/>
          <w:sz w:val="32"/>
          <w:szCs w:val="32"/>
          <w:lang w:val="en-US" w:eastAsia="zh-CN"/>
        </w:rPr>
        <w:t>3完成情况：</w:t>
      </w:r>
      <w:r>
        <w:rPr>
          <w:rFonts w:hint="eastAsia" w:ascii="仿宋_GB2312" w:hAnsi="仿宋_GB2312" w:eastAsia="仿宋_GB2312" w:cs="仿宋_GB2312"/>
          <w:sz w:val="32"/>
          <w:szCs w:val="32"/>
          <w:lang w:eastAsia="zh-CN"/>
        </w:rPr>
        <w:t>环保</w:t>
      </w:r>
      <w:r>
        <w:rPr>
          <w:rFonts w:hint="eastAsia" w:ascii="仿宋_GB2312" w:hAnsi="仿宋_GB2312" w:eastAsia="仿宋_GB2312" w:cs="仿宋_GB2312"/>
          <w:sz w:val="32"/>
          <w:szCs w:val="32"/>
          <w:lang w:val="en-US" w:eastAsia="zh-CN"/>
        </w:rPr>
        <w:t>整治</w:t>
      </w:r>
      <w:r>
        <w:rPr>
          <w:rFonts w:hint="eastAsia" w:ascii="仿宋_GB2312" w:hAnsi="仿宋_GB2312" w:eastAsia="仿宋_GB2312" w:cs="仿宋_GB2312"/>
          <w:sz w:val="32"/>
          <w:szCs w:val="32"/>
          <w:lang w:eastAsia="zh-CN"/>
        </w:rPr>
        <w:t>和垃圾分类</w:t>
      </w:r>
      <w:r>
        <w:rPr>
          <w:rFonts w:hint="eastAsia" w:ascii="仿宋_GB2312" w:hAnsi="仿宋_GB2312" w:eastAsia="仿宋_GB2312" w:cs="仿宋_GB2312"/>
          <w:sz w:val="32"/>
          <w:szCs w:val="32"/>
          <w:lang w:val="en-US" w:eastAsia="zh-CN"/>
        </w:rPr>
        <w:t>等工作取得新成效</w:t>
      </w:r>
      <w:r>
        <w:rPr>
          <w:rFonts w:hint="eastAsia" w:ascii="仿宋_GB2312" w:hAnsi="仿宋_GB2312" w:eastAsia="仿宋_GB2312" w:cs="仿宋_GB2312"/>
          <w:sz w:val="32"/>
          <w:szCs w:val="32"/>
          <w:lang w:eastAsia="zh-CN"/>
        </w:rPr>
        <w:t>，高效完成</w:t>
      </w:r>
      <w:r>
        <w:rPr>
          <w:rFonts w:hint="eastAsia" w:ascii="仿宋_GB2312" w:hAnsi="仿宋_GB2312" w:eastAsia="仿宋_GB2312" w:cs="仿宋_GB2312"/>
          <w:sz w:val="32"/>
          <w:szCs w:val="32"/>
          <w:lang w:val="en-US" w:eastAsia="zh-CN"/>
        </w:rPr>
        <w:t>了各项</w:t>
      </w:r>
      <w:r>
        <w:rPr>
          <w:rFonts w:hint="eastAsia" w:ascii="仿宋_GB2312" w:hAnsi="仿宋_GB2312" w:eastAsia="仿宋_GB2312" w:cs="仿宋_GB2312"/>
          <w:sz w:val="32"/>
          <w:szCs w:val="32"/>
          <w:lang w:eastAsia="zh-CN"/>
        </w:rPr>
        <w:t>接待任务</w:t>
      </w: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highlight w:val="none"/>
          <w:lang w:val="en-US" w:eastAsia="zh-CN"/>
        </w:rPr>
        <w:t>目标</w:t>
      </w: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val="en-US" w:eastAsia="zh-CN"/>
        </w:rPr>
        <w:t>完成情况</w:t>
      </w:r>
      <w:r>
        <w:rPr>
          <w:rFonts w:hint="eastAsia" w:ascii="仿宋_GB2312" w:hAnsi="仿宋_GB2312" w:eastAsia="仿宋_GB2312" w:cs="仿宋_GB2312"/>
          <w:sz w:val="32"/>
          <w:szCs w:val="32"/>
          <w:lang w:eastAsia="zh-CN"/>
        </w:rPr>
        <w:t>：优化完善</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lang w:eastAsia="zh-CN"/>
        </w:rPr>
        <w:t>执法程序，持续开展综合整治</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lang w:eastAsia="zh-CN"/>
        </w:rPr>
        <w:t>，扬尘</w:t>
      </w:r>
      <w:r>
        <w:rPr>
          <w:rFonts w:hint="eastAsia" w:ascii="仿宋_GB2312" w:hAnsi="仿宋_GB2312" w:eastAsia="仿宋_GB2312" w:cs="仿宋_GB2312"/>
          <w:sz w:val="32"/>
          <w:szCs w:val="32"/>
          <w:lang w:val="en-US" w:eastAsia="zh-CN"/>
        </w:rPr>
        <w:t>治理</w:t>
      </w:r>
      <w:r>
        <w:rPr>
          <w:rFonts w:hint="eastAsia" w:ascii="仿宋_GB2312" w:hAnsi="仿宋_GB2312" w:eastAsia="仿宋_GB2312" w:cs="仿宋_GB2312"/>
          <w:sz w:val="32"/>
          <w:szCs w:val="32"/>
          <w:lang w:eastAsia="zh-CN"/>
        </w:rPr>
        <w:t>和禁燃禁放</w:t>
      </w:r>
      <w:r>
        <w:rPr>
          <w:rFonts w:hint="eastAsia" w:ascii="仿宋_GB2312" w:hAnsi="仿宋_GB2312" w:eastAsia="仿宋_GB2312" w:cs="仿宋_GB2312"/>
          <w:sz w:val="32"/>
          <w:szCs w:val="32"/>
          <w:lang w:val="en-US" w:eastAsia="zh-CN"/>
        </w:rPr>
        <w:t>得到有效管控；</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highlight w:val="none"/>
          <w:lang w:val="en-US" w:eastAsia="zh-CN"/>
        </w:rPr>
        <w:t>目标</w:t>
      </w:r>
      <w:r>
        <w:rPr>
          <w:rFonts w:hint="eastAsia"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val="en-US" w:eastAsia="zh-CN"/>
        </w:rPr>
        <w:t>完成情况</w:t>
      </w:r>
      <w:r>
        <w:rPr>
          <w:rFonts w:hint="eastAsia" w:ascii="仿宋_GB2312" w:hAnsi="仿宋_GB2312" w:eastAsia="仿宋_GB2312" w:cs="仿宋_GB2312"/>
          <w:sz w:val="32"/>
          <w:szCs w:val="32"/>
          <w:lang w:eastAsia="zh-CN"/>
        </w:rPr>
        <w:t>：及时受理了信访投诉，</w:t>
      </w:r>
      <w:r>
        <w:rPr>
          <w:rFonts w:hint="eastAsia" w:ascii="仿宋_GB2312" w:hAnsi="仿宋_GB2312" w:eastAsia="仿宋_GB2312" w:cs="仿宋_GB2312"/>
          <w:sz w:val="32"/>
          <w:szCs w:val="32"/>
          <w:lang w:val="en-US" w:eastAsia="zh-CN"/>
        </w:rPr>
        <w:t>并有效处置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jc w:val="both"/>
        <w:textAlignment w:val="auto"/>
        <w:rPr>
          <w:rFonts w:hint="default" w:ascii="黑体" w:hAnsi="黑体" w:eastAsia="黑体" w:cs="黑体"/>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2023年，在新港区党工委和市城管局党组的正确领导下，分局上下团结一心，踔厉奋发，以“六大城管”工作理念为指引，以港区年度工作要点为总揽，紧扣全年工作思路，聚焦争创一流目标，圆满完成了年初预定的各项工作任务，市容市貌日新月异、管理职能全面强化、重点工作扎实推进、城市设施不断完善、队伍素质整体提升，在新港区年度绩效考核中再次名列派驻单位前茅。</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beforeLines="50" w:line="600" w:lineRule="exact"/>
        <w:ind w:right="11" w:rightChars="0" w:firstLine="666" w:firstLineChars="200"/>
        <w:jc w:val="both"/>
        <w:textAlignment w:val="baseline"/>
        <w:rPr>
          <w:rFonts w:hint="eastAsia" w:ascii="楷体_GB2312" w:hAnsi="楷体_GB2312" w:eastAsia="楷体_GB2312" w:cs="楷体_GB2312"/>
          <w:b/>
          <w:bCs/>
          <w:spacing w:val="6"/>
          <w:kern w:val="0"/>
          <w:sz w:val="32"/>
          <w:szCs w:val="32"/>
          <w:lang w:val="en-US" w:eastAsia="zh-CN"/>
        </w:rPr>
      </w:pPr>
      <w:r>
        <w:rPr>
          <w:rFonts w:hint="eastAsia" w:ascii="楷体_GB2312" w:hAnsi="楷体_GB2312" w:eastAsia="楷体_GB2312" w:cs="楷体_GB2312"/>
          <w:b/>
          <w:bCs/>
          <w:spacing w:val="6"/>
          <w:kern w:val="0"/>
          <w:sz w:val="32"/>
          <w:szCs w:val="32"/>
          <w:lang w:val="en-US" w:eastAsia="zh-CN"/>
        </w:rPr>
        <w:t>（三）预算资金管理情况</w:t>
      </w:r>
    </w:p>
    <w:p>
      <w:pPr>
        <w:pStyle w:val="2"/>
        <w:keepNext w:val="0"/>
        <w:keepLines w:val="0"/>
        <w:pageBreakBefore w:val="0"/>
        <w:numPr>
          <w:ilvl w:val="0"/>
          <w:numId w:val="0"/>
        </w:numPr>
        <w:wordWrap/>
        <w:overflowPunct/>
        <w:topLinePunct w:val="0"/>
        <w:bidi w:val="0"/>
        <w:spacing w:line="60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中共岳阳市委办公室 岳阳市人民政府办公室关于印发&lt;岳阳市预算绩效管理实施办法&gt;的通知》（岳办发</w:t>
      </w:r>
      <w:r>
        <w:rPr>
          <w:rFonts w:hint="eastAsia" w:ascii="仿宋_GB2312" w:hAnsi="仿宋_GB2312" w:eastAsia="仿宋_GB2312" w:cs="仿宋_GB2312"/>
          <w:b w:val="0"/>
          <w:bCs w:val="0"/>
          <w:sz w:val="32"/>
          <w:szCs w:val="32"/>
          <w:lang w:val="en-US" w:eastAsia="zh-CN"/>
        </w:rPr>
        <w:t>〔2020〕4号）、</w:t>
      </w:r>
      <w:r>
        <w:rPr>
          <w:rFonts w:hint="eastAsia" w:ascii="仿宋_GB2312" w:hAnsi="仿宋_GB2312" w:eastAsia="仿宋_GB2312" w:cs="仿宋_GB2312"/>
          <w:color w:val="auto"/>
          <w:sz w:val="32"/>
          <w:szCs w:val="32"/>
          <w:lang w:eastAsia="zh-CN"/>
        </w:rPr>
        <w:t>岳</w:t>
      </w:r>
      <w:r>
        <w:rPr>
          <w:rFonts w:hint="eastAsia" w:ascii="仿宋_GB2312" w:hAnsi="仿宋_GB2312" w:eastAsia="仿宋_GB2312" w:cs="仿宋_GB2312"/>
          <w:sz w:val="32"/>
          <w:szCs w:val="32"/>
          <w:lang w:eastAsia="zh-CN"/>
        </w:rPr>
        <w:t>阳市</w:t>
      </w:r>
      <w:r>
        <w:rPr>
          <w:rFonts w:hint="eastAsia" w:ascii="仿宋_GB2312" w:hAnsi="仿宋_GB2312" w:eastAsia="仿宋_GB2312" w:cs="仿宋_GB2312"/>
          <w:sz w:val="32"/>
          <w:szCs w:val="32"/>
          <w:lang w:val="en-US" w:eastAsia="zh-CN"/>
        </w:rPr>
        <w:t>预算绩效领导小组《关于印发&lt;2023年度岳阳市绩效管理工作方案&gt;的通知》（岳绩效〔2023〕1号）和其他相关文件要求，分局成立了绩效评价及监督小组，定期开展相关工作。</w:t>
      </w:r>
    </w:p>
    <w:p>
      <w:pPr>
        <w:pStyle w:val="3"/>
        <w:keepNext w:val="0"/>
        <w:keepLines w:val="0"/>
        <w:pageBreakBefore w:val="0"/>
        <w:wordWrap/>
        <w:overflowPunct/>
        <w:topLinePunct w:val="0"/>
        <w:bidi w:val="0"/>
        <w:spacing w:line="600" w:lineRule="exact"/>
        <w:ind w:left="0" w:leftChars="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1、资金预算及绩效管理情况</w:t>
      </w:r>
    </w:p>
    <w:p>
      <w:pPr>
        <w:pStyle w:val="2"/>
        <w:keepNext w:val="0"/>
        <w:keepLines w:val="0"/>
        <w:pageBreakBefore w:val="0"/>
        <w:wordWrap/>
        <w:overflowPunct/>
        <w:topLinePunct w:val="0"/>
        <w:bidi w:val="0"/>
        <w:spacing w:line="600" w:lineRule="exact"/>
        <w:ind w:firstLine="664" w:firstLineChars="200"/>
        <w:rPr>
          <w:rFonts w:hint="eastAsia" w:ascii="仿宋_GB2312" w:hAnsi="仿宋_GB2312" w:eastAsia="仿宋_GB2312" w:cs="仿宋_GB2312"/>
          <w:spacing w:val="6"/>
          <w:kern w:val="0"/>
          <w:sz w:val="32"/>
          <w:szCs w:val="32"/>
          <w:lang w:eastAsia="zh-CN"/>
        </w:rPr>
      </w:pPr>
      <w:r>
        <w:rPr>
          <w:rFonts w:hint="eastAsia" w:ascii="仿宋_GB2312" w:hAnsi="仿宋_GB2312" w:eastAsia="仿宋_GB2312" w:cs="仿宋_GB2312"/>
          <w:spacing w:val="6"/>
          <w:kern w:val="0"/>
          <w:sz w:val="32"/>
          <w:szCs w:val="32"/>
          <w:lang w:val="en-US" w:eastAsia="zh-CN"/>
        </w:rPr>
        <w:t>分局为加强资金</w:t>
      </w:r>
      <w:r>
        <w:rPr>
          <w:rFonts w:hint="eastAsia" w:ascii="仿宋_GB2312" w:hAnsi="仿宋_GB2312" w:eastAsia="仿宋_GB2312" w:cs="仿宋_GB2312"/>
          <w:spacing w:val="6"/>
          <w:kern w:val="0"/>
          <w:sz w:val="32"/>
          <w:szCs w:val="32"/>
        </w:rPr>
        <w:t>管理</w:t>
      </w:r>
      <w:r>
        <w:rPr>
          <w:rFonts w:hint="eastAsia" w:ascii="仿宋_GB2312" w:hAnsi="仿宋_GB2312" w:eastAsia="仿宋_GB2312" w:cs="仿宋_GB2312"/>
          <w:spacing w:val="6"/>
          <w:kern w:val="0"/>
          <w:sz w:val="32"/>
          <w:szCs w:val="32"/>
          <w:lang w:val="en-US" w:eastAsia="zh-CN"/>
        </w:rPr>
        <w:t>，从预算编制环节入手，编制</w:t>
      </w:r>
      <w:r>
        <w:rPr>
          <w:rFonts w:hint="eastAsia" w:ascii="仿宋_GB2312" w:hAnsi="仿宋_GB2312" w:eastAsia="仿宋_GB2312" w:cs="仿宋_GB2312"/>
          <w:spacing w:val="6"/>
          <w:kern w:val="0"/>
          <w:sz w:val="32"/>
          <w:szCs w:val="32"/>
        </w:rPr>
        <w:t>资金预算</w:t>
      </w:r>
      <w:r>
        <w:rPr>
          <w:rFonts w:hint="eastAsia" w:ascii="仿宋_GB2312" w:hAnsi="仿宋_GB2312" w:eastAsia="仿宋_GB2312" w:cs="仿宋_GB2312"/>
          <w:spacing w:val="6"/>
          <w:kern w:val="0"/>
          <w:sz w:val="32"/>
          <w:szCs w:val="32"/>
          <w:lang w:val="en-US" w:eastAsia="zh-CN"/>
        </w:rPr>
        <w:t>必须先</w:t>
      </w:r>
      <w:r>
        <w:rPr>
          <w:rFonts w:hint="eastAsia" w:ascii="仿宋_GB2312" w:hAnsi="仿宋_GB2312" w:eastAsia="仿宋_GB2312" w:cs="仿宋_GB2312"/>
          <w:spacing w:val="6"/>
          <w:kern w:val="0"/>
          <w:sz w:val="32"/>
          <w:szCs w:val="32"/>
        </w:rPr>
        <w:t>编制</w:t>
      </w:r>
      <w:r>
        <w:rPr>
          <w:rFonts w:hint="eastAsia" w:ascii="仿宋_GB2312" w:hAnsi="仿宋_GB2312" w:eastAsia="仿宋_GB2312" w:cs="仿宋_GB2312"/>
          <w:spacing w:val="6"/>
          <w:kern w:val="0"/>
          <w:sz w:val="32"/>
          <w:szCs w:val="32"/>
          <w:lang w:val="en-US" w:eastAsia="zh-CN"/>
        </w:rPr>
        <w:t>预算绩效</w:t>
      </w:r>
      <w:r>
        <w:rPr>
          <w:rFonts w:hint="eastAsia" w:ascii="仿宋_GB2312" w:hAnsi="仿宋_GB2312" w:eastAsia="仿宋_GB2312" w:cs="仿宋_GB2312"/>
          <w:spacing w:val="6"/>
          <w:kern w:val="0"/>
          <w:sz w:val="32"/>
          <w:szCs w:val="32"/>
        </w:rPr>
        <w:t>目标</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做到了预算资金支出有目标，确保财政资金支出效益。于2023年9月底，组织开展了</w:t>
      </w:r>
      <w:r>
        <w:rPr>
          <w:rFonts w:hint="eastAsia" w:ascii="仿宋_GB2312" w:hAnsi="仿宋_GB2312" w:eastAsia="仿宋_GB2312" w:cs="仿宋_GB2312"/>
          <w:spacing w:val="6"/>
          <w:kern w:val="0"/>
          <w:sz w:val="32"/>
          <w:szCs w:val="32"/>
        </w:rPr>
        <w:t>预算执行监控</w:t>
      </w:r>
      <w:r>
        <w:rPr>
          <w:rFonts w:hint="eastAsia" w:ascii="仿宋_GB2312" w:hAnsi="仿宋_GB2312" w:eastAsia="仿宋_GB2312" w:cs="仿宋_GB2312"/>
          <w:spacing w:val="6"/>
          <w:kern w:val="0"/>
          <w:sz w:val="32"/>
          <w:szCs w:val="32"/>
          <w:lang w:val="en-US" w:eastAsia="zh-CN"/>
        </w:rPr>
        <w:t>工作，2024年年5 月开始组织对上年经费支出情况进行绩效评价工作，做到了</w:t>
      </w:r>
      <w:r>
        <w:rPr>
          <w:rFonts w:hint="eastAsia" w:ascii="仿宋_GB2312" w:hAnsi="仿宋_GB2312" w:eastAsia="仿宋_GB2312" w:cs="仿宋_GB2312"/>
          <w:spacing w:val="6"/>
          <w:kern w:val="0"/>
          <w:sz w:val="32"/>
          <w:szCs w:val="32"/>
        </w:rPr>
        <w:t>预算</w:t>
      </w:r>
      <w:r>
        <w:rPr>
          <w:rFonts w:hint="eastAsia" w:ascii="仿宋_GB2312" w:hAnsi="仿宋_GB2312" w:eastAsia="仿宋_GB2312" w:cs="仿宋_GB2312"/>
          <w:spacing w:val="6"/>
          <w:kern w:val="0"/>
          <w:sz w:val="32"/>
          <w:szCs w:val="32"/>
          <w:lang w:val="en-US" w:eastAsia="zh-CN"/>
        </w:rPr>
        <w:t>执行</w:t>
      </w:r>
      <w:r>
        <w:rPr>
          <w:rFonts w:hint="eastAsia" w:ascii="仿宋_GB2312" w:hAnsi="仿宋_GB2312" w:eastAsia="仿宋_GB2312" w:cs="仿宋_GB2312"/>
          <w:spacing w:val="6"/>
          <w:kern w:val="0"/>
          <w:sz w:val="32"/>
          <w:szCs w:val="32"/>
        </w:rPr>
        <w:t>完成有评价</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使单位经济业务从事前、事中、事后得到</w:t>
      </w:r>
      <w:r>
        <w:rPr>
          <w:rFonts w:hint="eastAsia" w:ascii="仿宋_GB2312" w:hAnsi="仿宋_GB2312" w:eastAsia="仿宋_GB2312" w:cs="仿宋_GB2312"/>
          <w:spacing w:val="6"/>
          <w:kern w:val="0"/>
          <w:sz w:val="32"/>
          <w:szCs w:val="32"/>
          <w:lang w:val="en-US" w:eastAsia="zh-CN"/>
        </w:rPr>
        <w:t>了</w:t>
      </w:r>
      <w:r>
        <w:rPr>
          <w:rFonts w:hint="eastAsia" w:ascii="仿宋_GB2312" w:hAnsi="仿宋_GB2312" w:eastAsia="仿宋_GB2312" w:cs="仿宋_GB2312"/>
          <w:spacing w:val="6"/>
          <w:kern w:val="0"/>
          <w:sz w:val="32"/>
          <w:szCs w:val="32"/>
        </w:rPr>
        <w:t>有效管控</w:t>
      </w:r>
      <w:r>
        <w:rPr>
          <w:rFonts w:hint="eastAsia" w:ascii="仿宋_GB2312" w:hAnsi="仿宋_GB2312" w:eastAsia="仿宋_GB2312" w:cs="仿宋_GB2312"/>
          <w:spacing w:val="6"/>
          <w:kern w:val="0"/>
          <w:sz w:val="32"/>
          <w:szCs w:val="32"/>
          <w:lang w:eastAsia="zh-CN"/>
        </w:rPr>
        <w:t>。</w:t>
      </w:r>
    </w:p>
    <w:p>
      <w:pPr>
        <w:pStyle w:val="2"/>
        <w:keepNext w:val="0"/>
        <w:keepLines w:val="0"/>
        <w:pageBreakBefore w:val="0"/>
        <w:wordWrap/>
        <w:overflowPunct/>
        <w:topLinePunct w:val="0"/>
        <w:bidi w:val="0"/>
        <w:spacing w:line="600" w:lineRule="exact"/>
        <w:ind w:firstLine="640" w:firstLineChars="200"/>
        <w:jc w:val="both"/>
        <w:rPr>
          <w:rFonts w:hint="default"/>
          <w:sz w:val="32"/>
          <w:szCs w:val="32"/>
          <w:lang w:val="en-US" w:eastAsia="zh-CN"/>
        </w:rPr>
      </w:pPr>
      <w:r>
        <w:rPr>
          <w:rFonts w:hint="eastAsia" w:ascii="仿宋_GB2312" w:hAnsi="仿宋_GB2312" w:eastAsia="仿宋_GB2312" w:cs="仿宋_GB2312"/>
          <w:bCs/>
          <w:sz w:val="32"/>
          <w:szCs w:val="32"/>
          <w:highlight w:val="none"/>
          <w:lang w:val="en-US" w:eastAsia="zh-CN"/>
        </w:rPr>
        <w:t>2、资产管理情况</w:t>
      </w:r>
    </w:p>
    <w:p>
      <w:pPr>
        <w:pStyle w:val="3"/>
        <w:keepNext w:val="0"/>
        <w:keepLines w:val="0"/>
        <w:pageBreakBefore w:val="0"/>
        <w:wordWrap/>
        <w:overflowPunct/>
        <w:topLinePunct w:val="0"/>
        <w:bidi w:val="0"/>
        <w:spacing w:line="600" w:lineRule="exact"/>
        <w:ind w:left="0" w:leftChars="0" w:firstLine="0" w:firstLineChars="0"/>
        <w:rPr>
          <w:rFonts w:hint="default"/>
          <w:sz w:val="32"/>
          <w:szCs w:val="32"/>
        </w:rPr>
      </w:pPr>
      <w:r>
        <w:rPr>
          <w:rFonts w:hint="eastAsia" w:ascii="仿宋_GB2312" w:hAnsi="仿宋_GB2312" w:eastAsia="仿宋_GB2312" w:cs="仿宋_GB2312"/>
          <w:bCs/>
          <w:sz w:val="32"/>
          <w:szCs w:val="32"/>
          <w:highlight w:val="none"/>
          <w:lang w:val="en-US" w:eastAsia="zh-CN"/>
        </w:rPr>
        <w:t xml:space="preserve">    分局定期开展“三资”清查和资产盘点工作，根据单位工作特点，适时修订了实物管理制度，加强实物管理，定期开展清查盘点工作。按照厉行节约、物尽其用的原则，资产管理采取统一建帐、统一核算管理，对每件固定资产使用明确保管职责，闲置的资产，由办公室统一调整，合理流动，发挥其效益。固定资产配置和处置，均按规定程序办理，并严格按固定资产管理办法进行核算及管理。</w:t>
      </w:r>
    </w:p>
    <w:p>
      <w:pPr>
        <w:keepNext w:val="0"/>
        <w:keepLines w:val="0"/>
        <w:pageBreakBefore w:val="0"/>
        <w:wordWrap/>
        <w:overflowPunct/>
        <w:topLinePunct w:val="0"/>
        <w:bidi w:val="0"/>
        <w:spacing w:line="600" w:lineRule="exact"/>
        <w:rPr>
          <w:rFonts w:hint="eastAsia" w:ascii="仿宋_GB2312" w:hAnsi="仿宋_GB2312" w:eastAsia="仿宋_GB2312" w:cs="仿宋_GB2312"/>
          <w:sz w:val="32"/>
          <w:szCs w:val="32"/>
          <w:lang w:val="en-US" w:eastAsia="zh-CN"/>
        </w:rPr>
      </w:pPr>
      <w:r>
        <w:rPr>
          <w:rFonts w:hint="eastAsia"/>
          <w:sz w:val="32"/>
          <w:szCs w:val="32"/>
          <w:lang w:val="en-US" w:eastAsia="zh-CN"/>
        </w:rPr>
        <w:t xml:space="preserve">    </w:t>
      </w:r>
      <w:r>
        <w:rPr>
          <w:rFonts w:hint="eastAsia" w:ascii="仿宋_GB2312" w:hAnsi="仿宋_GB2312" w:eastAsia="仿宋_GB2312" w:cs="仿宋_GB2312"/>
          <w:sz w:val="32"/>
          <w:szCs w:val="32"/>
          <w:lang w:val="en-US" w:eastAsia="zh-CN"/>
        </w:rPr>
        <w:t>3、政府采购管理情况</w:t>
      </w:r>
    </w:p>
    <w:p>
      <w:pPr>
        <w:pStyle w:val="2"/>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2023年，分局严格按照</w:t>
      </w:r>
      <w:r>
        <w:rPr>
          <w:rFonts w:hint="eastAsia" w:ascii="仿宋_GB2312" w:hAnsi="仿宋_GB2312" w:eastAsia="仿宋_GB2312" w:cs="仿宋_GB2312"/>
          <w:color w:val="auto"/>
          <w:sz w:val="32"/>
          <w:szCs w:val="32"/>
        </w:rPr>
        <w:t>《中华人民共和国政府采购法》</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lang w:val="en-US" w:eastAsia="zh-CN"/>
        </w:rPr>
        <w:t>岳阳市财政局关于印发《岳阳市预算单位政府集中采购目录及标准指引（2022版）》的通知（岳财发〔2022〕2号）和</w:t>
      </w:r>
      <w:r>
        <w:rPr>
          <w:rFonts w:hint="eastAsia" w:ascii="仿宋_GB2312" w:hAnsi="仿宋_GB2312" w:eastAsia="仿宋_GB2312" w:cs="仿宋_GB2312"/>
          <w:sz w:val="32"/>
          <w:szCs w:val="32"/>
        </w:rPr>
        <w:t>湖南省财政厅印发的《湖南省政府采购电子卖场管理办法》（湘财购［2019]27号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等文件规定的标准和程序执行，全年政府采购实际支出金额为56.34万元。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4、运行成本和预算执行情况</w:t>
      </w:r>
    </w:p>
    <w:p>
      <w:pPr>
        <w:pStyle w:val="2"/>
        <w:keepNext w:val="0"/>
        <w:keepLines w:val="0"/>
        <w:pageBreakBefore w:val="0"/>
        <w:numPr>
          <w:ilvl w:val="0"/>
          <w:numId w:val="0"/>
        </w:numPr>
        <w:wordWrap/>
        <w:overflowPunct/>
        <w:topLinePunct w:val="0"/>
        <w:bidi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分局全年预算金额为426.53万元（其中一般公共预算金额为371.92万元、其他资金预算金额为54.61万元），实际支出金额为422.64万元，全部为基本支出（含其他资金支出54.61万元），年度预算执行率为99.09%，单位运行成本控制在年度预算金额内，预算执行率高。</w:t>
      </w:r>
    </w:p>
    <w:p>
      <w:pPr>
        <w:pStyle w:val="3"/>
        <w:keepNext w:val="0"/>
        <w:keepLines w:val="0"/>
        <w:pageBreakBefore w:val="0"/>
        <w:wordWrap/>
        <w:overflowPunct/>
        <w:topLinePunct w:val="0"/>
        <w:bidi w:val="0"/>
        <w:spacing w:line="600" w:lineRule="exact"/>
        <w:ind w:left="0" w:leftChars="0" w:firstLine="321" w:firstLineChars="100"/>
        <w:jc w:val="left"/>
        <w:rPr>
          <w:rFonts w:hint="eastAsia" w:ascii="黑体" w:hAnsi="黑体" w:eastAsia="黑体" w:cs="黑体"/>
          <w:sz w:val="32"/>
          <w:szCs w:val="32"/>
          <w:highlight w:val="none"/>
          <w:lang w:eastAsia="zh-CN"/>
        </w:rPr>
      </w:pPr>
      <w:r>
        <w:rPr>
          <w:rFonts w:hint="eastAsia" w:ascii="仿宋_GB2312" w:hAnsi="仿宋_GB2312" w:eastAsia="仿宋_GB2312" w:cs="仿宋_GB2312"/>
          <w:b/>
          <w:bCs/>
          <w:color w:val="auto"/>
          <w:sz w:val="32"/>
          <w:szCs w:val="32"/>
          <w:u w:val="none"/>
          <w:shd w:val="clear" w:color="auto" w:fill="FFFFFF"/>
          <w:lang w:eastAsia="zh-CN"/>
        </w:rPr>
        <w:t>（</w:t>
      </w:r>
      <w:r>
        <w:rPr>
          <w:rFonts w:hint="eastAsia" w:ascii="仿宋_GB2312" w:hAnsi="仿宋_GB2312" w:eastAsia="仿宋_GB2312" w:cs="仿宋_GB2312"/>
          <w:b/>
          <w:bCs/>
          <w:color w:val="auto"/>
          <w:sz w:val="32"/>
          <w:szCs w:val="32"/>
          <w:u w:val="none"/>
          <w:shd w:val="clear" w:color="auto" w:fill="FFFFFF"/>
          <w:lang w:val="en-US" w:eastAsia="zh-CN"/>
        </w:rPr>
        <w:t>四）</w:t>
      </w:r>
      <w:r>
        <w:rPr>
          <w:rFonts w:hint="eastAsia" w:ascii="仿宋_GB2312" w:hAnsi="仿宋_GB2312" w:eastAsia="仿宋_GB2312" w:cs="仿宋_GB2312"/>
          <w:b/>
          <w:bCs/>
          <w:color w:val="auto"/>
          <w:sz w:val="32"/>
          <w:szCs w:val="32"/>
          <w:u w:val="none"/>
          <w:shd w:val="clear" w:color="auto" w:fill="FFFFFF"/>
        </w:rPr>
        <w:t>主要绩效及评价结论</w:t>
      </w:r>
    </w:p>
    <w:p>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left="20" w:leftChars="7" w:right="11" w:firstLine="664" w:firstLineChars="200"/>
        <w:jc w:val="left"/>
        <w:textAlignment w:val="baseline"/>
        <w:rPr>
          <w:rFonts w:hint="eastAsia" w:ascii="CESI仿宋-GB2312" w:hAnsi="CESI仿宋-GB2312" w:eastAsia="CESI仿宋-GB2312" w:cs="CESI仿宋-GB2312"/>
          <w:spacing w:val="6"/>
          <w:kern w:val="0"/>
          <w:sz w:val="32"/>
          <w:szCs w:val="32"/>
        </w:rPr>
      </w:pPr>
      <w:r>
        <w:rPr>
          <w:rFonts w:hint="eastAsia" w:ascii="CESI仿宋-GB2312" w:hAnsi="CESI仿宋-GB2312" w:eastAsia="CESI仿宋-GB2312" w:cs="CESI仿宋-GB2312"/>
          <w:spacing w:val="6"/>
          <w:kern w:val="0"/>
          <w:sz w:val="32"/>
          <w:szCs w:val="32"/>
          <w:lang w:val="en"/>
        </w:rPr>
        <w:t>1.</w:t>
      </w:r>
      <w:r>
        <w:rPr>
          <w:rFonts w:hint="eastAsia" w:ascii="CESI仿宋-GB2312" w:hAnsi="CESI仿宋-GB2312" w:eastAsia="CESI仿宋-GB2312" w:cs="CESI仿宋-GB2312"/>
          <w:spacing w:val="6"/>
          <w:kern w:val="0"/>
          <w:sz w:val="32"/>
          <w:szCs w:val="32"/>
        </w:rPr>
        <w:t>高位赋能健机制，日常工作常态化。</w:t>
      </w:r>
    </w:p>
    <w:p>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left="20" w:leftChars="7" w:right="11" w:firstLine="664" w:firstLineChars="200"/>
        <w:jc w:val="left"/>
        <w:textAlignment w:val="baseline"/>
        <w:rPr>
          <w:rFonts w:hint="eastAsia" w:ascii="CESI仿宋-GB2312" w:hAnsi="CESI仿宋-GB2312" w:eastAsia="CESI仿宋-GB2312" w:cs="CESI仿宋-GB2312"/>
          <w:spacing w:val="6"/>
          <w:kern w:val="0"/>
          <w:sz w:val="32"/>
          <w:szCs w:val="32"/>
        </w:rPr>
      </w:pPr>
      <w:r>
        <w:rPr>
          <w:rFonts w:hint="eastAsia" w:ascii="CESI仿宋-GB2312" w:hAnsi="CESI仿宋-GB2312" w:eastAsia="CESI仿宋-GB2312" w:cs="CESI仿宋-GB2312"/>
          <w:b w:val="0"/>
          <w:bCs w:val="0"/>
          <w:spacing w:val="6"/>
          <w:kern w:val="0"/>
          <w:sz w:val="32"/>
          <w:szCs w:val="32"/>
        </w:rPr>
        <w:t> </w:t>
      </w:r>
      <w:r>
        <w:rPr>
          <w:rFonts w:hint="eastAsia" w:ascii="CESI仿宋-GB2312" w:hAnsi="CESI仿宋-GB2312" w:eastAsia="CESI仿宋-GB2312" w:cs="CESI仿宋-GB2312"/>
          <w:b w:val="0"/>
          <w:bCs w:val="0"/>
          <w:spacing w:val="6"/>
          <w:kern w:val="0"/>
          <w:sz w:val="32"/>
          <w:szCs w:val="32"/>
          <w:lang w:val="en"/>
        </w:rPr>
        <w:t>(</w:t>
      </w:r>
      <w:r>
        <w:rPr>
          <w:rFonts w:hint="eastAsia" w:ascii="CESI仿宋-GB2312" w:hAnsi="CESI仿宋-GB2312" w:eastAsia="CESI仿宋-GB2312" w:cs="CESI仿宋-GB2312"/>
          <w:b w:val="0"/>
          <w:bCs w:val="0"/>
          <w:spacing w:val="6"/>
          <w:kern w:val="0"/>
          <w:sz w:val="32"/>
          <w:szCs w:val="32"/>
        </w:rPr>
        <w:t>1</w:t>
      </w:r>
      <w:r>
        <w:rPr>
          <w:rFonts w:hint="eastAsia" w:ascii="CESI仿宋-GB2312" w:hAnsi="CESI仿宋-GB2312" w:eastAsia="CESI仿宋-GB2312" w:cs="CESI仿宋-GB2312"/>
          <w:b w:val="0"/>
          <w:bCs w:val="0"/>
          <w:spacing w:val="6"/>
          <w:kern w:val="0"/>
          <w:sz w:val="32"/>
          <w:szCs w:val="32"/>
          <w:lang w:val="en"/>
        </w:rPr>
        <w:t>)</w:t>
      </w:r>
      <w:r>
        <w:rPr>
          <w:rFonts w:hint="eastAsia" w:ascii="CESI仿宋-GB2312" w:hAnsi="CESI仿宋-GB2312" w:eastAsia="CESI仿宋-GB2312" w:cs="CESI仿宋-GB2312"/>
          <w:spacing w:val="6"/>
          <w:kern w:val="0"/>
          <w:sz w:val="32"/>
          <w:szCs w:val="32"/>
        </w:rPr>
        <w:t>健全联动协调机制。积极推动新港区大城管工作机制的形成，成立了港区主要领导牵头挂帅、分管领导靠前指挥、相关部门各司其职的区城管委，进一步完善了工作机制，形成了信息互通、资源共享、多方联动的城市管理“一盘棋”格局，达到了提高工作效率、提升管理水平的目的。全年共发出“交办函”40余份，整改通知书70余份，均已落实回复。</w:t>
      </w:r>
    </w:p>
    <w:p>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left="20" w:leftChars="7" w:right="11" w:firstLine="664" w:firstLineChars="200"/>
        <w:jc w:val="left"/>
        <w:textAlignment w:val="baseline"/>
        <w:rPr>
          <w:rFonts w:hint="eastAsia" w:ascii="CESI仿宋-GB2312" w:hAnsi="CESI仿宋-GB2312" w:eastAsia="CESI仿宋-GB2312" w:cs="CESI仿宋-GB2312"/>
          <w:spacing w:val="6"/>
          <w:kern w:val="0"/>
          <w:sz w:val="32"/>
          <w:szCs w:val="32"/>
        </w:rPr>
      </w:pPr>
      <w:r>
        <w:rPr>
          <w:rFonts w:hint="eastAsia" w:ascii="CESI仿宋-GB2312" w:hAnsi="CESI仿宋-GB2312" w:eastAsia="CESI仿宋-GB2312" w:cs="CESI仿宋-GB2312"/>
          <w:spacing w:val="6"/>
          <w:kern w:val="0"/>
          <w:sz w:val="32"/>
          <w:szCs w:val="32"/>
          <w:lang w:val="en"/>
        </w:rPr>
        <w:t>(</w:t>
      </w:r>
      <w:r>
        <w:rPr>
          <w:rFonts w:hint="eastAsia" w:ascii="CESI仿宋-GB2312" w:hAnsi="CESI仿宋-GB2312" w:eastAsia="CESI仿宋-GB2312" w:cs="CESI仿宋-GB2312"/>
          <w:spacing w:val="6"/>
          <w:kern w:val="0"/>
          <w:sz w:val="32"/>
          <w:szCs w:val="32"/>
        </w:rPr>
        <w:t>2</w:t>
      </w:r>
      <w:r>
        <w:rPr>
          <w:rFonts w:hint="eastAsia" w:ascii="CESI仿宋-GB2312" w:hAnsi="CESI仿宋-GB2312" w:eastAsia="CESI仿宋-GB2312" w:cs="CESI仿宋-GB2312"/>
          <w:spacing w:val="6"/>
          <w:kern w:val="0"/>
          <w:sz w:val="32"/>
          <w:szCs w:val="32"/>
          <w:lang w:val="en"/>
        </w:rPr>
        <w:t>)</w:t>
      </w:r>
      <w:r>
        <w:rPr>
          <w:rFonts w:hint="eastAsia" w:ascii="CESI仿宋-GB2312" w:hAnsi="CESI仿宋-GB2312" w:eastAsia="CESI仿宋-GB2312" w:cs="CESI仿宋-GB2312"/>
          <w:spacing w:val="6"/>
          <w:kern w:val="0"/>
          <w:sz w:val="32"/>
          <w:szCs w:val="32"/>
        </w:rPr>
        <w:t>健全长效管理机制。一是落实领导带班制度。分局班子成员轮流带队，组织相关股（队），采取“夜间巡查+突击检查”的方式，重点查处夜间噪音扰民、流动摊点占道、店外经营、工地渣土无序运输等现象，确保夜间城市管理不松懈、不缺位。二是落实步行看城管制度。实地巡查，查找市容秩序、环境卫生、市政设施、园林绿化、建筑垃圾管理、工地围挡等城市管理方面存在的问题和短板，并及时进行梳理、协调解决，做到领导带班到位、督查人员到位、问题处理到位、督查效果到位。三是落实网格化管理制度。通过分块管理、网格到人、责任到人的方式，每月开展2次以上的集中巡查，做到管理区域全覆盖、无死角，确保城市管理问题及时发现、及时交办、及时解决。                      </w:t>
      </w:r>
    </w:p>
    <w:p>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left="20" w:leftChars="7" w:right="11" w:firstLine="664" w:firstLineChars="200"/>
        <w:jc w:val="left"/>
        <w:textAlignment w:val="baseline"/>
        <w:rPr>
          <w:rFonts w:hint="eastAsia" w:ascii="CESI仿宋-GB2312" w:hAnsi="CESI仿宋-GB2312" w:eastAsia="CESI仿宋-GB2312" w:cs="CESI仿宋-GB2312"/>
          <w:spacing w:val="6"/>
          <w:kern w:val="0"/>
          <w:sz w:val="32"/>
          <w:szCs w:val="32"/>
        </w:rPr>
      </w:pPr>
      <w:r>
        <w:rPr>
          <w:rFonts w:hint="eastAsia" w:ascii="CESI仿宋-GB2312" w:hAnsi="CESI仿宋-GB2312" w:eastAsia="CESI仿宋-GB2312" w:cs="CESI仿宋-GB2312"/>
          <w:spacing w:val="6"/>
          <w:kern w:val="0"/>
          <w:sz w:val="32"/>
          <w:szCs w:val="32"/>
          <w:lang w:val="en"/>
        </w:rPr>
        <w:t>(</w:t>
      </w:r>
      <w:r>
        <w:rPr>
          <w:rFonts w:hint="eastAsia" w:ascii="CESI仿宋-GB2312" w:hAnsi="CESI仿宋-GB2312" w:eastAsia="CESI仿宋-GB2312" w:cs="CESI仿宋-GB2312"/>
          <w:spacing w:val="6"/>
          <w:kern w:val="0"/>
          <w:sz w:val="32"/>
          <w:szCs w:val="32"/>
        </w:rPr>
        <w:t>3</w:t>
      </w:r>
      <w:r>
        <w:rPr>
          <w:rFonts w:hint="eastAsia" w:ascii="CESI仿宋-GB2312" w:hAnsi="CESI仿宋-GB2312" w:eastAsia="CESI仿宋-GB2312" w:cs="CESI仿宋-GB2312"/>
          <w:spacing w:val="6"/>
          <w:kern w:val="0"/>
          <w:sz w:val="32"/>
          <w:szCs w:val="32"/>
          <w:lang w:val="en"/>
        </w:rPr>
        <w:t>)</w:t>
      </w:r>
      <w:r>
        <w:rPr>
          <w:rFonts w:hint="eastAsia" w:ascii="CESI仿宋-GB2312" w:hAnsi="CESI仿宋-GB2312" w:eastAsia="CESI仿宋-GB2312" w:cs="CESI仿宋-GB2312"/>
          <w:spacing w:val="6"/>
          <w:kern w:val="0"/>
          <w:sz w:val="32"/>
          <w:szCs w:val="32"/>
        </w:rPr>
        <w:t>健全层级考核机制。印发了《2023年城陵矶新港区城市标准化管理考核实施细则（试行）》（下称《考核实施细则（试行）》），明确考核内容及考核评分标准，充分发挥考核“指挥棒”作用，以制度抓管理，以督查促落实，实施规范化管理，推动干部职工履职尽责。全年共开展日常考核48次，错时考核23次，专项考核（步行看城管）17次，定时考核36次，受理处置智慧城管平台案件6919条，回复市长信箱案件10条，12345案件195条，做到了件件有回音，事事有落实。</w:t>
      </w:r>
    </w:p>
    <w:p>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left="20" w:leftChars="7" w:right="11" w:firstLine="664" w:firstLineChars="200"/>
        <w:jc w:val="left"/>
        <w:textAlignment w:val="baseline"/>
        <w:rPr>
          <w:rFonts w:hint="eastAsia" w:ascii="CESI仿宋-GB2312" w:hAnsi="CESI仿宋-GB2312" w:eastAsia="CESI仿宋-GB2312" w:cs="CESI仿宋-GB2312"/>
          <w:spacing w:val="6"/>
          <w:kern w:val="0"/>
          <w:sz w:val="32"/>
          <w:szCs w:val="32"/>
        </w:rPr>
      </w:pPr>
      <w:r>
        <w:rPr>
          <w:rFonts w:hint="eastAsia" w:ascii="CESI仿宋-GB2312" w:hAnsi="CESI仿宋-GB2312" w:eastAsia="CESI仿宋-GB2312" w:cs="CESI仿宋-GB2312"/>
          <w:spacing w:val="6"/>
          <w:kern w:val="0"/>
          <w:sz w:val="32"/>
          <w:szCs w:val="32"/>
          <w:lang w:val="en"/>
        </w:rPr>
        <w:t>2.</w:t>
      </w:r>
      <w:r>
        <w:rPr>
          <w:rFonts w:hint="eastAsia" w:ascii="CESI仿宋-GB2312" w:hAnsi="CESI仿宋-GB2312" w:eastAsia="CESI仿宋-GB2312" w:cs="CESI仿宋-GB2312"/>
          <w:spacing w:val="6"/>
          <w:kern w:val="0"/>
          <w:sz w:val="32"/>
          <w:szCs w:val="32"/>
        </w:rPr>
        <w:t>监管拓面强职能，城市管理全域化。</w:t>
      </w:r>
    </w:p>
    <w:p>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left="20" w:leftChars="7" w:right="11" w:firstLine="664" w:firstLineChars="200"/>
        <w:jc w:val="left"/>
        <w:textAlignment w:val="baseline"/>
        <w:rPr>
          <w:rFonts w:hint="eastAsia" w:ascii="CESI仿宋-GB2312" w:hAnsi="CESI仿宋-GB2312" w:eastAsia="CESI仿宋-GB2312" w:cs="CESI仿宋-GB2312"/>
          <w:spacing w:val="6"/>
          <w:kern w:val="0"/>
          <w:sz w:val="32"/>
          <w:szCs w:val="32"/>
        </w:rPr>
      </w:pPr>
      <w:r>
        <w:rPr>
          <w:rFonts w:hint="eastAsia" w:ascii="CESI仿宋-GB2312" w:hAnsi="CESI仿宋-GB2312" w:eastAsia="CESI仿宋-GB2312" w:cs="CESI仿宋-GB2312"/>
          <w:spacing w:val="6"/>
          <w:kern w:val="0"/>
          <w:sz w:val="32"/>
          <w:szCs w:val="32"/>
        </w:rPr>
        <w:t>为全面改善港区城市面貌、整体提升城市管理水平，分局通过拓宽管理区域、强化管理职能、开展专项整治等措施，实现了港区城市管理全域化。今年分局新接管了江一路、茅岭路、联港南路、三叉港路等39条道路，管理区域面积达到约1100万平方米，同时新增了停车管理职能。全年共开展专项行动25次，有力整治了城市疮疤，扮靓了港区形象。</w:t>
      </w:r>
    </w:p>
    <w:p>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left="20" w:leftChars="7" w:right="11" w:firstLine="664" w:firstLineChars="200"/>
        <w:jc w:val="left"/>
        <w:textAlignment w:val="baseline"/>
        <w:rPr>
          <w:rFonts w:hint="eastAsia" w:ascii="CESI仿宋-GB2312" w:hAnsi="CESI仿宋-GB2312" w:eastAsia="CESI仿宋-GB2312" w:cs="CESI仿宋-GB2312"/>
          <w:spacing w:val="6"/>
          <w:kern w:val="0"/>
          <w:sz w:val="32"/>
          <w:szCs w:val="32"/>
        </w:rPr>
      </w:pPr>
      <w:r>
        <w:rPr>
          <w:rFonts w:hint="eastAsia" w:ascii="CESI仿宋-GB2312" w:hAnsi="CESI仿宋-GB2312" w:eastAsia="CESI仿宋-GB2312" w:cs="CESI仿宋-GB2312"/>
          <w:b w:val="0"/>
          <w:bCs w:val="0"/>
          <w:spacing w:val="6"/>
          <w:kern w:val="0"/>
          <w:sz w:val="32"/>
          <w:szCs w:val="32"/>
        </w:rPr>
        <w:t> </w:t>
      </w:r>
      <w:r>
        <w:rPr>
          <w:rFonts w:hint="eastAsia" w:ascii="CESI仿宋-GB2312" w:hAnsi="CESI仿宋-GB2312" w:eastAsia="CESI仿宋-GB2312" w:cs="CESI仿宋-GB2312"/>
          <w:b w:val="0"/>
          <w:bCs w:val="0"/>
          <w:spacing w:val="6"/>
          <w:kern w:val="0"/>
          <w:sz w:val="32"/>
          <w:szCs w:val="32"/>
          <w:lang w:val="en"/>
        </w:rPr>
        <w:t>(</w:t>
      </w:r>
      <w:r>
        <w:rPr>
          <w:rFonts w:hint="eastAsia" w:ascii="CESI仿宋-GB2312" w:hAnsi="CESI仿宋-GB2312" w:eastAsia="CESI仿宋-GB2312" w:cs="CESI仿宋-GB2312"/>
          <w:b w:val="0"/>
          <w:bCs w:val="0"/>
          <w:spacing w:val="6"/>
          <w:kern w:val="0"/>
          <w:sz w:val="32"/>
          <w:szCs w:val="32"/>
        </w:rPr>
        <w:t>1</w:t>
      </w:r>
      <w:r>
        <w:rPr>
          <w:rFonts w:hint="eastAsia" w:ascii="CESI仿宋-GB2312" w:hAnsi="CESI仿宋-GB2312" w:eastAsia="CESI仿宋-GB2312" w:cs="CESI仿宋-GB2312"/>
          <w:b w:val="0"/>
          <w:bCs w:val="0"/>
          <w:spacing w:val="6"/>
          <w:kern w:val="0"/>
          <w:sz w:val="32"/>
          <w:szCs w:val="32"/>
          <w:lang w:val="en"/>
        </w:rPr>
        <w:t>)</w:t>
      </w:r>
      <w:r>
        <w:rPr>
          <w:rFonts w:hint="eastAsia" w:ascii="CESI仿宋-GB2312" w:hAnsi="CESI仿宋-GB2312" w:eastAsia="CESI仿宋-GB2312" w:cs="CESI仿宋-GB2312"/>
          <w:b w:val="0"/>
          <w:bCs w:val="0"/>
          <w:spacing w:val="6"/>
          <w:kern w:val="0"/>
          <w:sz w:val="32"/>
          <w:szCs w:val="32"/>
        </w:rPr>
        <w:t>加</w:t>
      </w:r>
      <w:r>
        <w:rPr>
          <w:rFonts w:hint="eastAsia" w:ascii="CESI仿宋-GB2312" w:hAnsi="CESI仿宋-GB2312" w:eastAsia="CESI仿宋-GB2312" w:cs="CESI仿宋-GB2312"/>
          <w:spacing w:val="6"/>
          <w:kern w:val="0"/>
          <w:sz w:val="32"/>
          <w:szCs w:val="32"/>
        </w:rPr>
        <w:t>强扬尘污染防治。一是油烟整治方面。每周至少开展3次餐饮门店油烟排放治理巡查行动，重点整治未安装油烟净化设施和排放不达标的餐饮门店，对3家油烟排放不达标门店进行了处罚，向18家油烟净化设施不达标门店下达了限期整改通知书。二是渣土调配运输整治方面。通过加强现场勘验、增加巡查频率，整治了车身不洁、带泥上路、抛洒滴漏、随意倾倒和堆放建筑垃圾等违规行为，督促渣土运输项目落实扬尘污染防治“六个百分百”要求，全年共查处违规运输车辆50余台次，督促9家未达标工地整改，发放渣土准运证7000余张、扬尘防治宣传资料300余份。三是垃圾焚烧整治方面。加大对垃圾和秸秆焚烧行为的宣传、劝导，并与环卫、园林等业务单位以及乡街社区联动协作，全年共制止、查处露天焚烧行为80余起。</w:t>
      </w:r>
    </w:p>
    <w:p>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left="20" w:leftChars="7" w:right="11" w:firstLine="664" w:firstLineChars="200"/>
        <w:jc w:val="left"/>
        <w:textAlignment w:val="baseline"/>
        <w:rPr>
          <w:rFonts w:hint="eastAsia" w:ascii="CESI仿宋-GB2312" w:hAnsi="CESI仿宋-GB2312" w:eastAsia="CESI仿宋-GB2312" w:cs="CESI仿宋-GB2312"/>
          <w:spacing w:val="6"/>
          <w:kern w:val="0"/>
          <w:sz w:val="32"/>
          <w:szCs w:val="32"/>
        </w:rPr>
      </w:pPr>
      <w:r>
        <w:rPr>
          <w:rFonts w:hint="eastAsia" w:ascii="CESI仿宋-GB2312" w:hAnsi="CESI仿宋-GB2312" w:eastAsia="CESI仿宋-GB2312" w:cs="CESI仿宋-GB2312"/>
          <w:spacing w:val="6"/>
          <w:kern w:val="0"/>
          <w:sz w:val="32"/>
          <w:szCs w:val="32"/>
          <w:lang w:val="en"/>
        </w:rPr>
        <w:t>(</w:t>
      </w:r>
      <w:r>
        <w:rPr>
          <w:rFonts w:hint="eastAsia" w:ascii="CESI仿宋-GB2312" w:hAnsi="CESI仿宋-GB2312" w:eastAsia="CESI仿宋-GB2312" w:cs="CESI仿宋-GB2312"/>
          <w:spacing w:val="6"/>
          <w:kern w:val="0"/>
          <w:sz w:val="32"/>
          <w:szCs w:val="32"/>
        </w:rPr>
        <w:t>2</w:t>
      </w:r>
      <w:r>
        <w:rPr>
          <w:rFonts w:hint="eastAsia" w:ascii="CESI仿宋-GB2312" w:hAnsi="CESI仿宋-GB2312" w:eastAsia="CESI仿宋-GB2312" w:cs="CESI仿宋-GB2312"/>
          <w:spacing w:val="6"/>
          <w:kern w:val="0"/>
          <w:sz w:val="32"/>
          <w:szCs w:val="32"/>
          <w:lang w:val="en"/>
        </w:rPr>
        <w:t>)</w:t>
      </w:r>
      <w:r>
        <w:rPr>
          <w:rFonts w:hint="eastAsia" w:ascii="CESI仿宋-GB2312" w:hAnsi="CESI仿宋-GB2312" w:eastAsia="CESI仿宋-GB2312" w:cs="CESI仿宋-GB2312"/>
          <w:spacing w:val="6"/>
          <w:kern w:val="0"/>
          <w:sz w:val="32"/>
          <w:szCs w:val="32"/>
        </w:rPr>
        <w:t>加强施工围挡管理。持续开展临时围挡集中整治行动，重点整治围而不建、围而缓建、占压排水井等问题，做到拆除一批、整改一批、提档一批，确保园区形象得到有效提升。自围挡整治行动开展以来，督促东风大道、港南路、EOD等3个项目按新规设置新型固定围挡，督促长江大道华润燃气高压管等10余个破道施工项目进行围挡提质。</w:t>
      </w:r>
    </w:p>
    <w:p>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left="20" w:leftChars="7" w:right="11" w:firstLine="664" w:firstLineChars="200"/>
        <w:jc w:val="left"/>
        <w:textAlignment w:val="baseline"/>
        <w:rPr>
          <w:rFonts w:hint="eastAsia" w:ascii="CESI仿宋-GB2312" w:hAnsi="CESI仿宋-GB2312" w:eastAsia="CESI仿宋-GB2312" w:cs="CESI仿宋-GB2312"/>
          <w:spacing w:val="6"/>
          <w:kern w:val="0"/>
          <w:sz w:val="32"/>
          <w:szCs w:val="32"/>
        </w:rPr>
      </w:pPr>
      <w:r>
        <w:rPr>
          <w:rFonts w:hint="eastAsia" w:ascii="CESI仿宋-GB2312" w:hAnsi="CESI仿宋-GB2312" w:eastAsia="CESI仿宋-GB2312" w:cs="CESI仿宋-GB2312"/>
          <w:spacing w:val="6"/>
          <w:kern w:val="0"/>
          <w:sz w:val="32"/>
          <w:szCs w:val="32"/>
          <w:lang w:val="en"/>
        </w:rPr>
        <w:t>(</w:t>
      </w:r>
      <w:r>
        <w:rPr>
          <w:rFonts w:hint="eastAsia" w:ascii="CESI仿宋-GB2312" w:hAnsi="CESI仿宋-GB2312" w:eastAsia="CESI仿宋-GB2312" w:cs="CESI仿宋-GB2312"/>
          <w:spacing w:val="6"/>
          <w:kern w:val="0"/>
          <w:sz w:val="32"/>
          <w:szCs w:val="32"/>
        </w:rPr>
        <w:t>3</w:t>
      </w:r>
      <w:r>
        <w:rPr>
          <w:rFonts w:hint="eastAsia" w:ascii="CESI仿宋-GB2312" w:hAnsi="CESI仿宋-GB2312" w:eastAsia="CESI仿宋-GB2312" w:cs="CESI仿宋-GB2312"/>
          <w:spacing w:val="6"/>
          <w:kern w:val="0"/>
          <w:sz w:val="32"/>
          <w:szCs w:val="32"/>
          <w:lang w:val="en"/>
        </w:rPr>
        <w:t>)</w:t>
      </w:r>
      <w:r>
        <w:rPr>
          <w:rFonts w:hint="eastAsia" w:ascii="CESI仿宋-GB2312" w:hAnsi="CESI仿宋-GB2312" w:eastAsia="CESI仿宋-GB2312" w:cs="CESI仿宋-GB2312"/>
          <w:spacing w:val="6"/>
          <w:kern w:val="0"/>
          <w:sz w:val="32"/>
          <w:szCs w:val="32"/>
        </w:rPr>
        <w:t>加强户外广告整治。对户外广告、门店招牌、立柱广告进行了安全隐患排查，向存在安全隐患的广告设施业主单位下达整改通知书，要求立即维修或拆除；共收缴违规设置的立柱广告20余个，清除破旧广告牌10余处，整改广告牌9个；对主干道路灯设备上的“牛皮癣”广告进行8次彻底清理，共处理“牛皮癣”广告500余处。</w:t>
      </w:r>
    </w:p>
    <w:p>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left="20" w:leftChars="7" w:right="11" w:firstLine="664" w:firstLineChars="200"/>
        <w:jc w:val="left"/>
        <w:textAlignment w:val="baseline"/>
        <w:rPr>
          <w:rFonts w:hint="eastAsia" w:ascii="CESI仿宋-GB2312" w:hAnsi="CESI仿宋-GB2312" w:eastAsia="CESI仿宋-GB2312" w:cs="CESI仿宋-GB2312"/>
          <w:spacing w:val="6"/>
          <w:kern w:val="0"/>
          <w:sz w:val="32"/>
          <w:szCs w:val="32"/>
        </w:rPr>
      </w:pPr>
      <w:r>
        <w:rPr>
          <w:rFonts w:hint="eastAsia" w:ascii="CESI仿宋-GB2312" w:hAnsi="CESI仿宋-GB2312" w:eastAsia="CESI仿宋-GB2312" w:cs="CESI仿宋-GB2312"/>
          <w:spacing w:val="6"/>
          <w:kern w:val="0"/>
          <w:sz w:val="32"/>
          <w:szCs w:val="32"/>
          <w:lang w:val="en"/>
        </w:rPr>
        <w:t>(</w:t>
      </w:r>
      <w:r>
        <w:rPr>
          <w:rFonts w:hint="eastAsia" w:ascii="CESI仿宋-GB2312" w:hAnsi="CESI仿宋-GB2312" w:eastAsia="CESI仿宋-GB2312" w:cs="CESI仿宋-GB2312"/>
          <w:spacing w:val="6"/>
          <w:kern w:val="0"/>
          <w:sz w:val="32"/>
          <w:szCs w:val="32"/>
        </w:rPr>
        <w:t>4</w:t>
      </w:r>
      <w:r>
        <w:rPr>
          <w:rFonts w:hint="eastAsia" w:ascii="CESI仿宋-GB2312" w:hAnsi="CESI仿宋-GB2312" w:eastAsia="CESI仿宋-GB2312" w:cs="CESI仿宋-GB2312"/>
          <w:spacing w:val="6"/>
          <w:kern w:val="0"/>
          <w:sz w:val="32"/>
          <w:szCs w:val="32"/>
          <w:lang w:val="en"/>
        </w:rPr>
        <w:t>)</w:t>
      </w:r>
      <w:r>
        <w:rPr>
          <w:rFonts w:hint="eastAsia" w:ascii="CESI仿宋-GB2312" w:hAnsi="CESI仿宋-GB2312" w:eastAsia="CESI仿宋-GB2312" w:cs="CESI仿宋-GB2312"/>
          <w:spacing w:val="6"/>
          <w:kern w:val="0"/>
          <w:sz w:val="32"/>
          <w:szCs w:val="32"/>
        </w:rPr>
        <w:t>加强燃气隐患排查。一是坚持每月定期由主要领导带队对港区范围重点燃气用户开展燃气安全检查工作，确保各类安全隐患发现及时，整改及时。二是建立联合巡查制度，督促华润临港分公司落实巡线制度，对在天然气管道附近作业施工的项目发放天燃气管道保护告知书，并采取施工现场插放警示旗、专人现场指导、砌筑管沟保护处理等措施，确保燃气管道安全。三是联合华润临港分公司开展燃气安全专题宣传和“敲门行动”等活动，进一步提高辖区燃气用户安全用气防范意识。</w:t>
      </w:r>
    </w:p>
    <w:p>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left="20" w:leftChars="7" w:right="11" w:firstLine="664" w:firstLineChars="200"/>
        <w:jc w:val="left"/>
        <w:textAlignment w:val="baseline"/>
        <w:rPr>
          <w:rFonts w:hint="eastAsia" w:ascii="CESI仿宋-GB2312" w:hAnsi="CESI仿宋-GB2312" w:eastAsia="CESI仿宋-GB2312" w:cs="CESI仿宋-GB2312"/>
          <w:spacing w:val="6"/>
          <w:kern w:val="0"/>
          <w:sz w:val="32"/>
          <w:szCs w:val="32"/>
        </w:rPr>
      </w:pPr>
      <w:r>
        <w:rPr>
          <w:rFonts w:hint="eastAsia" w:ascii="CESI仿宋-GB2312" w:hAnsi="CESI仿宋-GB2312" w:eastAsia="CESI仿宋-GB2312" w:cs="CESI仿宋-GB2312"/>
          <w:spacing w:val="6"/>
          <w:kern w:val="0"/>
          <w:sz w:val="32"/>
          <w:szCs w:val="32"/>
          <w:lang w:val="en"/>
        </w:rPr>
        <w:t>(</w:t>
      </w:r>
      <w:r>
        <w:rPr>
          <w:rFonts w:hint="eastAsia" w:ascii="CESI仿宋-GB2312" w:hAnsi="CESI仿宋-GB2312" w:eastAsia="CESI仿宋-GB2312" w:cs="CESI仿宋-GB2312"/>
          <w:spacing w:val="6"/>
          <w:kern w:val="0"/>
          <w:sz w:val="32"/>
          <w:szCs w:val="32"/>
        </w:rPr>
        <w:t>5</w:t>
      </w:r>
      <w:r>
        <w:rPr>
          <w:rFonts w:hint="eastAsia" w:ascii="CESI仿宋-GB2312" w:hAnsi="CESI仿宋-GB2312" w:eastAsia="CESI仿宋-GB2312" w:cs="CESI仿宋-GB2312"/>
          <w:spacing w:val="6"/>
          <w:kern w:val="0"/>
          <w:sz w:val="32"/>
          <w:szCs w:val="32"/>
          <w:lang w:val="en"/>
        </w:rPr>
        <w:t>)</w:t>
      </w:r>
      <w:r>
        <w:rPr>
          <w:rFonts w:hint="eastAsia" w:ascii="CESI仿宋-GB2312" w:hAnsi="CESI仿宋-GB2312" w:eastAsia="CESI仿宋-GB2312" w:cs="CESI仿宋-GB2312"/>
          <w:spacing w:val="6"/>
          <w:kern w:val="0"/>
          <w:sz w:val="32"/>
          <w:szCs w:val="32"/>
        </w:rPr>
        <w:t>规范停车管理秩序。一是宣传造势。为了既保证停车管理工作顺利推进，又避免影响港区营商环境，在停车管理全面启动之初，通过现场温馨劝导、张贴温馨提示单等方式，加大了宣传力度，引导市民摈弃车辆乱停乱放的陋习，让规范停车、文明停车意识深入人心。二是严管立威。从今年10月下旬开始，配备了4台手持PDA执法仪，先行在联港路、海关路等主干道实行违停执法试点，对于屡教不改的车辆乱停乱放行为进行处罚，取得了较好的震慑效果，上述区域乱停乱放现象大为好转。三是拓点增量。在加强严管的同时，多管齐下做好堵疏结合文章。通过清理“僵尸车”，腾出长期被占用的停车泊位20个；通过协调临街单位和小区，开放小区和前坪停车泊位108个；通过盘活现有公共区域资源，增设停车泊位640个；通过公共绿地建设契机，分别在汇川、锂电池、紫光、五中等处公共绿地配套新建生态停车泊位130余个。</w:t>
      </w:r>
    </w:p>
    <w:p>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left="20" w:leftChars="7" w:right="11" w:firstLine="664" w:firstLineChars="200"/>
        <w:jc w:val="left"/>
        <w:textAlignment w:val="baseline"/>
        <w:rPr>
          <w:rFonts w:hint="eastAsia" w:ascii="CESI仿宋-GB2312" w:hAnsi="CESI仿宋-GB2312" w:eastAsia="CESI仿宋-GB2312" w:cs="CESI仿宋-GB2312"/>
          <w:spacing w:val="6"/>
          <w:kern w:val="0"/>
          <w:sz w:val="32"/>
          <w:szCs w:val="32"/>
        </w:rPr>
      </w:pPr>
      <w:r>
        <w:rPr>
          <w:rFonts w:hint="eastAsia" w:ascii="CESI仿宋-GB2312" w:hAnsi="CESI仿宋-GB2312" w:eastAsia="CESI仿宋-GB2312" w:cs="CESI仿宋-GB2312"/>
          <w:spacing w:val="6"/>
          <w:kern w:val="0"/>
          <w:sz w:val="32"/>
          <w:szCs w:val="32"/>
          <w:lang w:val="en"/>
        </w:rPr>
        <w:t>3.</w:t>
      </w:r>
      <w:r>
        <w:rPr>
          <w:rFonts w:hint="eastAsia" w:ascii="CESI仿宋-GB2312" w:hAnsi="CESI仿宋-GB2312" w:eastAsia="CESI仿宋-GB2312" w:cs="CESI仿宋-GB2312"/>
          <w:spacing w:val="6"/>
          <w:kern w:val="0"/>
          <w:sz w:val="32"/>
          <w:szCs w:val="32"/>
        </w:rPr>
        <w:t>管养求精提标准，维护水平精细化。</w:t>
      </w:r>
    </w:p>
    <w:p>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left="20" w:leftChars="7" w:right="11" w:firstLine="664" w:firstLineChars="200"/>
        <w:jc w:val="left"/>
        <w:textAlignment w:val="baseline"/>
        <w:rPr>
          <w:rFonts w:hint="eastAsia" w:ascii="CESI仿宋-GB2312" w:hAnsi="CESI仿宋-GB2312" w:eastAsia="CESI仿宋-GB2312" w:cs="CESI仿宋-GB2312"/>
          <w:spacing w:val="6"/>
          <w:kern w:val="0"/>
          <w:sz w:val="32"/>
          <w:szCs w:val="32"/>
        </w:rPr>
      </w:pPr>
      <w:r>
        <w:rPr>
          <w:rFonts w:hint="eastAsia" w:ascii="CESI仿宋-GB2312" w:hAnsi="CESI仿宋-GB2312" w:eastAsia="CESI仿宋-GB2312" w:cs="CESI仿宋-GB2312"/>
          <w:spacing w:val="6"/>
          <w:kern w:val="0"/>
          <w:sz w:val="32"/>
          <w:szCs w:val="32"/>
        </w:rPr>
        <w:t>为打造宜居生态型园区，以建设“全省最美，全国一流”园区为工作目标，全面加大了对园林绿化、环境卫生、市政道路等事关港区形象的城市维护管养工作的监管力度。</w:t>
      </w:r>
    </w:p>
    <w:p>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left="20" w:leftChars="7" w:right="11" w:firstLine="664" w:firstLineChars="200"/>
        <w:jc w:val="left"/>
        <w:textAlignment w:val="baseline"/>
        <w:rPr>
          <w:rFonts w:hint="eastAsia" w:ascii="CESI仿宋-GB2312" w:hAnsi="CESI仿宋-GB2312" w:eastAsia="CESI仿宋-GB2312" w:cs="CESI仿宋-GB2312"/>
          <w:spacing w:val="6"/>
          <w:kern w:val="0"/>
          <w:sz w:val="32"/>
          <w:szCs w:val="32"/>
        </w:rPr>
      </w:pPr>
      <w:r>
        <w:rPr>
          <w:rFonts w:hint="eastAsia" w:ascii="CESI仿宋-GB2312" w:hAnsi="CESI仿宋-GB2312" w:eastAsia="CESI仿宋-GB2312" w:cs="CESI仿宋-GB2312"/>
          <w:spacing w:val="6"/>
          <w:kern w:val="0"/>
          <w:sz w:val="32"/>
          <w:szCs w:val="32"/>
          <w:lang w:val="en"/>
        </w:rPr>
        <w:t>(</w:t>
      </w:r>
      <w:r>
        <w:rPr>
          <w:rFonts w:hint="eastAsia" w:ascii="CESI仿宋-GB2312" w:hAnsi="CESI仿宋-GB2312" w:eastAsia="CESI仿宋-GB2312" w:cs="CESI仿宋-GB2312"/>
          <w:spacing w:val="6"/>
          <w:kern w:val="0"/>
          <w:sz w:val="32"/>
          <w:szCs w:val="32"/>
        </w:rPr>
        <w:t>1</w:t>
      </w:r>
      <w:r>
        <w:rPr>
          <w:rFonts w:hint="eastAsia" w:ascii="CESI仿宋-GB2312" w:hAnsi="CESI仿宋-GB2312" w:eastAsia="CESI仿宋-GB2312" w:cs="CESI仿宋-GB2312"/>
          <w:spacing w:val="6"/>
          <w:kern w:val="0"/>
          <w:sz w:val="32"/>
          <w:szCs w:val="32"/>
          <w:lang w:val="en"/>
        </w:rPr>
        <w:t>)</w:t>
      </w:r>
      <w:r>
        <w:rPr>
          <w:rFonts w:hint="eastAsia" w:ascii="CESI仿宋-GB2312" w:hAnsi="CESI仿宋-GB2312" w:eastAsia="CESI仿宋-GB2312" w:cs="CESI仿宋-GB2312"/>
          <w:spacing w:val="6"/>
          <w:kern w:val="0"/>
          <w:sz w:val="32"/>
          <w:szCs w:val="32"/>
        </w:rPr>
        <w:t>绿化管理升级，打造宜人生态景观。一是标准化养护。根据市“六区”考核管养要求，对绿地进行标准化、科学化养护。二是精品化管理。对辖区主干道中心及侧面绿化带、行道树实施了围隔草沟开挖，共计开挖隔草沟9460米；对辖区内存在缺株死株及黄土裸露现象的区域进行补植，共补植树木866株，绿地4690平方米；为确保整体绿化效果，对未接管区域的裸土进行机械平整、盖膜，共计整理2451平方米。辖区范围内的白杨湖、芭蕉湖绿地等公园加强了绿化配套设施的建设和养护力度，园内植被生长更加茂盛，整体景观效果显著提升。</w:t>
      </w:r>
    </w:p>
    <w:p>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left="20" w:leftChars="7" w:right="11" w:firstLine="664" w:firstLineChars="200"/>
        <w:jc w:val="left"/>
        <w:textAlignment w:val="baseline"/>
        <w:rPr>
          <w:rFonts w:hint="eastAsia" w:ascii="CESI仿宋-GB2312" w:hAnsi="CESI仿宋-GB2312" w:eastAsia="CESI仿宋-GB2312" w:cs="CESI仿宋-GB2312"/>
          <w:spacing w:val="6"/>
          <w:kern w:val="0"/>
          <w:sz w:val="32"/>
          <w:szCs w:val="32"/>
        </w:rPr>
      </w:pPr>
      <w:r>
        <w:rPr>
          <w:rFonts w:hint="eastAsia" w:ascii="CESI仿宋-GB2312" w:hAnsi="CESI仿宋-GB2312" w:eastAsia="CESI仿宋-GB2312" w:cs="CESI仿宋-GB2312"/>
          <w:spacing w:val="6"/>
          <w:kern w:val="0"/>
          <w:sz w:val="32"/>
          <w:szCs w:val="32"/>
          <w:lang w:val="en"/>
        </w:rPr>
        <w:t>(</w:t>
      </w:r>
      <w:r>
        <w:rPr>
          <w:rFonts w:hint="eastAsia" w:ascii="CESI仿宋-GB2312" w:hAnsi="CESI仿宋-GB2312" w:eastAsia="CESI仿宋-GB2312" w:cs="CESI仿宋-GB2312"/>
          <w:spacing w:val="6"/>
          <w:kern w:val="0"/>
          <w:sz w:val="32"/>
          <w:szCs w:val="32"/>
        </w:rPr>
        <w:t>2</w:t>
      </w:r>
      <w:r>
        <w:rPr>
          <w:rFonts w:hint="eastAsia" w:ascii="CESI仿宋-GB2312" w:hAnsi="CESI仿宋-GB2312" w:eastAsia="CESI仿宋-GB2312" w:cs="CESI仿宋-GB2312"/>
          <w:spacing w:val="6"/>
          <w:kern w:val="0"/>
          <w:sz w:val="32"/>
          <w:szCs w:val="32"/>
          <w:lang w:val="en"/>
        </w:rPr>
        <w:t>)</w:t>
      </w:r>
      <w:r>
        <w:rPr>
          <w:rFonts w:hint="eastAsia" w:ascii="CESI仿宋-GB2312" w:hAnsi="CESI仿宋-GB2312" w:eastAsia="CESI仿宋-GB2312" w:cs="CESI仿宋-GB2312"/>
          <w:spacing w:val="6"/>
          <w:kern w:val="0"/>
          <w:sz w:val="32"/>
          <w:szCs w:val="32"/>
        </w:rPr>
        <w:t>清扫保洁加力，打造宜居城市环境。一是调整清扫模式。结合主次干道道路特点，合理调优保洁模式，机械清扫和人工保洁有机结合，对车行道加大机械清扫力度，对人行道和非机动车道的白色垃圾、烟头、纸屑清理则采用人工快速保洁模式，减少垃圾的落地时间。二是增加冲洗频次。出动洗扫车、洒水车、高压清洗车、护栏冲洗车、雾炮车进行机械化组合作业，对人行道、路沿石等进行冲洗。三是及时清理维修。果皮桶每日清洗一次，确保垃圾容器干净整洁，做到清掏、清运及时。对管辖内钩臂桶、塑料密封桶等垃圾容器全面维修维护，对破旧和缺失分类标识的垃圾桶进行维修更换。</w:t>
      </w:r>
    </w:p>
    <w:p>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left="20" w:leftChars="7" w:right="11" w:firstLine="664" w:firstLineChars="200"/>
        <w:jc w:val="left"/>
        <w:textAlignment w:val="baseline"/>
        <w:rPr>
          <w:rFonts w:hint="eastAsia" w:ascii="CESI仿宋-GB2312" w:hAnsi="CESI仿宋-GB2312" w:eastAsia="CESI仿宋-GB2312" w:cs="CESI仿宋-GB2312"/>
          <w:spacing w:val="6"/>
          <w:kern w:val="0"/>
          <w:sz w:val="32"/>
          <w:szCs w:val="32"/>
        </w:rPr>
      </w:pPr>
      <w:r>
        <w:rPr>
          <w:rFonts w:hint="eastAsia" w:ascii="CESI仿宋-GB2312" w:hAnsi="CESI仿宋-GB2312" w:eastAsia="CESI仿宋-GB2312" w:cs="CESI仿宋-GB2312"/>
          <w:spacing w:val="6"/>
          <w:kern w:val="0"/>
          <w:sz w:val="32"/>
          <w:szCs w:val="32"/>
          <w:lang w:val="en"/>
        </w:rPr>
        <w:t>(</w:t>
      </w:r>
      <w:r>
        <w:rPr>
          <w:rFonts w:hint="eastAsia" w:ascii="CESI仿宋-GB2312" w:hAnsi="CESI仿宋-GB2312" w:eastAsia="CESI仿宋-GB2312" w:cs="CESI仿宋-GB2312"/>
          <w:spacing w:val="6"/>
          <w:kern w:val="0"/>
          <w:sz w:val="32"/>
          <w:szCs w:val="32"/>
        </w:rPr>
        <w:t>3</w:t>
      </w:r>
      <w:r>
        <w:rPr>
          <w:rFonts w:hint="eastAsia" w:ascii="CESI仿宋-GB2312" w:hAnsi="CESI仿宋-GB2312" w:eastAsia="CESI仿宋-GB2312" w:cs="CESI仿宋-GB2312"/>
          <w:spacing w:val="6"/>
          <w:kern w:val="0"/>
          <w:sz w:val="32"/>
          <w:szCs w:val="32"/>
          <w:lang w:val="en"/>
        </w:rPr>
        <w:t>)</w:t>
      </w:r>
      <w:r>
        <w:rPr>
          <w:rFonts w:hint="eastAsia" w:ascii="CESI仿宋-GB2312" w:hAnsi="CESI仿宋-GB2312" w:eastAsia="CESI仿宋-GB2312" w:cs="CESI仿宋-GB2312"/>
          <w:spacing w:val="6"/>
          <w:kern w:val="0"/>
          <w:sz w:val="32"/>
          <w:szCs w:val="32"/>
        </w:rPr>
        <w:t>市政管理细作，提升宜行服务水平。一是对港区范围内已接管的70126米雨水管网和43347米污水管网进行了全面摸排，建立了信息化排水管网运行系统，制作了新港区雨污水管网电子图册。同时加大了维护力度，尤其在雨季前进行全面检查和疏通，防止道路积水、雨污混流、污水横流等现象的发生。二是对道路和桥梁进行定期巡查，发现破损及时修复，确保道路平整干净、桥梁结构安全和正常使用。三是对路灯进行定期巡检，及时更换损坏的灯泡和灯具，确保港区路灯等照明亮化设施的亮灯率达到98%、完好率达到100%。全年共开展夜间巡查96次，处置各类线路故障52处。</w:t>
      </w:r>
    </w:p>
    <w:p>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left="20" w:leftChars="7" w:right="11" w:firstLine="664" w:firstLineChars="200"/>
        <w:jc w:val="left"/>
        <w:textAlignment w:val="baseline"/>
        <w:rPr>
          <w:rFonts w:hint="eastAsia" w:ascii="CESI仿宋-GB2312" w:hAnsi="CESI仿宋-GB2312" w:eastAsia="CESI仿宋-GB2312" w:cs="CESI仿宋-GB2312"/>
          <w:spacing w:val="6"/>
          <w:kern w:val="0"/>
          <w:sz w:val="32"/>
          <w:szCs w:val="32"/>
        </w:rPr>
      </w:pPr>
      <w:r>
        <w:rPr>
          <w:rFonts w:hint="eastAsia" w:ascii="CESI仿宋-GB2312" w:hAnsi="CESI仿宋-GB2312" w:eastAsia="CESI仿宋-GB2312" w:cs="CESI仿宋-GB2312"/>
          <w:spacing w:val="6"/>
          <w:kern w:val="0"/>
          <w:sz w:val="32"/>
          <w:szCs w:val="32"/>
          <w:lang w:val="en"/>
        </w:rPr>
        <w:t>4.</w:t>
      </w:r>
      <w:r>
        <w:rPr>
          <w:rFonts w:hint="eastAsia" w:ascii="CESI仿宋-GB2312" w:hAnsi="CESI仿宋-GB2312" w:eastAsia="CESI仿宋-GB2312" w:cs="CESI仿宋-GB2312"/>
          <w:spacing w:val="6"/>
          <w:kern w:val="0"/>
          <w:sz w:val="32"/>
          <w:szCs w:val="32"/>
        </w:rPr>
        <w:t>配套强基出亮点，民生实事有形化。</w:t>
      </w:r>
    </w:p>
    <w:p>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left="20" w:leftChars="7" w:right="11" w:firstLine="664" w:firstLineChars="200"/>
        <w:jc w:val="left"/>
        <w:textAlignment w:val="baseline"/>
        <w:rPr>
          <w:rFonts w:hint="eastAsia" w:ascii="CESI仿宋-GB2312" w:hAnsi="CESI仿宋-GB2312" w:eastAsia="CESI仿宋-GB2312" w:cs="CESI仿宋-GB2312"/>
          <w:spacing w:val="6"/>
          <w:kern w:val="0"/>
          <w:sz w:val="32"/>
          <w:szCs w:val="32"/>
        </w:rPr>
      </w:pPr>
      <w:r>
        <w:rPr>
          <w:rFonts w:hint="eastAsia" w:ascii="CESI仿宋-GB2312" w:hAnsi="CESI仿宋-GB2312" w:eastAsia="CESI仿宋-GB2312" w:cs="CESI仿宋-GB2312"/>
          <w:spacing w:val="6"/>
          <w:kern w:val="0"/>
          <w:sz w:val="32"/>
          <w:szCs w:val="32"/>
        </w:rPr>
        <w:t>分局聚焦民生重点，着眼民生福祉，注重改善生态环境，持续办好民生实事，实施了一批港区市民群众看得见、摸得着的惠民项目、德政工程。</w:t>
      </w:r>
    </w:p>
    <w:p>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left="20" w:leftChars="7" w:right="11" w:firstLine="664" w:firstLineChars="200"/>
        <w:jc w:val="left"/>
        <w:textAlignment w:val="baseline"/>
        <w:rPr>
          <w:rFonts w:hint="eastAsia" w:ascii="CESI仿宋-GB2312" w:hAnsi="CESI仿宋-GB2312" w:eastAsia="CESI仿宋-GB2312" w:cs="CESI仿宋-GB2312"/>
          <w:spacing w:val="6"/>
          <w:kern w:val="0"/>
          <w:sz w:val="32"/>
          <w:szCs w:val="32"/>
        </w:rPr>
      </w:pPr>
      <w:r>
        <w:rPr>
          <w:rFonts w:hint="eastAsia" w:ascii="CESI仿宋-GB2312" w:hAnsi="CESI仿宋-GB2312" w:eastAsia="CESI仿宋-GB2312" w:cs="CESI仿宋-GB2312"/>
          <w:spacing w:val="6"/>
          <w:kern w:val="0"/>
          <w:sz w:val="32"/>
          <w:szCs w:val="32"/>
          <w:lang w:val="en"/>
        </w:rPr>
        <w:t>(</w:t>
      </w:r>
      <w:r>
        <w:rPr>
          <w:rFonts w:hint="eastAsia" w:ascii="CESI仿宋-GB2312" w:hAnsi="CESI仿宋-GB2312" w:eastAsia="CESI仿宋-GB2312" w:cs="CESI仿宋-GB2312"/>
          <w:spacing w:val="6"/>
          <w:kern w:val="0"/>
          <w:sz w:val="32"/>
          <w:szCs w:val="32"/>
        </w:rPr>
        <w:t>1</w:t>
      </w:r>
      <w:r>
        <w:rPr>
          <w:rFonts w:hint="eastAsia" w:ascii="CESI仿宋-GB2312" w:hAnsi="CESI仿宋-GB2312" w:eastAsia="CESI仿宋-GB2312" w:cs="CESI仿宋-GB2312"/>
          <w:spacing w:val="6"/>
          <w:kern w:val="0"/>
          <w:sz w:val="32"/>
          <w:szCs w:val="32"/>
          <w:lang w:val="en"/>
        </w:rPr>
        <w:t>)</w:t>
      </w:r>
      <w:r>
        <w:rPr>
          <w:rFonts w:hint="eastAsia" w:ascii="CESI仿宋-GB2312" w:hAnsi="CESI仿宋-GB2312" w:eastAsia="CESI仿宋-GB2312" w:cs="CESI仿宋-GB2312"/>
          <w:spacing w:val="6"/>
          <w:kern w:val="0"/>
          <w:sz w:val="32"/>
          <w:szCs w:val="32"/>
        </w:rPr>
        <w:t>强力推进生活垃圾分类工作。2023年，在省、市生活垃圾分类工作管理部门的指导下，港区生活垃圾分类工作强力有序推进。一是落实责任，建立机制。年初成立了湖南城陵矶新港区城市生活垃圾分类工作领导小组，制定了《城陵矶新港区2023年城市生活垃圾分类工作实施方案》。通过召开2023年度生活垃圾分类工作部署会，明确各成员单位职责任务分工，建立企业联点干部督导责任制，确保各项工作落到实处。二是示范引领，扩面提质。按照年初制定的目标任务，完成了56家新增企业的生活垃圾分类工作，结合各企业园区实际，合理布局生活垃圾分类收集容器、箱房、桶站等设施设备；经区垃分办与企业协商，港投集团、中创空天、省港集团等3家企业完成了生活垃圾分类示范企业创建工作。三是定期调度，联动督查。通过配合交投与城陵矶新港区公共机构、企业、临街门店等多家用户签订餐厨垃圾收运协议，推动“定时定点”上门收集、“撤桶进店”“移桶靠边”等工作有效开展，全年发出生活垃圾分类工作《督办函》11件，召开专题调度会3次。四是宣传培训，营造氛围。全年共开展“十进”“岳分类，岳美好”等垃圾分类主题宣传、培训活动12次，现场宣讲垃圾分类基本知识、操作流程、政策法规，引导市民群众正确分类投放。</w:t>
      </w:r>
    </w:p>
    <w:p>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left="20" w:leftChars="7" w:right="11" w:firstLine="664" w:firstLineChars="200"/>
        <w:jc w:val="left"/>
        <w:textAlignment w:val="baseline"/>
        <w:rPr>
          <w:rFonts w:hint="eastAsia" w:ascii="CESI仿宋-GB2312" w:hAnsi="CESI仿宋-GB2312" w:eastAsia="CESI仿宋-GB2312" w:cs="CESI仿宋-GB2312"/>
          <w:spacing w:val="6"/>
          <w:kern w:val="0"/>
          <w:sz w:val="32"/>
          <w:szCs w:val="32"/>
        </w:rPr>
      </w:pPr>
      <w:r>
        <w:rPr>
          <w:rFonts w:hint="eastAsia" w:ascii="CESI仿宋-GB2312" w:hAnsi="CESI仿宋-GB2312" w:eastAsia="CESI仿宋-GB2312" w:cs="CESI仿宋-GB2312"/>
          <w:spacing w:val="6"/>
          <w:kern w:val="0"/>
          <w:sz w:val="32"/>
          <w:szCs w:val="32"/>
          <w:lang w:val="en"/>
        </w:rPr>
        <w:t>(</w:t>
      </w:r>
      <w:r>
        <w:rPr>
          <w:rFonts w:hint="eastAsia" w:ascii="CESI仿宋-GB2312" w:hAnsi="CESI仿宋-GB2312" w:eastAsia="CESI仿宋-GB2312" w:cs="CESI仿宋-GB2312"/>
          <w:spacing w:val="6"/>
          <w:kern w:val="0"/>
          <w:sz w:val="32"/>
          <w:szCs w:val="32"/>
        </w:rPr>
        <w:t>2</w:t>
      </w:r>
      <w:r>
        <w:rPr>
          <w:rFonts w:hint="eastAsia" w:ascii="CESI仿宋-GB2312" w:hAnsi="CESI仿宋-GB2312" w:eastAsia="CESI仿宋-GB2312" w:cs="CESI仿宋-GB2312"/>
          <w:spacing w:val="6"/>
          <w:kern w:val="0"/>
          <w:sz w:val="32"/>
          <w:szCs w:val="32"/>
          <w:lang w:val="en"/>
        </w:rPr>
        <w:t>)</w:t>
      </w:r>
      <w:r>
        <w:rPr>
          <w:rFonts w:hint="eastAsia" w:ascii="CESI仿宋-GB2312" w:hAnsi="CESI仿宋-GB2312" w:eastAsia="CESI仿宋-GB2312" w:cs="CESI仿宋-GB2312"/>
          <w:spacing w:val="6"/>
          <w:kern w:val="0"/>
          <w:sz w:val="32"/>
          <w:szCs w:val="32"/>
        </w:rPr>
        <w:t>扎实推进禁燃禁放工作。烟花爆竹的燃放影响空气质量、产生噪音污染、存在安全隐患，分局作为禁燃禁放工作的牵头部门，积极响应，主动担当，切实履责。一是高度重视，认真落实。组织召开禁燃禁放专题工作会议，传达市、区指示精神，开展专项执法业务学习，多措并举抓好工作落实。二是宣传覆盖，浓厚氛围。利用临街店面电子显示屏滚动播放禁燃标语、出动宣传车流动广播宣传、在公共区域张贴《禁止燃放烟花爆竹公告》、上门分发禁止燃放烟花爆竹宣传单等方式，动员各企业、经营门店参与禁炮工作，努力营造人人参与禁止销售燃放烟花爆竹的良好氛围。三是加强值守，加大巡查。紧盯春节、元宵、清明、劳动、端午、中秋等重要节日，采取重点节点蹲守与全面巡查相结合的工作方式，加大巡查管控力度，确保不出现违规燃放、存储、售卖烟花爆竹行为。</w:t>
      </w:r>
    </w:p>
    <w:p>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left="20" w:leftChars="7" w:right="11" w:firstLine="664" w:firstLineChars="200"/>
        <w:jc w:val="left"/>
        <w:textAlignment w:val="baseline"/>
        <w:rPr>
          <w:rFonts w:hint="eastAsia" w:ascii="CESI仿宋-GB2312" w:hAnsi="CESI仿宋-GB2312" w:eastAsia="CESI仿宋-GB2312" w:cs="CESI仿宋-GB2312"/>
          <w:spacing w:val="6"/>
          <w:kern w:val="0"/>
          <w:sz w:val="32"/>
          <w:szCs w:val="32"/>
        </w:rPr>
      </w:pPr>
      <w:r>
        <w:rPr>
          <w:rFonts w:hint="eastAsia" w:ascii="CESI仿宋-GB2312" w:hAnsi="CESI仿宋-GB2312" w:eastAsia="CESI仿宋-GB2312" w:cs="CESI仿宋-GB2312"/>
          <w:spacing w:val="6"/>
          <w:kern w:val="0"/>
          <w:sz w:val="32"/>
          <w:szCs w:val="32"/>
          <w:lang w:val="en"/>
        </w:rPr>
        <w:t>(</w:t>
      </w:r>
      <w:r>
        <w:rPr>
          <w:rFonts w:hint="eastAsia" w:ascii="CESI仿宋-GB2312" w:hAnsi="CESI仿宋-GB2312" w:eastAsia="CESI仿宋-GB2312" w:cs="CESI仿宋-GB2312"/>
          <w:spacing w:val="6"/>
          <w:kern w:val="0"/>
          <w:sz w:val="32"/>
          <w:szCs w:val="32"/>
        </w:rPr>
        <w:t>3</w:t>
      </w:r>
      <w:r>
        <w:rPr>
          <w:rFonts w:hint="eastAsia" w:ascii="CESI仿宋-GB2312" w:hAnsi="CESI仿宋-GB2312" w:eastAsia="CESI仿宋-GB2312" w:cs="CESI仿宋-GB2312"/>
          <w:spacing w:val="6"/>
          <w:kern w:val="0"/>
          <w:sz w:val="32"/>
          <w:szCs w:val="32"/>
          <w:lang w:val="en"/>
        </w:rPr>
        <w:t>)</w:t>
      </w:r>
      <w:r>
        <w:rPr>
          <w:rFonts w:hint="eastAsia" w:ascii="CESI仿宋-GB2312" w:hAnsi="CESI仿宋-GB2312" w:eastAsia="CESI仿宋-GB2312" w:cs="CESI仿宋-GB2312"/>
          <w:spacing w:val="6"/>
          <w:kern w:val="0"/>
          <w:sz w:val="32"/>
          <w:szCs w:val="32"/>
        </w:rPr>
        <w:t>有序推进提质改造项目。根据分局制定的2023年城市管理提质改造计划，在党工委的支持下，总投资约1100万元，实施了兴港路段及长江大道等重要节点绿化提质改造和海关路、进港路人行道提质改造2个项目，截止目前，项目工程量已完成过半，预计在2024年春季全面完工，届时两个进出港区的重要节点将会焕然一新。</w:t>
      </w:r>
    </w:p>
    <w:p>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left="20" w:leftChars="7" w:right="11" w:firstLine="664" w:firstLineChars="200"/>
        <w:jc w:val="left"/>
        <w:textAlignment w:val="baseline"/>
        <w:rPr>
          <w:rFonts w:hint="eastAsia" w:ascii="CESI仿宋-GB2312" w:hAnsi="CESI仿宋-GB2312" w:eastAsia="CESI仿宋-GB2312" w:cs="CESI仿宋-GB2312"/>
          <w:spacing w:val="6"/>
          <w:kern w:val="0"/>
          <w:sz w:val="32"/>
          <w:szCs w:val="32"/>
        </w:rPr>
      </w:pPr>
      <w:r>
        <w:rPr>
          <w:rFonts w:hint="eastAsia" w:ascii="CESI仿宋-GB2312" w:hAnsi="CESI仿宋-GB2312" w:eastAsia="CESI仿宋-GB2312" w:cs="CESI仿宋-GB2312"/>
          <w:spacing w:val="6"/>
          <w:kern w:val="0"/>
          <w:sz w:val="32"/>
          <w:szCs w:val="32"/>
          <w:lang w:val="en"/>
        </w:rPr>
        <w:t>(</w:t>
      </w:r>
      <w:r>
        <w:rPr>
          <w:rFonts w:hint="eastAsia" w:ascii="CESI仿宋-GB2312" w:hAnsi="CESI仿宋-GB2312" w:eastAsia="CESI仿宋-GB2312" w:cs="CESI仿宋-GB2312"/>
          <w:spacing w:val="6"/>
          <w:kern w:val="0"/>
          <w:sz w:val="32"/>
          <w:szCs w:val="32"/>
        </w:rPr>
        <w:t>4</w:t>
      </w:r>
      <w:r>
        <w:rPr>
          <w:rFonts w:hint="eastAsia" w:ascii="CESI仿宋-GB2312" w:hAnsi="CESI仿宋-GB2312" w:eastAsia="CESI仿宋-GB2312" w:cs="CESI仿宋-GB2312"/>
          <w:spacing w:val="6"/>
          <w:kern w:val="0"/>
          <w:sz w:val="32"/>
          <w:szCs w:val="32"/>
          <w:lang w:val="en"/>
        </w:rPr>
        <w:t>)</w:t>
      </w:r>
      <w:r>
        <w:rPr>
          <w:rFonts w:hint="eastAsia" w:ascii="CESI仿宋-GB2312" w:hAnsi="CESI仿宋-GB2312" w:eastAsia="CESI仿宋-GB2312" w:cs="CESI仿宋-GB2312"/>
          <w:spacing w:val="6"/>
          <w:kern w:val="0"/>
          <w:sz w:val="32"/>
          <w:szCs w:val="32"/>
        </w:rPr>
        <w:t>积极推进公共绿地建设。为优化企业营商环境，建设绿色生态园区，共投入505.05万元，积极推进了汇川公共绿化停车场、兴港路物流工程职业学校及东方玻璃南侧和锂电池、紫光建设项目东侧城市绿地配套等公共绿地建设项目，新增了一道道靓丽的风景线，赢得了港区上下和企业的一致好评。</w:t>
      </w:r>
    </w:p>
    <w:p>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left="20" w:leftChars="7" w:right="11" w:firstLine="664" w:firstLineChars="200"/>
        <w:jc w:val="left"/>
        <w:textAlignment w:val="baseline"/>
        <w:rPr>
          <w:rFonts w:hint="eastAsia" w:ascii="CESI仿宋-GB2312" w:hAnsi="CESI仿宋-GB2312" w:eastAsia="CESI仿宋-GB2312" w:cs="CESI仿宋-GB2312"/>
          <w:spacing w:val="6"/>
          <w:kern w:val="0"/>
          <w:sz w:val="32"/>
          <w:szCs w:val="32"/>
        </w:rPr>
      </w:pPr>
      <w:r>
        <w:rPr>
          <w:rFonts w:hint="eastAsia" w:ascii="CESI仿宋-GB2312" w:hAnsi="CESI仿宋-GB2312" w:eastAsia="CESI仿宋-GB2312" w:cs="CESI仿宋-GB2312"/>
          <w:spacing w:val="6"/>
          <w:kern w:val="0"/>
          <w:sz w:val="32"/>
          <w:szCs w:val="32"/>
          <w:lang w:val="en"/>
        </w:rPr>
        <w:t>5.</w:t>
      </w:r>
      <w:r>
        <w:rPr>
          <w:rFonts w:hint="eastAsia" w:ascii="CESI仿宋-GB2312" w:hAnsi="CESI仿宋-GB2312" w:eastAsia="CESI仿宋-GB2312" w:cs="CESI仿宋-GB2312"/>
          <w:spacing w:val="6"/>
          <w:kern w:val="0"/>
          <w:sz w:val="32"/>
          <w:szCs w:val="32"/>
        </w:rPr>
        <w:t>全员提效塑形象，队伍建设持续化。</w:t>
      </w:r>
    </w:p>
    <w:p>
      <w:pPr>
        <w:keepNext w:val="0"/>
        <w:keepLines w:val="0"/>
        <w:pageBreakBefore w:val="0"/>
        <w:widowControl/>
        <w:kinsoku w:val="0"/>
        <w:wordWrap/>
        <w:overflowPunct/>
        <w:topLinePunct w:val="0"/>
        <w:autoSpaceDE w:val="0"/>
        <w:autoSpaceDN w:val="0"/>
        <w:bidi w:val="0"/>
        <w:adjustRightInd w:val="0"/>
        <w:snapToGrid w:val="0"/>
        <w:spacing w:before="120" w:beforeLines="50" w:line="600" w:lineRule="exact"/>
        <w:ind w:left="20" w:leftChars="7" w:right="11" w:firstLine="664" w:firstLineChars="200"/>
        <w:jc w:val="left"/>
        <w:textAlignment w:val="baseline"/>
        <w:rPr>
          <w:rFonts w:hint="eastAsia" w:ascii="CESI仿宋-GB2312" w:hAnsi="CESI仿宋-GB2312" w:eastAsia="CESI仿宋-GB2312" w:cs="CESI仿宋-GB2312"/>
          <w:spacing w:val="6"/>
          <w:kern w:val="0"/>
          <w:sz w:val="32"/>
          <w:szCs w:val="32"/>
        </w:rPr>
      </w:pPr>
      <w:r>
        <w:rPr>
          <w:rFonts w:hint="eastAsia" w:ascii="CESI仿宋-GB2312" w:hAnsi="CESI仿宋-GB2312" w:eastAsia="CESI仿宋-GB2312" w:cs="CESI仿宋-GB2312"/>
          <w:spacing w:val="6"/>
          <w:kern w:val="0"/>
          <w:sz w:val="32"/>
          <w:szCs w:val="32"/>
        </w:rPr>
        <w:t>为打造一支高素质、专业化、作风优良的干部职工队伍，分局坚持开展思想政治教育，持续抓好党风廉政建设，不断加强业务培训学习，积极发挥工青妇群团组织的桥梁纽带作用，凝聚单位合力，为中心工作开展提供坚强的组织保障。</w:t>
      </w:r>
    </w:p>
    <w:p>
      <w:pPr>
        <w:pStyle w:val="3"/>
        <w:keepNext w:val="0"/>
        <w:keepLines w:val="0"/>
        <w:pageBreakBefore w:val="0"/>
        <w:wordWrap/>
        <w:overflowPunct/>
        <w:topLinePunct w:val="0"/>
        <w:bidi w:val="0"/>
        <w:spacing w:line="600" w:lineRule="exact"/>
        <w:ind w:left="0" w:leftChars="0" w:firstLine="642" w:firstLineChars="200"/>
        <w:jc w:val="left"/>
        <w:rPr>
          <w:rFonts w:hint="eastAsia" w:ascii="仿宋_GB2312" w:hAnsi="仿宋_GB2312" w:eastAsia="仿宋_GB2312" w:cs="仿宋_GB2312"/>
          <w:b/>
          <w:bCs/>
          <w:color w:val="FF0000"/>
          <w:sz w:val="32"/>
          <w:szCs w:val="32"/>
          <w:u w:val="none"/>
          <w:shd w:val="clear" w:color="auto" w:fill="FFFFFF"/>
          <w:lang w:eastAsia="zh-CN"/>
        </w:rPr>
      </w:pPr>
      <w:r>
        <w:rPr>
          <w:rFonts w:hint="eastAsia" w:ascii="仿宋_GB2312" w:hAnsi="仿宋_GB2312" w:eastAsia="仿宋_GB2312" w:cs="仿宋_GB2312"/>
          <w:b/>
          <w:bCs/>
          <w:color w:val="auto"/>
          <w:sz w:val="32"/>
          <w:szCs w:val="32"/>
          <w:u w:val="none"/>
          <w:shd w:val="clear" w:color="auto" w:fill="FFFFFF"/>
        </w:rPr>
        <w:t>评价结论</w:t>
      </w:r>
      <w:r>
        <w:rPr>
          <w:rFonts w:hint="eastAsia" w:ascii="仿宋_GB2312" w:hAnsi="仿宋_GB2312" w:eastAsia="仿宋_GB2312" w:cs="仿宋_GB2312"/>
          <w:b/>
          <w:bCs/>
          <w:color w:val="auto"/>
          <w:sz w:val="32"/>
          <w:szCs w:val="32"/>
          <w:u w:val="none"/>
          <w:shd w:val="clear" w:color="auto" w:fill="FFFFFF"/>
          <w:lang w:eastAsia="zh-CN"/>
        </w:rPr>
        <w:t>：</w:t>
      </w:r>
      <w:bookmarkStart w:id="0" w:name="_Toc2686_WPSOffice_Level2"/>
    </w:p>
    <w:p>
      <w:pPr>
        <w:pStyle w:val="3"/>
        <w:keepNext w:val="0"/>
        <w:keepLines w:val="0"/>
        <w:pageBreakBefore w:val="0"/>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333333"/>
          <w:sz w:val="32"/>
          <w:szCs w:val="32"/>
          <w:u w:val="none"/>
          <w:shd w:val="clear" w:color="auto" w:fill="FFFFFF"/>
        </w:rPr>
        <w:t>评价小组</w:t>
      </w:r>
      <w:bookmarkEnd w:id="0"/>
      <w:r>
        <w:rPr>
          <w:rFonts w:hint="eastAsia" w:ascii="仿宋_GB2312" w:hAnsi="仿宋_GB2312" w:eastAsia="仿宋_GB2312" w:cs="仿宋_GB2312"/>
          <w:color w:val="333333"/>
          <w:sz w:val="32"/>
          <w:szCs w:val="32"/>
          <w:u w:val="none"/>
          <w:shd w:val="clear" w:color="auto" w:fill="FFFFFF"/>
          <w:lang w:val="en-US" w:eastAsia="zh-CN"/>
        </w:rPr>
        <w:t>对</w:t>
      </w:r>
      <w:r>
        <w:rPr>
          <w:rFonts w:hint="eastAsia" w:ascii="仿宋_GB2312" w:hAnsi="仿宋_GB2312" w:eastAsia="仿宋_GB2312" w:cs="仿宋_GB2312"/>
          <w:sz w:val="32"/>
          <w:szCs w:val="32"/>
          <w:lang w:val="en-US" w:eastAsia="zh-CN"/>
        </w:rPr>
        <w:t>岳阳市城市管理和综合执法局湖南城陵矶新港区分局</w:t>
      </w:r>
      <w:r>
        <w:rPr>
          <w:rFonts w:hint="eastAsia" w:ascii="仿宋_GB2312" w:hAnsi="仿宋_GB2312" w:eastAsia="仿宋_GB2312" w:cs="仿宋_GB2312"/>
          <w:color w:val="333333"/>
          <w:sz w:val="32"/>
          <w:szCs w:val="32"/>
          <w:shd w:val="clear" w:color="auto" w:fill="FFFFFF"/>
        </w:rPr>
        <w:t>202</w:t>
      </w:r>
      <w:r>
        <w:rPr>
          <w:rFonts w:hint="eastAsia" w:ascii="仿宋_GB2312" w:hAnsi="仿宋_GB2312" w:eastAsia="仿宋_GB2312" w:cs="仿宋_GB2312"/>
          <w:color w:val="333333"/>
          <w:sz w:val="32"/>
          <w:szCs w:val="32"/>
          <w:shd w:val="clear" w:color="auto" w:fill="FFFFFF"/>
          <w:lang w:val="en-US" w:eastAsia="zh-CN"/>
        </w:rPr>
        <w:t>3</w:t>
      </w:r>
      <w:r>
        <w:rPr>
          <w:rFonts w:hint="eastAsia" w:ascii="仿宋_GB2312" w:hAnsi="仿宋_GB2312" w:eastAsia="仿宋_GB2312" w:cs="仿宋_GB2312"/>
          <w:color w:val="333333"/>
          <w:sz w:val="32"/>
          <w:szCs w:val="32"/>
          <w:shd w:val="clear" w:color="auto" w:fill="FFFFFF"/>
        </w:rPr>
        <w:t>年</w:t>
      </w:r>
      <w:r>
        <w:rPr>
          <w:rFonts w:hint="eastAsia" w:ascii="仿宋_GB2312" w:hAnsi="仿宋_GB2312" w:eastAsia="仿宋_GB2312" w:cs="仿宋_GB2312"/>
          <w:sz w:val="32"/>
          <w:szCs w:val="32"/>
          <w:lang w:val="en-US" w:eastAsia="zh-CN"/>
        </w:rPr>
        <w:t>资金支出情况</w:t>
      </w:r>
      <w:r>
        <w:rPr>
          <w:rFonts w:hint="eastAsia" w:ascii="仿宋_GB2312" w:hAnsi="仿宋_GB2312" w:eastAsia="仿宋_GB2312" w:cs="仿宋_GB2312"/>
          <w:color w:val="333333"/>
          <w:sz w:val="32"/>
          <w:szCs w:val="32"/>
          <w:u w:val="none"/>
          <w:shd w:val="clear" w:color="auto" w:fill="FFFFFF"/>
          <w:lang w:val="en-US" w:eastAsia="zh-CN"/>
        </w:rPr>
        <w:t>进行了</w:t>
      </w:r>
      <w:r>
        <w:rPr>
          <w:rFonts w:hint="eastAsia" w:ascii="仿宋_GB2312" w:hAnsi="仿宋_GB2312" w:eastAsia="仿宋_GB2312" w:cs="仿宋_GB2312"/>
          <w:color w:val="333333"/>
          <w:sz w:val="32"/>
          <w:szCs w:val="32"/>
          <w:u w:val="none"/>
          <w:shd w:val="clear" w:color="auto" w:fill="FFFFFF"/>
        </w:rPr>
        <w:t>定量和定性分析</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333333"/>
          <w:sz w:val="32"/>
          <w:szCs w:val="32"/>
          <w:shd w:val="clear" w:color="auto" w:fill="FFFFFF"/>
          <w:lang w:val="en-US" w:eastAsia="zh-CN"/>
        </w:rPr>
        <w:t>单位整体</w:t>
      </w:r>
      <w:r>
        <w:rPr>
          <w:rFonts w:hint="eastAsia" w:ascii="仿宋_GB2312" w:hAnsi="仿宋_GB2312" w:eastAsia="仿宋_GB2312" w:cs="仿宋_GB2312"/>
          <w:color w:val="333333"/>
          <w:sz w:val="32"/>
          <w:szCs w:val="32"/>
          <w:shd w:val="clear" w:color="auto" w:fill="FFFFFF"/>
        </w:rPr>
        <w:t>绩效评价最后得分为</w:t>
      </w:r>
      <w:r>
        <w:rPr>
          <w:rFonts w:hint="eastAsia" w:ascii="仿宋_GB2312" w:hAnsi="仿宋_GB2312" w:eastAsia="仿宋_GB2312" w:cs="仿宋_GB2312"/>
          <w:color w:val="333333"/>
          <w:sz w:val="32"/>
          <w:szCs w:val="32"/>
          <w:shd w:val="clear" w:color="auto" w:fill="FFFFFF"/>
          <w:lang w:val="en-US" w:eastAsia="zh-CN"/>
        </w:rPr>
        <w:t>96.91分（具体评分见附件2），</w:t>
      </w:r>
      <w:r>
        <w:rPr>
          <w:rFonts w:hint="eastAsia" w:ascii="仿宋_GB2312" w:hAnsi="仿宋_GB2312" w:eastAsia="仿宋_GB2312" w:cs="仿宋_GB2312"/>
          <w:color w:val="333333"/>
          <w:sz w:val="32"/>
          <w:szCs w:val="32"/>
          <w:shd w:val="clear" w:color="auto" w:fill="FFFFFF"/>
        </w:rPr>
        <w:t>从绩效评价总体情况来看，</w:t>
      </w:r>
      <w:r>
        <w:rPr>
          <w:rFonts w:hint="eastAsia" w:ascii="仿宋_GB2312" w:hAnsi="仿宋_GB2312" w:eastAsia="仿宋_GB2312" w:cs="仿宋_GB2312"/>
          <w:color w:val="333333"/>
          <w:sz w:val="32"/>
          <w:szCs w:val="32"/>
          <w:shd w:val="clear" w:color="auto" w:fill="FFFFFF"/>
          <w:lang w:val="en-US" w:eastAsia="zh-CN"/>
        </w:rPr>
        <w:t>单位</w:t>
      </w:r>
      <w:r>
        <w:rPr>
          <w:rFonts w:hint="eastAsia" w:ascii="仿宋_GB2312" w:hAnsi="仿宋_GB2312" w:eastAsia="仿宋_GB2312" w:cs="仿宋_GB2312"/>
          <w:color w:val="333333"/>
          <w:sz w:val="32"/>
          <w:szCs w:val="32"/>
          <w:shd w:val="clear" w:color="auto" w:fill="FFFFFF"/>
        </w:rPr>
        <w:t>资金支出较规范，</w:t>
      </w:r>
      <w:r>
        <w:rPr>
          <w:rFonts w:hint="eastAsia" w:ascii="仿宋_GB2312" w:hAnsi="仿宋_GB2312" w:eastAsia="仿宋_GB2312" w:cs="仿宋_GB2312"/>
          <w:color w:val="333333"/>
          <w:sz w:val="32"/>
          <w:szCs w:val="32"/>
          <w:shd w:val="clear" w:color="auto" w:fill="FFFFFF"/>
          <w:lang w:val="en-US" w:eastAsia="zh-CN"/>
        </w:rPr>
        <w:t>积极</w:t>
      </w:r>
      <w:r>
        <w:rPr>
          <w:rFonts w:hint="eastAsia" w:ascii="仿宋_GB2312" w:hAnsi="仿宋_GB2312" w:eastAsia="仿宋_GB2312" w:cs="仿宋_GB2312"/>
          <w:color w:val="333333"/>
          <w:sz w:val="32"/>
          <w:szCs w:val="32"/>
          <w:shd w:val="clear" w:color="auto" w:fill="FFFFFF"/>
        </w:rPr>
        <w:t>推</w:t>
      </w:r>
      <w:r>
        <w:rPr>
          <w:rFonts w:hint="eastAsia" w:ascii="仿宋_GB2312" w:hAnsi="仿宋_GB2312" w:eastAsia="仿宋_GB2312" w:cs="仿宋_GB2312"/>
          <w:color w:val="333333"/>
          <w:sz w:val="32"/>
          <w:szCs w:val="32"/>
          <w:shd w:val="clear" w:color="auto" w:fill="FFFFFF"/>
          <w:lang w:val="en-US" w:eastAsia="zh-CN"/>
        </w:rPr>
        <w:t>动了城陵矶新港区城市管理</w:t>
      </w:r>
      <w:r>
        <w:rPr>
          <w:rFonts w:hint="eastAsia" w:ascii="仿宋_GB2312" w:hAnsi="仿宋_GB2312" w:eastAsia="仿宋_GB2312" w:cs="仿宋_GB2312"/>
          <w:color w:val="333333"/>
          <w:sz w:val="32"/>
          <w:szCs w:val="32"/>
          <w:shd w:val="clear" w:color="auto" w:fill="FFFFFF"/>
        </w:rPr>
        <w:t>事业发展</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lang w:val="en-US" w:eastAsia="zh-CN"/>
        </w:rPr>
        <w:t>改善了港区城市居住环境，优化了营商环境，助力了招商引资，得到了城陵矶新港区领导和市民的一致赞誉</w:t>
      </w:r>
      <w:r>
        <w:rPr>
          <w:rFonts w:hint="eastAsia" w:ascii="仿宋_GB2312" w:hAnsi="仿宋_GB2312" w:eastAsia="仿宋_GB2312" w:cs="仿宋_GB2312"/>
          <w:color w:val="333333"/>
          <w:sz w:val="32"/>
          <w:szCs w:val="32"/>
          <w:shd w:val="clear" w:color="auto" w:fill="FFFFFF"/>
        </w:rPr>
        <w:t>。</w:t>
      </w:r>
    </w:p>
    <w:p>
      <w:pPr>
        <w:pStyle w:val="9"/>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、存在的问题及原因分析</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政府采购</w:t>
      </w:r>
      <w:r>
        <w:rPr>
          <w:rFonts w:hint="eastAsia" w:ascii="Times New Roman" w:hAnsi="Times New Roman" w:eastAsia="仿宋_GB2312" w:cs="Times New Roman"/>
          <w:sz w:val="32"/>
          <w:szCs w:val="32"/>
          <w:lang w:val="en-US" w:eastAsia="zh-CN"/>
        </w:rPr>
        <w:t>预算数和实际支出数存在较大差异，主要原因为对政府采购相关制度学习不够深入，对来年工作预计不足，导致预算数和实际执行数存在较大差异。</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二）港区城乡结合部部分城市基础设施有待进一步优化。主要原因为近几年来港区城市建设发展速度较快，城市配套设施建设没有及时跟上。</w:t>
      </w:r>
    </w:p>
    <w:p>
      <w:pPr>
        <w:keepNext w:val="0"/>
        <w:keepLines w:val="0"/>
        <w:pageBreakBefore w:val="0"/>
        <w:widowControl/>
        <w:numPr>
          <w:ilvl w:val="0"/>
          <w:numId w:val="4"/>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pPr>
        <w:pStyle w:val="3"/>
        <w:keepNext w:val="0"/>
        <w:keepLines w:val="0"/>
        <w:pageBreakBefore w:val="0"/>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（一）加强政府采购相关制度学习，认真分析来年相关工作，合理预计政府采购预算，提升政府采购预算质量。</w:t>
      </w:r>
    </w:p>
    <w:p>
      <w:pPr>
        <w:pStyle w:val="3"/>
        <w:keepNext w:val="0"/>
        <w:keepLines w:val="0"/>
        <w:pageBreakBefore w:val="0"/>
        <w:wordWrap/>
        <w:overflowPunct/>
        <w:topLinePunct w:val="0"/>
        <w:bidi w:val="0"/>
        <w:spacing w:line="600" w:lineRule="exact"/>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（二）加强港区项目资金管理，合理调配资金投入方向，加大城乡结合部配套设施建设投入，进一步优化港区城市配套设施建设。同时，强化考评监督，提升资金支出绩效。</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、部门整体支出绩效自评结果拟应用和公开情况</w:t>
      </w:r>
      <w:r>
        <w:rPr>
          <w:rFonts w:hint="eastAsia" w:ascii="Times New Roman" w:hAnsi="Times New Roman" w:eastAsia="黑体" w:cs="Times New Roman"/>
          <w:sz w:val="32"/>
          <w:szCs w:val="32"/>
          <w:lang w:eastAsia="zh-CN"/>
        </w:rPr>
        <w:t>，</w:t>
      </w:r>
      <w:r>
        <w:rPr>
          <w:rFonts w:hint="eastAsia" w:ascii="Times New Roman" w:hAnsi="Times New Roman" w:eastAsia="黑体" w:cs="Times New Roman"/>
          <w:sz w:val="32"/>
          <w:szCs w:val="32"/>
          <w:lang w:val="en-US" w:eastAsia="zh-CN"/>
        </w:rPr>
        <w:t>以及</w:t>
      </w:r>
      <w:r>
        <w:rPr>
          <w:rFonts w:hint="default" w:ascii="Times New Roman" w:hAnsi="Times New Roman" w:eastAsia="黑体" w:cs="Times New Roman"/>
          <w:sz w:val="32"/>
          <w:szCs w:val="32"/>
        </w:rPr>
        <w:t>其他需要说明的情况</w:t>
      </w:r>
      <w:r>
        <w:rPr>
          <w:rFonts w:hint="eastAsia" w:ascii="Times New Roman" w:hAnsi="Times New Roman" w:eastAsia="黑体" w:cs="Times New Roman"/>
          <w:sz w:val="32"/>
          <w:szCs w:val="32"/>
          <w:lang w:eastAsia="zh-CN"/>
        </w:rPr>
        <w:t>。</w:t>
      </w:r>
    </w:p>
    <w:p>
      <w:pPr>
        <w:pStyle w:val="3"/>
        <w:keepNext w:val="0"/>
        <w:keepLines w:val="0"/>
        <w:pageBreakBefore w:val="0"/>
        <w:wordWrap/>
        <w:overflowPunct/>
        <w:topLinePunct w:val="0"/>
        <w:bidi w:val="0"/>
        <w:spacing w:line="600" w:lineRule="exact"/>
        <w:ind w:left="0" w:leftChars="0" w:firstLine="640" w:firstLineChars="200"/>
        <w:jc w:val="left"/>
        <w:rPr>
          <w:rFonts w:hint="default" w:eastAsia="仿宋_GB2312"/>
          <w:sz w:val="32"/>
          <w:szCs w:val="32"/>
          <w:lang w:val="en-US" w:eastAsia="zh-CN"/>
        </w:rPr>
      </w:pPr>
      <w:r>
        <w:rPr>
          <w:rFonts w:hint="eastAsia" w:ascii="仿宋_GB2312" w:hAnsi="仿宋_GB2312" w:eastAsia="仿宋_GB2312" w:cs="仿宋_GB2312"/>
          <w:b w:val="0"/>
          <w:bCs w:val="0"/>
          <w:sz w:val="32"/>
          <w:szCs w:val="32"/>
        </w:rPr>
        <w:t>部门整体支出绩效自评结果</w:t>
      </w:r>
      <w:r>
        <w:rPr>
          <w:rFonts w:hint="eastAsia" w:ascii="仿宋_GB2312" w:hAnsi="仿宋_GB2312" w:eastAsia="仿宋_GB2312" w:cs="仿宋_GB2312"/>
          <w:b w:val="0"/>
          <w:bCs w:val="0"/>
          <w:sz w:val="32"/>
          <w:szCs w:val="32"/>
          <w:lang w:val="en-US" w:eastAsia="zh-CN"/>
        </w:rPr>
        <w:t>将作为完善本单位相关制度，改进资金管理的重要依据，同时也将作为单位内部工作总结的参考依据。本单位的预算绩效目标、预算、决算及绩效评价均按相关规定及时在市城管局门户网站进行了公开，</w:t>
      </w:r>
      <w:r>
        <w:rPr>
          <w:rFonts w:hint="eastAsia" w:ascii="仿宋_GB2312" w:hAnsi="仿宋_GB2312" w:eastAsia="仿宋_GB2312" w:cs="仿宋_GB2312"/>
          <w:kern w:val="0"/>
          <w:sz w:val="32"/>
          <w:szCs w:val="32"/>
        </w:rPr>
        <w:t>公开信息基础数据信息和会计信息资料准确、真实、完整。</w:t>
      </w:r>
      <w:r>
        <w:rPr>
          <w:rFonts w:hint="eastAsia" w:ascii="仿宋_GB2312" w:hAnsi="仿宋_GB2312" w:eastAsia="仿宋_GB2312" w:cs="仿宋_GB2312"/>
          <w:kern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p>
    <w:p>
      <w:pPr>
        <w:pStyle w:val="2"/>
        <w:keepNext w:val="0"/>
        <w:keepLines w:val="0"/>
        <w:pageBreakBefore w:val="0"/>
        <w:wordWrap/>
        <w:overflowPunct/>
        <w:topLinePunct w:val="0"/>
        <w:bidi w:val="0"/>
        <w:spacing w:line="600" w:lineRule="exact"/>
        <w:rPr>
          <w:rFonts w:hint="eastAsia"/>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部门整体支出绩效评价基础数据表</w:t>
      </w:r>
    </w:p>
    <w:p>
      <w:pPr>
        <w:keepNext w:val="0"/>
        <w:keepLines w:val="0"/>
        <w:pageBreakBefore w:val="0"/>
        <w:widowControl/>
        <w:kinsoku/>
        <w:wordWrap/>
        <w:overflowPunct/>
        <w:topLinePunct w:val="0"/>
        <w:autoSpaceDE/>
        <w:autoSpaceDN/>
        <w:bidi w:val="0"/>
        <w:adjustRightInd/>
        <w:snapToGrid/>
        <w:spacing w:line="600" w:lineRule="exact"/>
        <w:ind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部门整体支出绩效自评表</w:t>
      </w:r>
    </w:p>
    <w:p>
      <w:pPr>
        <w:keepNext w:val="0"/>
        <w:keepLines w:val="0"/>
        <w:pageBreakBefore w:val="0"/>
        <w:wordWrap/>
        <w:overflowPunct/>
        <w:topLinePunct w:val="0"/>
        <w:bidi w:val="0"/>
        <w:spacing w:after="120" w:afterLines="50" w:line="600" w:lineRule="exact"/>
        <w:jc w:val="left"/>
        <w:rPr>
          <w:rFonts w:hint="eastAsia" w:ascii="仿宋_GB2312" w:hAnsi="仿宋_GB2312" w:eastAsia="仿宋_GB2312" w:cs="仿宋_GB2312"/>
          <w:sz w:val="32"/>
          <w:szCs w:val="32"/>
        </w:rPr>
      </w:pPr>
    </w:p>
    <w:p>
      <w:pPr>
        <w:pStyle w:val="2"/>
        <w:rPr>
          <w:rFonts w:hint="eastAsia"/>
        </w:rPr>
      </w:pPr>
    </w:p>
    <w:p>
      <w:pPr>
        <w:keepNext w:val="0"/>
        <w:keepLines w:val="0"/>
        <w:pageBreakBefore w:val="0"/>
        <w:wordWrap/>
        <w:overflowPunct/>
        <w:topLinePunct w:val="0"/>
        <w:bidi w:val="0"/>
        <w:spacing w:after="120" w:afterLines="50"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岳阳市城市管理和综合执法局湖南城陵矶新港区分局</w:t>
      </w:r>
    </w:p>
    <w:p>
      <w:pPr>
        <w:keepNext w:val="0"/>
        <w:keepLines w:val="0"/>
        <w:pageBreakBefore w:val="0"/>
        <w:widowControl w:val="0"/>
        <w:kinsoku/>
        <w:wordWrap/>
        <w:overflowPunct/>
        <w:topLinePunct w:val="0"/>
        <w:autoSpaceDE/>
        <w:autoSpaceDN/>
        <w:bidi w:val="0"/>
        <w:adjustRightInd/>
        <w:snapToGrid/>
        <w:spacing w:afterLines="0"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2024年6月25日</w:t>
      </w:r>
    </w:p>
    <w:p>
      <w:pPr>
        <w:pStyle w:val="2"/>
        <w:rPr>
          <w:rFonts w:hint="eastAsia" w:ascii="仿宋_GB2312" w:hAnsi="仿宋_GB2312" w:eastAsia="仿宋_GB2312" w:cs="仿宋_GB2312"/>
          <w:sz w:val="32"/>
          <w:szCs w:val="32"/>
          <w:lang w:val="en-US"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pStyle w:val="2"/>
        <w:rPr>
          <w:rFonts w:hint="eastAsia"/>
          <w:lang w:eastAsia="zh-CN"/>
        </w:rPr>
      </w:pPr>
    </w:p>
    <w:p>
      <w:pPr>
        <w:pStyle w:val="3"/>
        <w:rPr>
          <w:rFonts w:hint="eastAsia"/>
          <w:lang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afterLines="0" w:line="600" w:lineRule="exact"/>
        <w:jc w:val="both"/>
        <w:textAlignment w:val="auto"/>
        <w:rPr>
          <w:rFonts w:hint="eastAsia" w:ascii="黑体" w:hAnsi="黑体" w:eastAsia="黑体" w:cs="黑体"/>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600" w:lineRule="exact"/>
        <w:jc w:val="both"/>
        <w:textAlignment w:val="auto"/>
        <w:rPr>
          <w:rFonts w:hint="eastAsia" w:ascii="黑体" w:hAnsi="黑体" w:eastAsia="黑体" w:cs="黑体"/>
          <w:sz w:val="32"/>
          <w:szCs w:val="32"/>
          <w:highlight w:val="none"/>
          <w:lang w:val="en-US" w:eastAsia="zh-CN"/>
        </w:rPr>
      </w:pPr>
      <w:bookmarkStart w:id="1" w:name="_GoBack"/>
      <w:bookmarkEnd w:id="1"/>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6"/>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22</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
              </w:rPr>
              <w:t>2</w:t>
            </w:r>
            <w:r>
              <w:rPr>
                <w:rFonts w:hint="eastAsia" w:ascii="仿宋_GB2312" w:hAnsi="仿宋_GB2312" w:eastAsia="仿宋_GB2312" w:cs="仿宋_GB2312"/>
                <w:sz w:val="20"/>
                <w:szCs w:val="20"/>
                <w:highlight w:val="none"/>
                <w:lang w:val="en-US" w:eastAsia="zh-CN"/>
              </w:rPr>
              <w:t>1</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95.45</w:t>
            </w:r>
            <w:r>
              <w:rPr>
                <w:rFonts w:hint="default" w:ascii="仿宋_GB2312" w:hAnsi="仿宋_GB2312" w:eastAsia="仿宋_GB2312" w:cs="仿宋_GB2312"/>
                <w:sz w:val="20"/>
                <w:szCs w:val="20"/>
                <w:highlight w:val="none"/>
                <w:lang w:val="en"/>
              </w:rPr>
              <w:t>%</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lang w:val="en" w:eastAsia="zh-CN"/>
              </w:rPr>
              <w:t>0</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default" w:ascii="仿宋_GB2312" w:hAnsi="仿宋_GB2312" w:eastAsia="仿宋_GB2312" w:cs="仿宋_GB2312"/>
                <w:color w:val="auto"/>
                <w:sz w:val="20"/>
                <w:szCs w:val="20"/>
                <w:highlight w:val="none"/>
                <w:lang w:val="en" w:eastAsia="zh-CN"/>
              </w:rPr>
              <w:t>0</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15.00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ind w:firstLine="400" w:firstLineChars="2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15.00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25.87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52.34</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49.64</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2.72</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0.05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2.00</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2.00</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1.62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2.17</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2.17</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20.00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56.34</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265.07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426.53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422.64</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0</w:t>
            </w: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0</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0</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0</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default" w:ascii="仿宋_GB2312" w:hAnsi="仿宋_GB2312" w:eastAsia="仿宋_GB2312" w:cs="仿宋_GB2312"/>
                <w:sz w:val="20"/>
                <w:szCs w:val="20"/>
                <w:highlight w:val="none"/>
                <w:lang w:val="en"/>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0</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lang w:val="en" w:eastAsia="zh-CN"/>
              </w:rPr>
              <w:t xml:space="preserve">    </w:t>
            </w:r>
            <w:r>
              <w:rPr>
                <w:rFonts w:hint="eastAsia" w:ascii="仿宋_GB2312" w:hAnsi="仿宋_GB2312" w:eastAsia="仿宋_GB2312" w:cs="仿宋_GB2312"/>
                <w:sz w:val="20"/>
                <w:szCs w:val="20"/>
                <w:lang w:val="en-US" w:eastAsia="zh-CN"/>
              </w:rPr>
              <w:t>进一步完善了单位财务管理制度和内控管理制度，</w:t>
            </w:r>
            <w:r>
              <w:rPr>
                <w:rFonts w:hint="eastAsia" w:ascii="仿宋_GB2312" w:hAnsi="仿宋_GB2312" w:eastAsia="仿宋_GB2312" w:cs="仿宋_GB2312"/>
                <w:bCs/>
                <w:sz w:val="20"/>
                <w:szCs w:val="20"/>
                <w:lang w:val="en-US" w:eastAsia="zh-CN"/>
              </w:rPr>
              <w:t>各部门严格遵守制订的《财务管理制度》、《内控管理制度》等规章制度。</w:t>
            </w:r>
            <w:r>
              <w:rPr>
                <w:rFonts w:hint="eastAsia" w:ascii="仿宋_GB2312" w:hAnsi="仿宋_GB2312" w:eastAsia="仿宋_GB2312" w:cs="仿宋_GB2312"/>
                <w:bCs/>
                <w:sz w:val="20"/>
                <w:szCs w:val="20"/>
                <w:highlight w:val="none"/>
                <w:lang w:val="en-US" w:eastAsia="zh-CN"/>
              </w:rPr>
              <w:t>加强事前绩效评估管理，坚持先定事，再确定资金支出规模原则，压减一般性支出，进一步提升财政资金支出效益。定期开展“三资”清查和资产盘点工作，按照厉行节约、物尽其用的原则，资产管理采取统一建帐、统一核算管理，每件固定资产使用明确保管职责，闲置的资产，由办公室统一调整，合理流动，发挥其效益。</w:t>
            </w: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李翠</w:t>
      </w:r>
      <w:r>
        <w:rPr>
          <w:rFonts w:hint="default" w:ascii="Times New Roman" w:hAnsi="Times New Roman" w:eastAsia="仿宋_GB2312" w:cs="Times New Roman"/>
          <w:sz w:val="22"/>
          <w:highlight w:val="none"/>
        </w:rPr>
        <w:t xml:space="preserve">  填报日期：</w:t>
      </w:r>
      <w:r>
        <w:rPr>
          <w:rFonts w:hint="eastAsia" w:ascii="CESI仿宋-GB2312" w:hAnsi="CESI仿宋-GB2312" w:eastAsia="CESI仿宋-GB2312" w:cs="CESI仿宋-GB2312"/>
          <w:sz w:val="22"/>
          <w:highlight w:val="none"/>
          <w:lang w:val="en-US" w:eastAsia="zh-CN"/>
        </w:rPr>
        <w:t xml:space="preserve">2024.6.25 </w:t>
      </w:r>
      <w:r>
        <w:rPr>
          <w:rFonts w:hint="default" w:ascii="Times New Roman" w:hAnsi="Times New Roman" w:eastAsia="仿宋_GB2312" w:cs="Times New Roman"/>
          <w:sz w:val="22"/>
          <w:highlight w:val="none"/>
        </w:rPr>
        <w:t>联系电话：</w:t>
      </w:r>
      <w:r>
        <w:rPr>
          <w:rFonts w:hint="eastAsia" w:ascii="CESI仿宋-GB2312" w:hAnsi="CESI仿宋-GB2312" w:eastAsia="CESI仿宋-GB2312" w:cs="CESI仿宋-GB2312"/>
          <w:sz w:val="22"/>
          <w:lang w:val="en-US" w:eastAsia="zh-CN"/>
        </w:rPr>
        <w:t>0730-3050775</w:t>
      </w:r>
      <w:r>
        <w:rPr>
          <w:rFonts w:hint="eastAsia" w:ascii="CESI仿宋-GB2312" w:hAnsi="CESI仿宋-GB2312" w:eastAsia="CESI仿宋-GB2312" w:cs="CESI仿宋-GB2312"/>
          <w:sz w:val="22"/>
          <w:highlight w:val="none"/>
        </w:rPr>
        <w:t xml:space="preserve">  </w:t>
      </w:r>
      <w:r>
        <w:rPr>
          <w:rFonts w:hint="default" w:ascii="Times New Roman" w:hAnsi="Times New Roman" w:eastAsia="仿宋_GB2312" w:cs="Times New Roman"/>
          <w:sz w:val="22"/>
          <w:highlight w:val="none"/>
        </w:rPr>
        <w:t>单位负责人：</w:t>
      </w:r>
      <w:r>
        <w:rPr>
          <w:rFonts w:hint="eastAsia" w:ascii="Times New Roman" w:hAnsi="Times New Roman" w:eastAsia="仿宋_GB2312" w:cs="Times New Roman"/>
          <w:sz w:val="22"/>
          <w:highlight w:val="none"/>
          <w:lang w:eastAsia="zh-CN"/>
        </w:rPr>
        <w:t>罗明飞</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p>
      <w:pPr>
        <w:pStyle w:val="2"/>
        <w:rPr>
          <w:rFonts w:hint="eastAsia"/>
        </w:rPr>
      </w:pPr>
    </w:p>
    <w:tbl>
      <w:tblPr>
        <w:tblStyle w:val="6"/>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b w:val="0"/>
                <w:bCs w:val="0"/>
                <w:color w:val="000000"/>
                <w:sz w:val="24"/>
                <w:szCs w:val="24"/>
              </w:rPr>
              <w:t>岳阳市城市管理和综合执法局湖南城陵矶新港区分局</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52" w:hRule="atLeast"/>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428" w:hRule="atLeast"/>
          <w:jc w:val="center"/>
        </w:trPr>
        <w:tc>
          <w:tcPr>
            <w:tcW w:w="1080" w:type="dxa"/>
            <w:vMerge w:val="continue"/>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320.71</w:t>
            </w:r>
          </w:p>
        </w:tc>
        <w:tc>
          <w:tcPr>
            <w:tcW w:w="131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426.53</w:t>
            </w:r>
          </w:p>
        </w:tc>
        <w:tc>
          <w:tcPr>
            <w:tcW w:w="1269"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
              </w:rPr>
              <w:t>422.6</w:t>
            </w:r>
            <w:r>
              <w:rPr>
                <w:rFonts w:hint="eastAsia" w:ascii="仿宋_GB2312" w:hAnsi="仿宋_GB2312" w:eastAsia="仿宋_GB2312" w:cs="仿宋_GB2312"/>
                <w:sz w:val="20"/>
                <w:szCs w:val="20"/>
                <w:highlight w:val="none"/>
                <w:lang w:val="en-US" w:eastAsia="zh-CN"/>
              </w:rPr>
              <w:t>4</w:t>
            </w:r>
          </w:p>
        </w:tc>
        <w:tc>
          <w:tcPr>
            <w:tcW w:w="71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99.09%</w:t>
            </w:r>
          </w:p>
        </w:tc>
        <w:tc>
          <w:tcPr>
            <w:tcW w:w="144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9.91</w:t>
            </w:r>
          </w:p>
        </w:tc>
      </w:tr>
      <w:tr>
        <w:tblPrEx>
          <w:tblCellMar>
            <w:top w:w="0" w:type="dxa"/>
            <w:left w:w="108" w:type="dxa"/>
            <w:bottom w:w="0" w:type="dxa"/>
            <w:right w:w="108" w:type="dxa"/>
          </w:tblCellMar>
        </w:tblPrEx>
        <w:trPr>
          <w:trHeight w:val="37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trHeight w:val="37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rPr>
              <w:t>其中：  一般公共预算：</w:t>
            </w:r>
            <w:r>
              <w:rPr>
                <w:rFonts w:hint="eastAsia" w:ascii="仿宋_GB2312" w:hAnsi="仿宋_GB2312" w:eastAsia="仿宋_GB2312" w:cs="仿宋_GB2312"/>
                <w:color w:val="000000"/>
                <w:sz w:val="20"/>
                <w:szCs w:val="20"/>
                <w:highlight w:val="none"/>
                <w:lang w:val="en-US" w:eastAsia="zh-CN"/>
              </w:rPr>
              <w:t>371.92</w:t>
            </w:r>
          </w:p>
        </w:tc>
        <w:tc>
          <w:tcPr>
            <w:tcW w:w="4304"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eastAsia="zh-CN"/>
              </w:rPr>
              <w:t>：</w:t>
            </w:r>
            <w:r>
              <w:rPr>
                <w:rFonts w:hint="default" w:ascii="仿宋_GB2312" w:hAnsi="仿宋_GB2312" w:eastAsia="仿宋_GB2312" w:cs="仿宋_GB2312"/>
                <w:sz w:val="20"/>
                <w:szCs w:val="20"/>
                <w:highlight w:val="none"/>
                <w:lang w:val="en"/>
              </w:rPr>
              <w:t>422.6</w:t>
            </w:r>
            <w:r>
              <w:rPr>
                <w:rFonts w:hint="eastAsia" w:ascii="仿宋_GB2312" w:hAnsi="仿宋_GB2312" w:eastAsia="仿宋_GB2312" w:cs="仿宋_GB2312"/>
                <w:sz w:val="20"/>
                <w:szCs w:val="20"/>
                <w:highlight w:val="none"/>
                <w:lang w:val="en-US" w:eastAsia="zh-CN"/>
              </w:rPr>
              <w:t>4</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1200" w:firstLineChars="6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600" w:firstLineChars="3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372"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1800" w:firstLineChars="9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54.61</w:t>
            </w:r>
          </w:p>
        </w:tc>
        <w:tc>
          <w:tcPr>
            <w:tcW w:w="4304"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492"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提升维护管理工作，加大考评力度、提升维护质量、创新工作机制</w:t>
            </w:r>
            <w:r>
              <w:rPr>
                <w:rFonts w:hint="eastAsia" w:ascii="仿宋_GB2312" w:hAnsi="仿宋_GB2312" w:eastAsia="仿宋_GB2312" w:cs="仿宋_GB2312"/>
                <w:color w:val="000000"/>
                <w:sz w:val="20"/>
                <w:szCs w:val="2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400" w:firstLineChars="200"/>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单位负责的行政审批工作提效</w:t>
            </w:r>
            <w:r>
              <w:rPr>
                <w:rFonts w:hint="eastAsia" w:ascii="仿宋_GB2312" w:hAnsi="仿宋_GB2312" w:eastAsia="仿宋_GB2312" w:cs="仿宋_GB2312"/>
                <w:color w:val="000000"/>
                <w:sz w:val="20"/>
                <w:szCs w:val="2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400" w:firstLineChars="200"/>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大力推进环保和垃圾分类工作</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高效完成接待任务</w:t>
            </w:r>
            <w:r>
              <w:rPr>
                <w:rFonts w:hint="eastAsia" w:ascii="仿宋_GB2312" w:hAnsi="仿宋_GB2312" w:eastAsia="仿宋_GB2312" w:cs="仿宋_GB2312"/>
                <w:color w:val="000000"/>
                <w:sz w:val="20"/>
                <w:szCs w:val="2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400" w:firstLineChars="200"/>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color w:val="000000"/>
                <w:sz w:val="20"/>
                <w:szCs w:val="20"/>
                <w:highlight w:val="none"/>
              </w:rPr>
              <w:t>不断完善执法程序，持续开展综合整治，坚决抓好扬尘管控和禁燃禁放工作</w:t>
            </w:r>
            <w:r>
              <w:rPr>
                <w:rFonts w:hint="eastAsia" w:ascii="仿宋_GB2312" w:hAnsi="仿宋_GB2312" w:eastAsia="仿宋_GB2312" w:cs="仿宋_GB2312"/>
                <w:color w:val="000000"/>
                <w:sz w:val="20"/>
                <w:szCs w:val="2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及时受理信访投诉。　　</w:t>
            </w:r>
          </w:p>
        </w:tc>
        <w:tc>
          <w:tcPr>
            <w:tcW w:w="430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w:t>
            </w:r>
            <w:r>
              <w:rPr>
                <w:rFonts w:hint="eastAsia" w:ascii="仿宋_GB2312" w:hAnsi="仿宋_GB2312" w:eastAsia="仿宋_GB2312" w:cs="仿宋_GB2312"/>
                <w:sz w:val="20"/>
                <w:szCs w:val="20"/>
              </w:rPr>
              <w:t>提升</w:t>
            </w:r>
            <w:r>
              <w:rPr>
                <w:rFonts w:hint="eastAsia" w:ascii="仿宋_GB2312" w:hAnsi="仿宋_GB2312" w:eastAsia="仿宋_GB2312" w:cs="仿宋_GB2312"/>
                <w:sz w:val="20"/>
                <w:szCs w:val="20"/>
                <w:lang w:eastAsia="zh-CN"/>
              </w:rPr>
              <w:t>了</w:t>
            </w:r>
            <w:r>
              <w:rPr>
                <w:rFonts w:hint="eastAsia" w:ascii="仿宋_GB2312" w:hAnsi="仿宋_GB2312" w:eastAsia="仿宋_GB2312" w:cs="仿宋_GB2312"/>
                <w:sz w:val="20"/>
                <w:szCs w:val="20"/>
              </w:rPr>
              <w:t>维护管理工作</w:t>
            </w:r>
            <w:r>
              <w:rPr>
                <w:rFonts w:hint="eastAsia" w:ascii="仿宋_GB2312" w:hAnsi="仿宋_GB2312" w:eastAsia="仿宋_GB2312" w:cs="仿宋_GB2312"/>
                <w:sz w:val="20"/>
                <w:szCs w:val="20"/>
                <w:lang w:eastAsia="zh-CN"/>
              </w:rPr>
              <w:t>标准</w:t>
            </w:r>
            <w:r>
              <w:rPr>
                <w:rFonts w:hint="eastAsia" w:ascii="仿宋_GB2312" w:hAnsi="仿宋_GB2312" w:eastAsia="仿宋_GB2312" w:cs="仿宋_GB2312"/>
                <w:sz w:val="20"/>
                <w:szCs w:val="20"/>
              </w:rPr>
              <w:t>，加大</w:t>
            </w:r>
            <w:r>
              <w:rPr>
                <w:rFonts w:hint="eastAsia" w:ascii="仿宋_GB2312" w:hAnsi="仿宋_GB2312" w:eastAsia="仿宋_GB2312" w:cs="仿宋_GB2312"/>
                <w:sz w:val="20"/>
                <w:szCs w:val="20"/>
                <w:lang w:eastAsia="zh-CN"/>
              </w:rPr>
              <w:t>了</w:t>
            </w:r>
            <w:r>
              <w:rPr>
                <w:rFonts w:hint="eastAsia" w:ascii="仿宋_GB2312" w:hAnsi="仿宋_GB2312" w:eastAsia="仿宋_GB2312" w:cs="仿宋_GB2312"/>
                <w:sz w:val="20"/>
                <w:szCs w:val="20"/>
              </w:rPr>
              <w:t>考评力</w:t>
            </w:r>
            <w:r>
              <w:rPr>
                <w:rFonts w:hint="eastAsia" w:ascii="仿宋_GB2312" w:hAnsi="仿宋_GB2312" w:eastAsia="仿宋_GB2312" w:cs="仿宋_GB2312"/>
                <w:sz w:val="20"/>
                <w:szCs w:val="20"/>
                <w:lang w:eastAsia="zh-CN"/>
              </w:rPr>
              <w:t>度和</w:t>
            </w:r>
            <w:r>
              <w:rPr>
                <w:rFonts w:hint="eastAsia" w:ascii="仿宋_GB2312" w:hAnsi="仿宋_GB2312" w:eastAsia="仿宋_GB2312" w:cs="仿宋_GB2312"/>
                <w:sz w:val="20"/>
                <w:szCs w:val="20"/>
              </w:rPr>
              <w:t>创新工作机制</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rPr>
              <w:t>维护质量</w:t>
            </w:r>
            <w:r>
              <w:rPr>
                <w:rFonts w:hint="eastAsia" w:ascii="仿宋_GB2312" w:hAnsi="仿宋_GB2312" w:eastAsia="仿宋_GB2312" w:cs="仿宋_GB2312"/>
                <w:sz w:val="20"/>
                <w:szCs w:val="20"/>
                <w:lang w:eastAsia="zh-CN"/>
              </w:rPr>
              <w:t>得到明显提升；</w:t>
            </w:r>
            <w:r>
              <w:rPr>
                <w:rFonts w:hint="eastAsia" w:ascii="仿宋_GB2312" w:hAnsi="仿宋_GB2312" w:eastAsia="仿宋_GB2312" w:cs="仿宋_GB2312"/>
                <w:sz w:val="20"/>
                <w:szCs w:val="2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int="eastAsia" w:ascii="仿宋_GB2312" w:hAnsi="仿宋_GB2312" w:eastAsia="仿宋_GB2312" w:cs="仿宋_GB2312"/>
                <w:sz w:val="20"/>
                <w:szCs w:val="20"/>
                <w:lang w:eastAsia="zh-CN"/>
              </w:rPr>
            </w:pPr>
            <w:r>
              <w:rPr>
                <w:rFonts w:hint="default" w:ascii="仿宋_GB2312" w:hAnsi="仿宋_GB2312" w:eastAsia="仿宋_GB2312" w:cs="仿宋_GB2312"/>
                <w:sz w:val="20"/>
                <w:szCs w:val="20"/>
                <w:lang w:val="en" w:eastAsia="zh-CN"/>
              </w:rPr>
              <w:t>2</w:t>
            </w:r>
            <w:r>
              <w:rPr>
                <w:rFonts w:hint="eastAsia" w:ascii="仿宋_GB2312" w:hAnsi="仿宋_GB2312" w:eastAsia="仿宋_GB2312" w:cs="仿宋_GB2312"/>
                <w:sz w:val="20"/>
                <w:szCs w:val="20"/>
                <w:lang w:val="en-US" w:eastAsia="zh-CN"/>
              </w:rPr>
              <w:t>、</w:t>
            </w:r>
            <w:r>
              <w:rPr>
                <w:rFonts w:hint="eastAsia" w:ascii="仿宋_GB2312" w:hAnsi="仿宋_GB2312" w:eastAsia="仿宋_GB2312" w:cs="仿宋_GB2312"/>
                <w:sz w:val="20"/>
                <w:szCs w:val="20"/>
              </w:rPr>
              <w:t>单位负责的行政审批工作效</w:t>
            </w:r>
            <w:r>
              <w:rPr>
                <w:rFonts w:hint="eastAsia" w:ascii="仿宋_GB2312" w:hAnsi="仿宋_GB2312" w:eastAsia="仿宋_GB2312" w:cs="仿宋_GB2312"/>
                <w:sz w:val="20"/>
                <w:szCs w:val="20"/>
                <w:lang w:eastAsia="zh-CN"/>
              </w:rPr>
              <w:t>率明显提升；</w:t>
            </w:r>
          </w:p>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val="en-US" w:eastAsia="zh-CN"/>
              </w:rPr>
              <w:t>3、</w:t>
            </w:r>
            <w:r>
              <w:rPr>
                <w:rFonts w:hint="eastAsia" w:ascii="仿宋_GB2312" w:hAnsi="仿宋_GB2312" w:eastAsia="仿宋_GB2312" w:cs="仿宋_GB2312"/>
                <w:sz w:val="20"/>
                <w:szCs w:val="20"/>
              </w:rPr>
              <w:t>大力</w:t>
            </w:r>
            <w:r>
              <w:rPr>
                <w:rFonts w:hint="eastAsia" w:ascii="仿宋_GB2312" w:hAnsi="仿宋_GB2312" w:eastAsia="仿宋_GB2312" w:cs="仿宋_GB2312"/>
                <w:sz w:val="20"/>
                <w:szCs w:val="20"/>
                <w:lang w:eastAsia="zh-CN"/>
              </w:rPr>
              <w:t>了</w:t>
            </w:r>
            <w:r>
              <w:rPr>
                <w:rFonts w:hint="eastAsia" w:ascii="仿宋_GB2312" w:hAnsi="仿宋_GB2312" w:eastAsia="仿宋_GB2312" w:cs="仿宋_GB2312"/>
                <w:sz w:val="20"/>
                <w:szCs w:val="20"/>
              </w:rPr>
              <w:t>推进环保和垃圾分类工作</w:t>
            </w:r>
            <w:r>
              <w:rPr>
                <w:rFonts w:hint="eastAsia" w:ascii="仿宋_GB2312" w:hAnsi="仿宋_GB2312" w:eastAsia="仿宋_GB2312" w:cs="仿宋_GB2312"/>
                <w:sz w:val="20"/>
                <w:szCs w:val="20"/>
                <w:lang w:eastAsia="zh-CN"/>
              </w:rPr>
              <w:t>，港区环境明显改善，</w:t>
            </w:r>
            <w:r>
              <w:rPr>
                <w:rFonts w:hint="eastAsia" w:ascii="仿宋_GB2312" w:hAnsi="仿宋_GB2312" w:eastAsia="仿宋_GB2312" w:cs="仿宋_GB2312"/>
                <w:sz w:val="20"/>
                <w:szCs w:val="20"/>
              </w:rPr>
              <w:t>高效完成</w:t>
            </w:r>
            <w:r>
              <w:rPr>
                <w:rFonts w:hint="eastAsia" w:ascii="仿宋_GB2312" w:hAnsi="仿宋_GB2312" w:eastAsia="仿宋_GB2312" w:cs="仿宋_GB2312"/>
                <w:sz w:val="20"/>
                <w:szCs w:val="20"/>
                <w:lang w:eastAsia="zh-CN"/>
              </w:rPr>
              <w:t>了</w:t>
            </w:r>
            <w:r>
              <w:rPr>
                <w:rFonts w:hint="eastAsia" w:ascii="仿宋_GB2312" w:hAnsi="仿宋_GB2312" w:eastAsia="仿宋_GB2312" w:cs="仿宋_GB2312"/>
                <w:sz w:val="20"/>
                <w:szCs w:val="20"/>
              </w:rPr>
              <w:t>接待任务</w:t>
            </w:r>
            <w:r>
              <w:rPr>
                <w:rFonts w:hint="eastAsia" w:ascii="仿宋_GB2312" w:hAnsi="仿宋_GB2312" w:eastAsia="仿宋_GB2312" w:cs="仿宋_GB2312"/>
                <w:sz w:val="20"/>
                <w:szCs w:val="20"/>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val="en-US" w:eastAsia="zh-CN"/>
              </w:rPr>
              <w:t>4、进一步</w:t>
            </w:r>
            <w:r>
              <w:rPr>
                <w:rFonts w:hint="eastAsia" w:ascii="仿宋_GB2312" w:hAnsi="仿宋_GB2312" w:eastAsia="仿宋_GB2312" w:cs="仿宋_GB2312"/>
                <w:sz w:val="20"/>
                <w:szCs w:val="20"/>
              </w:rPr>
              <w:t>完善</w:t>
            </w:r>
            <w:r>
              <w:rPr>
                <w:rFonts w:hint="eastAsia" w:ascii="仿宋_GB2312" w:hAnsi="仿宋_GB2312" w:eastAsia="仿宋_GB2312" w:cs="仿宋_GB2312"/>
                <w:sz w:val="20"/>
                <w:szCs w:val="20"/>
                <w:lang w:eastAsia="zh-CN"/>
              </w:rPr>
              <w:t>了</w:t>
            </w:r>
            <w:r>
              <w:rPr>
                <w:rFonts w:hint="eastAsia" w:ascii="仿宋_GB2312" w:hAnsi="仿宋_GB2312" w:eastAsia="仿宋_GB2312" w:cs="仿宋_GB2312"/>
                <w:sz w:val="20"/>
                <w:szCs w:val="20"/>
              </w:rPr>
              <w:t>执法程序，持续开展综合整治，坚决抓好扬尘管控和禁燃禁放工作</w:t>
            </w:r>
            <w:r>
              <w:rPr>
                <w:rFonts w:hint="eastAsia" w:ascii="仿宋_GB2312" w:hAnsi="仿宋_GB2312" w:eastAsia="仿宋_GB2312" w:cs="仿宋_GB2312"/>
                <w:sz w:val="20"/>
                <w:szCs w:val="20"/>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400" w:firstLineChars="200"/>
              <w:textAlignment w:val="auto"/>
              <w:rPr>
                <w:rFonts w:hint="eastAsia" w:ascii="CESI仿宋-GB2312" w:hAnsi="CESI仿宋-GB2312" w:eastAsia="CESI仿宋-GB2312" w:cs="CESI仿宋-GB2312"/>
                <w:sz w:val="20"/>
                <w:szCs w:val="20"/>
                <w:lang w:val="en-US" w:eastAsia="zh-CN"/>
              </w:rPr>
            </w:pPr>
            <w:r>
              <w:rPr>
                <w:rFonts w:hint="eastAsia" w:ascii="仿宋_GB2312" w:hAnsi="仿宋_GB2312" w:eastAsia="仿宋_GB2312" w:cs="仿宋_GB2312"/>
                <w:sz w:val="20"/>
                <w:szCs w:val="20"/>
              </w:rPr>
              <w:t>5</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rPr>
              <w:t>及时受理</w:t>
            </w:r>
            <w:r>
              <w:rPr>
                <w:rFonts w:hint="eastAsia" w:ascii="仿宋_GB2312" w:hAnsi="仿宋_GB2312" w:eastAsia="仿宋_GB2312" w:cs="仿宋_GB2312"/>
                <w:sz w:val="20"/>
                <w:szCs w:val="20"/>
                <w:lang w:eastAsia="zh-CN"/>
              </w:rPr>
              <w:t>并妥善处置了</w:t>
            </w:r>
            <w:r>
              <w:rPr>
                <w:rFonts w:hint="eastAsia" w:ascii="仿宋_GB2312" w:hAnsi="仿宋_GB2312" w:eastAsia="仿宋_GB2312" w:cs="仿宋_GB2312"/>
                <w:sz w:val="20"/>
                <w:szCs w:val="20"/>
              </w:rPr>
              <w:t>信访投诉。</w:t>
            </w:r>
            <w:r>
              <w:rPr>
                <w:rFonts w:hint="eastAsia" w:ascii="CESI仿宋-GB2312" w:hAnsi="CESI仿宋-GB2312" w:eastAsia="CESI仿宋-GB2312" w:cs="CESI仿宋-GB2312"/>
                <w:sz w:val="20"/>
                <w:szCs w:val="20"/>
              </w:rPr>
              <w:t>　　</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对各类养护单位开展日常考核、错时考核、专项考核和定期考核</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48次</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124次</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对扬尘防治不达标的项目视进行教育、处罚和停工整改等行政处罚</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val="en-US" w:eastAsia="zh-CN"/>
              </w:rPr>
              <w:t>应改尽改</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9家未达标工地整改，</w:t>
            </w:r>
            <w:r>
              <w:rPr>
                <w:rFonts w:hint="eastAsia" w:ascii="仿宋_GB2312" w:hAnsi="仿宋_GB2312" w:eastAsia="仿宋_GB2312" w:cs="仿宋_GB2312"/>
                <w:bCs/>
                <w:sz w:val="20"/>
                <w:szCs w:val="20"/>
              </w:rPr>
              <w:t>查处违规运输车辆50余台次</w:t>
            </w:r>
            <w:r>
              <w:rPr>
                <w:rFonts w:hint="eastAsia" w:ascii="仿宋_GB2312" w:hAnsi="仿宋_GB2312" w:eastAsia="仿宋_GB2312" w:cs="仿宋_GB2312"/>
                <w:color w:val="000000"/>
                <w:sz w:val="20"/>
                <w:szCs w:val="20"/>
                <w:highlight w:val="none"/>
              </w:rPr>
              <w:t>　</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bCs/>
                <w:sz w:val="20"/>
                <w:szCs w:val="20"/>
                <w:lang w:val="en-US" w:eastAsia="zh-CN"/>
              </w:rPr>
              <w:t>查处</w:t>
            </w:r>
            <w:r>
              <w:rPr>
                <w:rFonts w:hint="eastAsia" w:ascii="仿宋_GB2312" w:hAnsi="仿宋_GB2312" w:eastAsia="仿宋_GB2312" w:cs="仿宋_GB2312"/>
                <w:bCs/>
                <w:sz w:val="20"/>
                <w:szCs w:val="20"/>
              </w:rPr>
              <w:t>露天焚烧行为</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应改尽改</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bCs/>
                <w:sz w:val="20"/>
                <w:szCs w:val="20"/>
              </w:rPr>
              <w:t>80余起</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及时受理信访投诉</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及时受理信访投诉</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12345案件195件、市长信箱10件、智慧城管平台6919件</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15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改善</w:t>
            </w:r>
            <w:r>
              <w:rPr>
                <w:rFonts w:hint="eastAsia" w:ascii="仿宋_GB2312" w:hAnsi="仿宋_GB2312" w:eastAsia="仿宋_GB2312" w:cs="仿宋_GB2312"/>
                <w:color w:val="000000"/>
                <w:sz w:val="20"/>
                <w:szCs w:val="20"/>
              </w:rPr>
              <w:t>区内</w:t>
            </w:r>
            <w:r>
              <w:rPr>
                <w:rFonts w:hint="eastAsia" w:ascii="仿宋_GB2312" w:hAnsi="仿宋_GB2312" w:eastAsia="仿宋_GB2312" w:cs="仿宋_GB2312"/>
                <w:color w:val="000000"/>
                <w:sz w:val="20"/>
                <w:szCs w:val="20"/>
                <w:lang w:val="en-US" w:eastAsia="zh-CN"/>
              </w:rPr>
              <w:t>市容环境</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default" w:ascii="仿宋_GB2312" w:hAnsi="仿宋_GB2312" w:eastAsia="仿宋_GB2312" w:cs="仿宋_GB2312"/>
                <w:color w:val="000000"/>
                <w:sz w:val="20"/>
                <w:szCs w:val="20"/>
                <w:lang w:val="en-US" w:eastAsia="zh-CN"/>
              </w:rPr>
              <w:t>区内无果皮烟头纸屑、白色垃圾、无杂物堆、无枯枝落叶、无人畜粪便、雨后无积水。</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市容环境卫生管养水平明显提升</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路灯设施完成率、亮灯率</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default" w:ascii="仿宋_GB2312" w:hAnsi="仿宋_GB2312" w:eastAsia="仿宋_GB2312" w:cs="仿宋_GB2312"/>
                <w:color w:val="000000"/>
                <w:sz w:val="18"/>
                <w:szCs w:val="18"/>
                <w:lang w:val="en-US" w:eastAsia="zh-CN"/>
              </w:rPr>
              <w:t>亮灯率：功能照明≥99%；设施完好率：≥95%；运行故障率：≤0.5%；报修故障修复及时率：100%</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均达到目标要求</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绿化景观</w:t>
            </w:r>
            <w:r>
              <w:rPr>
                <w:rFonts w:hint="eastAsia" w:ascii="仿宋_GB2312" w:hAnsi="仿宋_GB2312" w:eastAsia="仿宋_GB2312" w:cs="仿宋_GB2312"/>
                <w:color w:val="000000"/>
                <w:sz w:val="20"/>
                <w:szCs w:val="20"/>
                <w:lang w:val="en-US" w:eastAsia="zh-CN"/>
              </w:rPr>
              <w:t>管养</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绿化景观效果良好，不出现大面积死苗现象。</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绿化景观</w:t>
            </w:r>
            <w:r>
              <w:rPr>
                <w:rFonts w:hint="eastAsia" w:ascii="仿宋_GB2312" w:hAnsi="仿宋_GB2312" w:eastAsia="仿宋_GB2312" w:cs="仿宋_GB2312"/>
                <w:color w:val="000000"/>
                <w:sz w:val="20"/>
                <w:szCs w:val="20"/>
                <w:lang w:val="en-US" w:eastAsia="zh-CN"/>
              </w:rPr>
              <w:t>管养明显提升</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绿化养护还有待进一步提升管养水平，下一步加强管理，及时维护。</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市政设施管养</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道路、桥梁无沉陷,无坑槽,无松散,无破损,无错台,不影响交通</w:t>
            </w:r>
            <w:r>
              <w:rPr>
                <w:rFonts w:hint="eastAsia" w:ascii="仿宋_GB2312" w:hAnsi="仿宋_GB2312" w:eastAsia="仿宋_GB2312" w:cs="仿宋_GB2312"/>
                <w:color w:val="000000"/>
                <w:sz w:val="20"/>
                <w:szCs w:val="20"/>
                <w:lang w:eastAsia="zh-CN"/>
              </w:rPr>
              <w:t>。</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市政设施管养良好</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及时性有待进一步提升，下一步加强巡查，及时养护。</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工作完成情况</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各项工作按年初计划如期完成</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均如期完成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信访投诉处置时限</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规定时间内完成</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均在规定时间内办结</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城管信息平台案件处置时限</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及时有效处置</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均及时有效处置</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单位履职工作成本</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控制在年度预算金额内</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未出现超预算现象</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是否对社会环境产生负面影响</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是否对生态环境产生负面影响</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无负面影响</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城市维护成本管控</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有效管控，降低维护成本。</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得到有效管控</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产生一定的间接经济效益</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eastAsia="仿宋_GB2312"/>
                <w:kern w:val="0"/>
                <w:sz w:val="20"/>
                <w:szCs w:val="20"/>
              </w:rPr>
              <w:t>优化港区营商环境</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eastAsia="仿宋_GB2312"/>
                <w:kern w:val="0"/>
                <w:sz w:val="20"/>
                <w:szCs w:val="20"/>
              </w:rPr>
              <w:t>优化了港区营商环境</w:t>
            </w:r>
            <w:r>
              <w:rPr>
                <w:rFonts w:hint="eastAsia" w:eastAsia="仿宋_GB2312"/>
                <w:kern w:val="0"/>
                <w:sz w:val="20"/>
                <w:szCs w:val="20"/>
                <w:lang w:eastAsia="zh-CN"/>
              </w:rPr>
              <w:t>，</w:t>
            </w:r>
            <w:r>
              <w:rPr>
                <w:rFonts w:hint="eastAsia" w:eastAsia="仿宋_GB2312"/>
                <w:kern w:val="0"/>
                <w:sz w:val="20"/>
                <w:szCs w:val="20"/>
                <w:lang w:val="en-US" w:eastAsia="zh-CN"/>
              </w:rPr>
              <w:t>助力招商引资。</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改善市民居住环境</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改善市民居住环境</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有效改善</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提升港区城市形象</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提升港区城市形象</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不断提升</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标准还有待进一步提升，下一步加强管理，提升管理水平。</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改善城区居住环境</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提升扬尘整治水平</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扬尘污染源得到有效管控</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27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有效管控桔杆燃烧</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得到有效管控，空气质量好。</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推进港区城市管理规范化、精细化、常态化、制度化、法制</w:t>
            </w:r>
            <w:r>
              <w:rPr>
                <w:rFonts w:hint="eastAsia" w:ascii="仿宋_GB2312" w:hAnsi="仿宋_GB2312" w:eastAsia="仿宋_GB2312" w:cs="仿宋_GB2312"/>
                <w:color w:val="000000"/>
                <w:sz w:val="20"/>
                <w:szCs w:val="20"/>
                <w:lang w:eastAsia="zh-CN"/>
              </w:rPr>
              <w:t>化</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default" w:ascii="仿宋_GB2312" w:hAnsi="仿宋_GB2312" w:eastAsia="仿宋_GB2312" w:cs="仿宋_GB2312"/>
                <w:color w:val="000000"/>
                <w:sz w:val="20"/>
                <w:szCs w:val="20"/>
                <w:lang w:val="en-US" w:eastAsia="zh-CN"/>
              </w:rPr>
              <w:t>推进港区城市管理规范化、精细化、常态化、制度化、法制</w:t>
            </w:r>
            <w:r>
              <w:rPr>
                <w:rFonts w:hint="eastAsia" w:ascii="仿宋_GB2312" w:hAnsi="仿宋_GB2312" w:eastAsia="仿宋_GB2312" w:cs="仿宋_GB2312"/>
                <w:color w:val="000000"/>
                <w:sz w:val="20"/>
                <w:szCs w:val="20"/>
                <w:lang w:val="en-US" w:eastAsia="zh-CN"/>
              </w:rPr>
              <w:t>化</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管理水平不断提升</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改善城区环境，优化营商环境</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不断改善城区环境，吸引企业投资</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城区环境得到不断改善，创造了良好的营商环境。</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群众满意度</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95%以上</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20" w:hRule="atLeast"/>
          <w:jc w:val="center"/>
        </w:trPr>
        <w:tc>
          <w:tcPr>
            <w:tcW w:w="7044"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96.91</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widowControl w:val="0"/>
        <w:kinsoku/>
        <w:wordWrap/>
        <w:overflowPunct/>
        <w:topLinePunct w:val="0"/>
        <w:autoSpaceDE/>
        <w:autoSpaceDN/>
        <w:bidi w:val="0"/>
        <w:adjustRightInd/>
        <w:snapToGrid/>
        <w:spacing w:afterLines="0" w:line="300" w:lineRule="exact"/>
        <w:ind w:right="0" w:rightChars="0"/>
        <w:jc w:val="both"/>
        <w:textAlignment w:val="auto"/>
        <w:rPr>
          <w:rFonts w:hint="default" w:ascii="Times New Roman" w:hAnsi="Times New Roman" w:eastAsia="仿宋_GB2312" w:cs="Times New Roman"/>
          <w:sz w:val="22"/>
          <w:highlight w:val="none"/>
        </w:rPr>
      </w:pPr>
    </w:p>
    <w:p>
      <w:pPr>
        <w:keepNext w:val="0"/>
        <w:keepLines w:val="0"/>
        <w:pageBreakBefore w:val="0"/>
        <w:widowControl w:val="0"/>
        <w:kinsoku/>
        <w:wordWrap/>
        <w:overflowPunct/>
        <w:topLinePunct w:val="0"/>
        <w:autoSpaceDE/>
        <w:autoSpaceDN/>
        <w:bidi w:val="0"/>
        <w:adjustRightInd/>
        <w:snapToGrid/>
        <w:spacing w:afterLines="0" w:line="300" w:lineRule="exact"/>
        <w:ind w:right="0" w:rightChars="0"/>
        <w:jc w:val="both"/>
        <w:textAlignment w:val="auto"/>
        <w:rPr>
          <w:rFonts w:hint="eastAsia" w:ascii="仿宋_GB2312" w:hAnsi="仿宋_GB2312" w:eastAsia="仿宋_GB2312" w:cs="仿宋_GB2312"/>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李翠</w:t>
      </w:r>
      <w:r>
        <w:rPr>
          <w:rFonts w:hint="default" w:ascii="Times New Roman" w:hAnsi="Times New Roman" w:eastAsia="仿宋_GB2312" w:cs="Times New Roman"/>
          <w:sz w:val="22"/>
          <w:highlight w:val="none"/>
        </w:rPr>
        <w:t xml:space="preserve">  填报日期：</w:t>
      </w:r>
      <w:r>
        <w:rPr>
          <w:rFonts w:hint="eastAsia" w:ascii="CESI仿宋-GB2312" w:hAnsi="CESI仿宋-GB2312" w:eastAsia="CESI仿宋-GB2312" w:cs="CESI仿宋-GB2312"/>
          <w:sz w:val="22"/>
          <w:highlight w:val="none"/>
          <w:lang w:val="en-US" w:eastAsia="zh-CN"/>
        </w:rPr>
        <w:t xml:space="preserve">2024.6.25  </w:t>
      </w:r>
      <w:r>
        <w:rPr>
          <w:rFonts w:hint="default" w:ascii="Times New Roman" w:hAnsi="Times New Roman" w:eastAsia="仿宋_GB2312" w:cs="Times New Roman"/>
          <w:sz w:val="22"/>
          <w:highlight w:val="none"/>
        </w:rPr>
        <w:t>联系电话：</w:t>
      </w:r>
      <w:r>
        <w:rPr>
          <w:rFonts w:hint="eastAsia" w:ascii="CESI仿宋-GB2312" w:hAnsi="CESI仿宋-GB2312" w:eastAsia="CESI仿宋-GB2312" w:cs="CESI仿宋-GB2312"/>
          <w:sz w:val="22"/>
          <w:lang w:val="en-US" w:eastAsia="zh-CN"/>
        </w:rPr>
        <w:t>0730-3050775</w:t>
      </w:r>
      <w:r>
        <w:rPr>
          <w:rFonts w:hint="eastAsia" w:ascii="CESI仿宋-GB2312" w:hAnsi="CESI仿宋-GB2312" w:eastAsia="CESI仿宋-GB2312" w:cs="CESI仿宋-GB2312"/>
          <w:sz w:val="22"/>
          <w:highlight w:val="none"/>
        </w:rPr>
        <w:t xml:space="preserve"> </w:t>
      </w:r>
      <w:r>
        <w:rPr>
          <w:rFonts w:hint="eastAsia" w:ascii="CESI仿宋-GB2312" w:hAnsi="CESI仿宋-GB2312" w:eastAsia="CESI仿宋-GB2312" w:cs="CESI仿宋-GB2312"/>
          <w:sz w:val="22"/>
          <w:highlight w:val="none"/>
          <w:lang w:val="en-US" w:eastAsia="zh-CN"/>
        </w:rPr>
        <w:t xml:space="preserve"> </w:t>
      </w:r>
      <w:r>
        <w:rPr>
          <w:rFonts w:hint="eastAsia" w:ascii="CESI仿宋-GB2312" w:hAnsi="CESI仿宋-GB2312" w:eastAsia="CESI仿宋-GB2312" w:cs="CESI仿宋-GB2312"/>
          <w:sz w:val="22"/>
          <w:highlight w:val="none"/>
        </w:rPr>
        <w:t xml:space="preserve"> </w:t>
      </w:r>
      <w:r>
        <w:rPr>
          <w:rFonts w:hint="default" w:ascii="Times New Roman" w:hAnsi="Times New Roman" w:eastAsia="仿宋_GB2312" w:cs="Times New Roman"/>
          <w:sz w:val="22"/>
          <w:highlight w:val="none"/>
        </w:rPr>
        <w:t>单位负责人：</w:t>
      </w:r>
      <w:r>
        <w:rPr>
          <w:rFonts w:hint="eastAsia" w:ascii="Times New Roman" w:hAnsi="Times New Roman" w:eastAsia="仿宋_GB2312" w:cs="Times New Roman"/>
          <w:sz w:val="22"/>
          <w:highlight w:val="none"/>
          <w:lang w:eastAsia="zh-CN"/>
        </w:rPr>
        <w:t>罗明飞</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D64ED"/>
    <w:multiLevelType w:val="singleLevel"/>
    <w:tmpl w:val="8CAD64ED"/>
    <w:lvl w:ilvl="0" w:tentative="0">
      <w:start w:val="2"/>
      <w:numFmt w:val="chineseCounting"/>
      <w:suff w:val="nothing"/>
      <w:lvlText w:val="（%1）"/>
      <w:lvlJc w:val="left"/>
      <w:pPr>
        <w:ind w:left="-83"/>
      </w:pPr>
      <w:rPr>
        <w:rFonts w:hint="eastAsia"/>
      </w:rPr>
    </w:lvl>
  </w:abstractNum>
  <w:abstractNum w:abstractNumId="1">
    <w:nsid w:val="8EB9B3EC"/>
    <w:multiLevelType w:val="singleLevel"/>
    <w:tmpl w:val="8EB9B3EC"/>
    <w:lvl w:ilvl="0" w:tentative="0">
      <w:start w:val="1"/>
      <w:numFmt w:val="chineseCounting"/>
      <w:suff w:val="nothing"/>
      <w:lvlText w:val="%1、"/>
      <w:lvlJc w:val="left"/>
      <w:rPr>
        <w:rFonts w:hint="eastAsia"/>
      </w:rPr>
    </w:lvl>
  </w:abstractNum>
  <w:abstractNum w:abstractNumId="2">
    <w:nsid w:val="CE135C99"/>
    <w:multiLevelType w:val="singleLevel"/>
    <w:tmpl w:val="CE135C99"/>
    <w:lvl w:ilvl="0" w:tentative="0">
      <w:start w:val="4"/>
      <w:numFmt w:val="chineseCounting"/>
      <w:suff w:val="nothing"/>
      <w:lvlText w:val="%1、"/>
      <w:lvlJc w:val="left"/>
      <w:rPr>
        <w:rFonts w:hint="eastAsia" w:ascii="黑体" w:hAnsi="黑体" w:eastAsia="黑体" w:cs="黑体"/>
        <w:b/>
        <w:bCs/>
      </w:rPr>
    </w:lvl>
  </w:abstractNum>
  <w:abstractNum w:abstractNumId="3">
    <w:nsid w:val="DD7CC189"/>
    <w:multiLevelType w:val="singleLevel"/>
    <w:tmpl w:val="DD7CC189"/>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5OTBlMjkxOGJkZTY2YWVjYTkxNWZjODEzNjkwZDcifQ=="/>
  </w:docVars>
  <w:rsids>
    <w:rsidRoot w:val="59886344"/>
    <w:rsid w:val="012B4701"/>
    <w:rsid w:val="0264611C"/>
    <w:rsid w:val="02901FCC"/>
    <w:rsid w:val="037979A5"/>
    <w:rsid w:val="052E47BF"/>
    <w:rsid w:val="062545CC"/>
    <w:rsid w:val="06BF28E5"/>
    <w:rsid w:val="08234384"/>
    <w:rsid w:val="08C16076"/>
    <w:rsid w:val="09630EDC"/>
    <w:rsid w:val="0AE53B72"/>
    <w:rsid w:val="0BD22C7A"/>
    <w:rsid w:val="0BEF1743"/>
    <w:rsid w:val="0C807FF6"/>
    <w:rsid w:val="0CEE4F60"/>
    <w:rsid w:val="0CF75BDD"/>
    <w:rsid w:val="0DD5E01B"/>
    <w:rsid w:val="0E794CFD"/>
    <w:rsid w:val="10C574E3"/>
    <w:rsid w:val="13743CE5"/>
    <w:rsid w:val="13F05194"/>
    <w:rsid w:val="15CD96DC"/>
    <w:rsid w:val="15DC29EE"/>
    <w:rsid w:val="17FFBF07"/>
    <w:rsid w:val="187B1EDD"/>
    <w:rsid w:val="19BE3F0C"/>
    <w:rsid w:val="19DF2514"/>
    <w:rsid w:val="1BAF3E80"/>
    <w:rsid w:val="1BF9BE6F"/>
    <w:rsid w:val="1CFF2DD1"/>
    <w:rsid w:val="1E9A1B16"/>
    <w:rsid w:val="1EB06519"/>
    <w:rsid w:val="1FF7FC17"/>
    <w:rsid w:val="21274A8D"/>
    <w:rsid w:val="215D225D"/>
    <w:rsid w:val="219F9AC1"/>
    <w:rsid w:val="21A97250"/>
    <w:rsid w:val="22C36FD0"/>
    <w:rsid w:val="2556149D"/>
    <w:rsid w:val="25E12AFC"/>
    <w:rsid w:val="27C7136D"/>
    <w:rsid w:val="29EC56D7"/>
    <w:rsid w:val="2B2A7E7C"/>
    <w:rsid w:val="2CC3566A"/>
    <w:rsid w:val="2CE81574"/>
    <w:rsid w:val="2DDF768F"/>
    <w:rsid w:val="2F2E9119"/>
    <w:rsid w:val="30A9726C"/>
    <w:rsid w:val="32122865"/>
    <w:rsid w:val="335E1421"/>
    <w:rsid w:val="344C6EAD"/>
    <w:rsid w:val="344D6161"/>
    <w:rsid w:val="357BA9D3"/>
    <w:rsid w:val="35D61478"/>
    <w:rsid w:val="367B939B"/>
    <w:rsid w:val="36FC9F49"/>
    <w:rsid w:val="37957ECC"/>
    <w:rsid w:val="379FCFAB"/>
    <w:rsid w:val="37F76218"/>
    <w:rsid w:val="37FDA7BF"/>
    <w:rsid w:val="37FEF7B4"/>
    <w:rsid w:val="3950297B"/>
    <w:rsid w:val="39FF85D8"/>
    <w:rsid w:val="3A03179B"/>
    <w:rsid w:val="3AFDA944"/>
    <w:rsid w:val="3B7D732B"/>
    <w:rsid w:val="3B97D99F"/>
    <w:rsid w:val="3BBE89CC"/>
    <w:rsid w:val="3BCF3072"/>
    <w:rsid w:val="3CDE4D1A"/>
    <w:rsid w:val="3D6F3B95"/>
    <w:rsid w:val="3D876E0F"/>
    <w:rsid w:val="3EFF351B"/>
    <w:rsid w:val="3F9AD62A"/>
    <w:rsid w:val="3FBB24D4"/>
    <w:rsid w:val="3FD977CB"/>
    <w:rsid w:val="3FFF4EF2"/>
    <w:rsid w:val="418238EE"/>
    <w:rsid w:val="42AE24C0"/>
    <w:rsid w:val="44F248E6"/>
    <w:rsid w:val="471072A6"/>
    <w:rsid w:val="475F2681"/>
    <w:rsid w:val="47BFC2FF"/>
    <w:rsid w:val="49F35390"/>
    <w:rsid w:val="4ABD7744"/>
    <w:rsid w:val="4BDFD373"/>
    <w:rsid w:val="4C407B15"/>
    <w:rsid w:val="4C5E0AB3"/>
    <w:rsid w:val="4EE5726A"/>
    <w:rsid w:val="4EFEE9D1"/>
    <w:rsid w:val="4F6F2888"/>
    <w:rsid w:val="4F7B482C"/>
    <w:rsid w:val="4FAD422B"/>
    <w:rsid w:val="4FEFE88E"/>
    <w:rsid w:val="51BC6CB3"/>
    <w:rsid w:val="52263E21"/>
    <w:rsid w:val="52293911"/>
    <w:rsid w:val="523F42B2"/>
    <w:rsid w:val="524E5126"/>
    <w:rsid w:val="53441F5F"/>
    <w:rsid w:val="56F53FAD"/>
    <w:rsid w:val="57394B76"/>
    <w:rsid w:val="575FABE5"/>
    <w:rsid w:val="57F681D6"/>
    <w:rsid w:val="585A4825"/>
    <w:rsid w:val="58EC1714"/>
    <w:rsid w:val="59886344"/>
    <w:rsid w:val="5AFF102F"/>
    <w:rsid w:val="5B7BC79C"/>
    <w:rsid w:val="5BEB1803"/>
    <w:rsid w:val="5BF7FF83"/>
    <w:rsid w:val="5CF8285E"/>
    <w:rsid w:val="5CFFDFB4"/>
    <w:rsid w:val="5D33DD87"/>
    <w:rsid w:val="5D666870"/>
    <w:rsid w:val="5D7EE8D1"/>
    <w:rsid w:val="5DB66136"/>
    <w:rsid w:val="5DF2AD1B"/>
    <w:rsid w:val="5DFB3351"/>
    <w:rsid w:val="5EBB32CB"/>
    <w:rsid w:val="5EBFED6A"/>
    <w:rsid w:val="5EDD4761"/>
    <w:rsid w:val="5EE69FFC"/>
    <w:rsid w:val="5EED5A2B"/>
    <w:rsid w:val="5EFF1D30"/>
    <w:rsid w:val="5F66DB43"/>
    <w:rsid w:val="5FB13B0B"/>
    <w:rsid w:val="5FCE1F2B"/>
    <w:rsid w:val="5FCE84B5"/>
    <w:rsid w:val="5FDF122B"/>
    <w:rsid w:val="5FEE505F"/>
    <w:rsid w:val="5FFF3909"/>
    <w:rsid w:val="5FFF3949"/>
    <w:rsid w:val="63741DF5"/>
    <w:rsid w:val="63AF31C8"/>
    <w:rsid w:val="63FF2C9F"/>
    <w:rsid w:val="64F68DC4"/>
    <w:rsid w:val="650224CC"/>
    <w:rsid w:val="65FD5C32"/>
    <w:rsid w:val="66B662A3"/>
    <w:rsid w:val="66F12C7F"/>
    <w:rsid w:val="6773320D"/>
    <w:rsid w:val="677FE972"/>
    <w:rsid w:val="683C550B"/>
    <w:rsid w:val="6A5176B7"/>
    <w:rsid w:val="6AFBCDB6"/>
    <w:rsid w:val="6B7FAB9B"/>
    <w:rsid w:val="6BF97ACA"/>
    <w:rsid w:val="6BFF9BA6"/>
    <w:rsid w:val="6C24541E"/>
    <w:rsid w:val="6C4EA942"/>
    <w:rsid w:val="6C5FCAD0"/>
    <w:rsid w:val="6CC14A1B"/>
    <w:rsid w:val="6CFEE888"/>
    <w:rsid w:val="6DDF66CB"/>
    <w:rsid w:val="6DDFA73A"/>
    <w:rsid w:val="6E1E62D2"/>
    <w:rsid w:val="6EFD3622"/>
    <w:rsid w:val="6F3F50F7"/>
    <w:rsid w:val="6F8A1A3C"/>
    <w:rsid w:val="6F9E908B"/>
    <w:rsid w:val="6FB7E0D4"/>
    <w:rsid w:val="6FBB27DC"/>
    <w:rsid w:val="6FBF0F83"/>
    <w:rsid w:val="6FFD7B47"/>
    <w:rsid w:val="71BF6F4E"/>
    <w:rsid w:val="71E833A0"/>
    <w:rsid w:val="724759C2"/>
    <w:rsid w:val="72F07E08"/>
    <w:rsid w:val="73041B05"/>
    <w:rsid w:val="736507F6"/>
    <w:rsid w:val="73B3EA29"/>
    <w:rsid w:val="73DD2D51"/>
    <w:rsid w:val="73DFC3F7"/>
    <w:rsid w:val="73E8A3D7"/>
    <w:rsid w:val="73F63D6C"/>
    <w:rsid w:val="7551B50D"/>
    <w:rsid w:val="75C7E259"/>
    <w:rsid w:val="75D76132"/>
    <w:rsid w:val="766EB5ED"/>
    <w:rsid w:val="768CA81A"/>
    <w:rsid w:val="76D7B5DF"/>
    <w:rsid w:val="76F2BF5E"/>
    <w:rsid w:val="76FB9C52"/>
    <w:rsid w:val="776A28F2"/>
    <w:rsid w:val="777FB96C"/>
    <w:rsid w:val="777FBD0D"/>
    <w:rsid w:val="7796C32C"/>
    <w:rsid w:val="77DFA765"/>
    <w:rsid w:val="77E369EE"/>
    <w:rsid w:val="77F7190E"/>
    <w:rsid w:val="77FDAF63"/>
    <w:rsid w:val="79E723E6"/>
    <w:rsid w:val="79FA931E"/>
    <w:rsid w:val="79FDF8EC"/>
    <w:rsid w:val="7ACF47A6"/>
    <w:rsid w:val="7AFB813E"/>
    <w:rsid w:val="7B1C4FA1"/>
    <w:rsid w:val="7BEF49F7"/>
    <w:rsid w:val="7BEF58FB"/>
    <w:rsid w:val="7BEFC903"/>
    <w:rsid w:val="7BF1DA02"/>
    <w:rsid w:val="7CCFB2A8"/>
    <w:rsid w:val="7CFEE03A"/>
    <w:rsid w:val="7D79788A"/>
    <w:rsid w:val="7D7F9CFB"/>
    <w:rsid w:val="7DAE54DE"/>
    <w:rsid w:val="7DDE14E0"/>
    <w:rsid w:val="7DEA90DC"/>
    <w:rsid w:val="7E2B6198"/>
    <w:rsid w:val="7E94260F"/>
    <w:rsid w:val="7EDFAFDA"/>
    <w:rsid w:val="7EDFC6D9"/>
    <w:rsid w:val="7F33E183"/>
    <w:rsid w:val="7F354D05"/>
    <w:rsid w:val="7F4EF610"/>
    <w:rsid w:val="7F6EEB99"/>
    <w:rsid w:val="7FBF6A64"/>
    <w:rsid w:val="7FC44C6A"/>
    <w:rsid w:val="7FEE796A"/>
    <w:rsid w:val="7FF3DAD8"/>
    <w:rsid w:val="7FF71610"/>
    <w:rsid w:val="7FF7DAAC"/>
    <w:rsid w:val="7FFABDC1"/>
    <w:rsid w:val="7FFCAFF8"/>
    <w:rsid w:val="7FFD64F5"/>
    <w:rsid w:val="7FFF882C"/>
    <w:rsid w:val="87CF84D4"/>
    <w:rsid w:val="8F67F40A"/>
    <w:rsid w:val="8FBBDA8C"/>
    <w:rsid w:val="96F70F1C"/>
    <w:rsid w:val="97BB2E08"/>
    <w:rsid w:val="9C39FF20"/>
    <w:rsid w:val="9DF6A23D"/>
    <w:rsid w:val="9E7FBC30"/>
    <w:rsid w:val="9FFE1052"/>
    <w:rsid w:val="9FFFF0D6"/>
    <w:rsid w:val="A70FE2D3"/>
    <w:rsid w:val="AD6E288A"/>
    <w:rsid w:val="ADFF50ED"/>
    <w:rsid w:val="AEFF164C"/>
    <w:rsid w:val="AF1F477E"/>
    <w:rsid w:val="AF97306D"/>
    <w:rsid w:val="AFB52316"/>
    <w:rsid w:val="B5D78030"/>
    <w:rsid w:val="B5F7AC47"/>
    <w:rsid w:val="B7F5319D"/>
    <w:rsid w:val="B8B52547"/>
    <w:rsid w:val="B9DF3149"/>
    <w:rsid w:val="BAF70F69"/>
    <w:rsid w:val="BB679D58"/>
    <w:rsid w:val="BCCE59B0"/>
    <w:rsid w:val="BD89677B"/>
    <w:rsid w:val="BDB9AA29"/>
    <w:rsid w:val="BDBD2FB8"/>
    <w:rsid w:val="BDFFA76E"/>
    <w:rsid w:val="BDFFD3AE"/>
    <w:rsid w:val="BE7F0D42"/>
    <w:rsid w:val="BEABDFE5"/>
    <w:rsid w:val="BF2E53C6"/>
    <w:rsid w:val="BF5FC8C1"/>
    <w:rsid w:val="BF7B3D08"/>
    <w:rsid w:val="BF7F26E8"/>
    <w:rsid w:val="BFBD9944"/>
    <w:rsid w:val="BFEF2291"/>
    <w:rsid w:val="BFEF9F98"/>
    <w:rsid w:val="BFF64B4C"/>
    <w:rsid w:val="BFFE68F3"/>
    <w:rsid w:val="BFFF0E60"/>
    <w:rsid w:val="BFFF336B"/>
    <w:rsid w:val="C2FF451E"/>
    <w:rsid w:val="C7EF037B"/>
    <w:rsid w:val="CD66BBDF"/>
    <w:rsid w:val="CD91D88D"/>
    <w:rsid w:val="CEFF37FC"/>
    <w:rsid w:val="D38F4627"/>
    <w:rsid w:val="D3ED5B76"/>
    <w:rsid w:val="D4B72793"/>
    <w:rsid w:val="D5F371A8"/>
    <w:rsid w:val="D65FE6E1"/>
    <w:rsid w:val="D776D0CF"/>
    <w:rsid w:val="DBD7BCE2"/>
    <w:rsid w:val="DCFF2E5D"/>
    <w:rsid w:val="DD2F0375"/>
    <w:rsid w:val="DD5559C1"/>
    <w:rsid w:val="DDD5A6E0"/>
    <w:rsid w:val="DDDFFA4B"/>
    <w:rsid w:val="DED68C1F"/>
    <w:rsid w:val="DEEDE89B"/>
    <w:rsid w:val="DEEDFFD8"/>
    <w:rsid w:val="DF7FD9BA"/>
    <w:rsid w:val="DF7FF227"/>
    <w:rsid w:val="DFA5B5A6"/>
    <w:rsid w:val="DFBC0B0E"/>
    <w:rsid w:val="DFDE3E74"/>
    <w:rsid w:val="DFDF275E"/>
    <w:rsid w:val="DFEF884A"/>
    <w:rsid w:val="DFFDDB05"/>
    <w:rsid w:val="E3CF7F8C"/>
    <w:rsid w:val="E3F73EC7"/>
    <w:rsid w:val="E3FBD0D9"/>
    <w:rsid w:val="E5FB53A3"/>
    <w:rsid w:val="E61F50F2"/>
    <w:rsid w:val="E71F9C77"/>
    <w:rsid w:val="E7FF0C79"/>
    <w:rsid w:val="E9CD835A"/>
    <w:rsid w:val="EBDD7012"/>
    <w:rsid w:val="EBFFD50C"/>
    <w:rsid w:val="ECF6D5F7"/>
    <w:rsid w:val="ED611329"/>
    <w:rsid w:val="ED96AA62"/>
    <w:rsid w:val="EDCD52D0"/>
    <w:rsid w:val="EDEF28E6"/>
    <w:rsid w:val="EEFB0A6C"/>
    <w:rsid w:val="EEFF95DB"/>
    <w:rsid w:val="EF7F551C"/>
    <w:rsid w:val="EFB284BE"/>
    <w:rsid w:val="EFB3D8D3"/>
    <w:rsid w:val="EFCDC209"/>
    <w:rsid w:val="EFDA29D4"/>
    <w:rsid w:val="EFF55482"/>
    <w:rsid w:val="EFF74C40"/>
    <w:rsid w:val="F1BF3A54"/>
    <w:rsid w:val="F1E5CF9C"/>
    <w:rsid w:val="F1F50771"/>
    <w:rsid w:val="F3AEC42B"/>
    <w:rsid w:val="F4277D70"/>
    <w:rsid w:val="F66FE6FC"/>
    <w:rsid w:val="F6A69DDF"/>
    <w:rsid w:val="F6DE2C54"/>
    <w:rsid w:val="F7739FCC"/>
    <w:rsid w:val="F77D6377"/>
    <w:rsid w:val="F7C55921"/>
    <w:rsid w:val="F7E1DA20"/>
    <w:rsid w:val="F8FD76C5"/>
    <w:rsid w:val="F8FDAEF3"/>
    <w:rsid w:val="F9408281"/>
    <w:rsid w:val="F97F01FB"/>
    <w:rsid w:val="F9BB5C91"/>
    <w:rsid w:val="F9F768CE"/>
    <w:rsid w:val="FA393F93"/>
    <w:rsid w:val="FA6DC6ED"/>
    <w:rsid w:val="FB3438E8"/>
    <w:rsid w:val="FB3B6B1D"/>
    <w:rsid w:val="FB957910"/>
    <w:rsid w:val="FBBD119B"/>
    <w:rsid w:val="FBEBCE6B"/>
    <w:rsid w:val="FC7FFA77"/>
    <w:rsid w:val="FCADDD5E"/>
    <w:rsid w:val="FCBA4E64"/>
    <w:rsid w:val="FCBFD8F8"/>
    <w:rsid w:val="FDDE0C11"/>
    <w:rsid w:val="FDDE8A0B"/>
    <w:rsid w:val="FDEFF7D9"/>
    <w:rsid w:val="FE6F845D"/>
    <w:rsid w:val="FE9B61EB"/>
    <w:rsid w:val="FEB33343"/>
    <w:rsid w:val="FEBB395A"/>
    <w:rsid w:val="FEFB15B0"/>
    <w:rsid w:val="FEFF069E"/>
    <w:rsid w:val="FEFF0840"/>
    <w:rsid w:val="FEFF6659"/>
    <w:rsid w:val="FF3DDBD7"/>
    <w:rsid w:val="FF570A18"/>
    <w:rsid w:val="FF7B4F81"/>
    <w:rsid w:val="FF96A225"/>
    <w:rsid w:val="FF9FDAD3"/>
    <w:rsid w:val="FFADE8C1"/>
    <w:rsid w:val="FFAE1F5B"/>
    <w:rsid w:val="FFBFB6DC"/>
    <w:rsid w:val="FFD64C7E"/>
    <w:rsid w:val="FFD9B916"/>
    <w:rsid w:val="FFEDDFB9"/>
    <w:rsid w:val="FFEF5216"/>
    <w:rsid w:val="FFF31979"/>
    <w:rsid w:val="FFF5D70D"/>
    <w:rsid w:val="FFF73ED9"/>
    <w:rsid w:val="FFFA6F35"/>
    <w:rsid w:val="FFFE9A56"/>
    <w:rsid w:val="FFFF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5"/>
    <w:basedOn w:val="1"/>
    <w:next w:val="1"/>
    <w:qFormat/>
    <w:uiPriority w:val="0"/>
    <w:pPr>
      <w:ind w:left="1680" w:leftChars="8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列出段落1"/>
    <w:basedOn w:val="1"/>
    <w:qFormat/>
    <w:uiPriority w:val="34"/>
    <w:pPr>
      <w:ind w:firstLine="420" w:firstLineChars="200"/>
    </w:pPr>
  </w:style>
  <w:style w:type="paragraph" w:styleId="9">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9</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2024-03-22T08:36:00Z</dcterms:created>
  <dc:creator>Administrator</dc:creator>
  <cp:lastModifiedBy>TCB003</cp:lastModifiedBy>
  <cp:lastPrinted>2024-06-18T16:49:26Z</cp:lastPrinted>
  <dcterms:modified xsi:type="dcterms:W3CDTF">2024-06-18T16:54:17Z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6182D3A10D564617983F46DEE354AEAF</vt:lpwstr>
  </property>
</Properties>
</file>