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pStyle w:val="2"/>
        <w:rPr>
          <w:rFonts w:hint="eastAsia" w:ascii="宋体" w:hAnsi="宋体" w:eastAsia="宋体" w:cs="宋体"/>
          <w:b/>
          <w:bCs/>
          <w:sz w:val="44"/>
          <w:szCs w:val="44"/>
        </w:rPr>
      </w:pPr>
    </w:p>
    <w:p>
      <w:pPr>
        <w:pStyle w:val="3"/>
        <w:rPr>
          <w:rFonts w:hint="eastAsia"/>
        </w:rPr>
      </w:pPr>
    </w:p>
    <w:p>
      <w:pPr>
        <w:jc w:val="center"/>
        <w:rPr>
          <w:rFonts w:hint="eastAsia" w:ascii="宋体" w:hAnsi="宋体" w:eastAsia="宋体" w:cs="宋体"/>
          <w:b/>
          <w:bCs/>
          <w:sz w:val="44"/>
          <w:szCs w:val="44"/>
        </w:rPr>
      </w:pPr>
    </w:p>
    <w:p>
      <w:pPr>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sz w:val="44"/>
          <w:szCs w:val="44"/>
        </w:rPr>
        <w:t>202</w:t>
      </w:r>
      <w:r>
        <w:rPr>
          <w:rFonts w:hint="eastAsia" w:asciiTheme="majorEastAsia" w:hAnsiTheme="majorEastAsia" w:eastAsiaTheme="majorEastAsia" w:cstheme="majorEastAsia"/>
          <w:b/>
          <w:bCs/>
          <w:sz w:val="44"/>
          <w:szCs w:val="44"/>
          <w:lang w:val="en" w:eastAsia="zh-CN"/>
        </w:rPr>
        <w:t>3</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000000"/>
          <w:sz w:val="44"/>
          <w:szCs w:val="44"/>
        </w:rPr>
        <w:t>岳阳火车站地区综合执法支队</w:t>
      </w:r>
    </w:p>
    <w:p>
      <w:pPr>
        <w:jc w:val="center"/>
        <w:rPr>
          <w:rFonts w:hint="eastAsia" w:ascii="宋体" w:hAnsi="宋体" w:eastAsia="宋体" w:cs="宋体"/>
          <w:b/>
          <w:bCs/>
          <w:sz w:val="44"/>
          <w:szCs w:val="44"/>
        </w:rPr>
      </w:pPr>
      <w:r>
        <w:rPr>
          <w:rFonts w:hint="eastAsia" w:asciiTheme="majorEastAsia" w:hAnsiTheme="majorEastAsia" w:eastAsiaTheme="majorEastAsia" w:cstheme="majorEastAsia"/>
          <w:b/>
          <w:bCs/>
          <w:sz w:val="44"/>
          <w:szCs w:val="44"/>
        </w:rPr>
        <w:t>整体支出绩效自评报告</w:t>
      </w:r>
    </w:p>
    <w:p>
      <w:pPr>
        <w:jc w:val="center"/>
        <w:rPr>
          <w:rFonts w:hint="eastAsia" w:ascii="宋体" w:hAnsi="宋体" w:eastAsia="宋体" w:cs="宋体"/>
          <w:b/>
          <w:sz w:val="44"/>
          <w:szCs w:val="44"/>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eastAsia" w:asciiTheme="majorEastAsia" w:hAnsiTheme="majorEastAsia" w:eastAsiaTheme="majorEastAsia" w:cstheme="majorEastAsia"/>
          <w:b/>
          <w:bCs/>
          <w:sz w:val="36"/>
          <w:szCs w:val="36"/>
          <w:u w:val="single"/>
          <w:lang w:val="en-US" w:eastAsia="zh-CN"/>
        </w:rPr>
      </w:pPr>
      <w:r>
        <w:rPr>
          <w:rFonts w:hint="eastAsia" w:asciiTheme="majorEastAsia" w:hAnsiTheme="majorEastAsia" w:eastAsiaTheme="majorEastAsia" w:cstheme="majorEastAsia"/>
          <w:b/>
          <w:bCs/>
          <w:sz w:val="36"/>
          <w:szCs w:val="36"/>
        </w:rPr>
        <w:t>单位名称：</w:t>
      </w:r>
      <w:r>
        <w:rPr>
          <w:rFonts w:hint="eastAsia" w:asciiTheme="majorEastAsia" w:hAnsiTheme="majorEastAsia" w:eastAsiaTheme="majorEastAsia" w:cstheme="majorEastAsia"/>
          <w:b/>
          <w:bCs/>
          <w:color w:val="000000"/>
          <w:sz w:val="36"/>
          <w:szCs w:val="36"/>
          <w:u w:val="single"/>
        </w:rPr>
        <w:t>岳阳火车站地区综合执法支队</w:t>
      </w:r>
    </w:p>
    <w:p>
      <w:pPr>
        <w:spacing w:line="600" w:lineRule="exact"/>
        <w:jc w:val="center"/>
        <w:rPr>
          <w:rFonts w:hint="eastAsia" w:asciiTheme="majorEastAsia" w:hAnsiTheme="majorEastAsia" w:eastAsiaTheme="majorEastAsia" w:cstheme="majorEastAsia"/>
          <w:b/>
          <w:bCs/>
          <w:sz w:val="36"/>
          <w:szCs w:val="36"/>
          <w:lang w:val="en-US" w:eastAsia="zh-CN"/>
        </w:rPr>
      </w:pPr>
    </w:p>
    <w:p>
      <w:pPr>
        <w:spacing w:line="600" w:lineRule="exact"/>
        <w:jc w:val="center"/>
        <w:rPr>
          <w:rFonts w:hint="default" w:ascii="Times New Roman" w:hAnsi="Times New Roman" w:eastAsia="楷体_GB2312" w:cs="Times New Roman"/>
          <w:sz w:val="36"/>
          <w:szCs w:val="36"/>
        </w:rPr>
      </w:pPr>
      <w:r>
        <w:rPr>
          <w:rFonts w:hint="eastAsia" w:asciiTheme="majorEastAsia" w:hAnsiTheme="majorEastAsia" w:eastAsiaTheme="majorEastAsia" w:cstheme="majorEastAsia"/>
          <w:b/>
          <w:bCs/>
          <w:sz w:val="36"/>
          <w:szCs w:val="36"/>
          <w:lang w:val="en-US" w:eastAsia="zh-CN"/>
        </w:rPr>
        <w:t>202</w:t>
      </w:r>
      <w:r>
        <w:rPr>
          <w:rFonts w:hint="eastAsia" w:asciiTheme="majorEastAsia" w:hAnsiTheme="majorEastAsia" w:eastAsiaTheme="majorEastAsia" w:cstheme="majorEastAsia"/>
          <w:b/>
          <w:bCs/>
          <w:sz w:val="36"/>
          <w:szCs w:val="36"/>
          <w:lang w:val="en" w:eastAsia="zh-CN"/>
        </w:rPr>
        <w:t>4</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6</w:t>
      </w:r>
      <w:r>
        <w:rPr>
          <w:rFonts w:hint="eastAsia" w:asciiTheme="majorEastAsia" w:hAnsiTheme="majorEastAsia" w:eastAsiaTheme="majorEastAsia" w:cstheme="majorEastAsia"/>
          <w:b/>
          <w:bCs/>
          <w:sz w:val="36"/>
          <w:szCs w:val="36"/>
        </w:rPr>
        <w:t>月</w:t>
      </w:r>
      <w:r>
        <w:rPr>
          <w:rFonts w:hint="eastAsia" w:asciiTheme="majorEastAsia" w:hAnsiTheme="majorEastAsia" w:eastAsiaTheme="majorEastAsia" w:cstheme="majorEastAsia"/>
          <w:b/>
          <w:bCs/>
          <w:sz w:val="36"/>
          <w:szCs w:val="36"/>
          <w:lang w:val="en-US" w:eastAsia="zh-CN"/>
        </w:rPr>
        <w:t>26</w:t>
      </w:r>
      <w:r>
        <w:rPr>
          <w:rFonts w:hint="eastAsia" w:asciiTheme="majorEastAsia" w:hAnsiTheme="majorEastAsia" w:eastAsiaTheme="majorEastAsia" w:cstheme="majorEastAsia"/>
          <w:b/>
          <w:bCs/>
          <w:sz w:val="36"/>
          <w:szCs w:val="36"/>
        </w:rPr>
        <w:t>日</w:t>
      </w:r>
    </w:p>
    <w:p>
      <w:pPr>
        <w:jc w:val="center"/>
        <w:rPr>
          <w:rFonts w:hint="default" w:ascii="Times New Roman" w:hAnsi="Times New Roman" w:eastAsia="仿宋_GB2312" w:cs="Times New Roman"/>
          <w:sz w:val="36"/>
          <w:szCs w:val="36"/>
        </w:rPr>
      </w:pPr>
    </w:p>
    <w:p>
      <w:pPr>
        <w:jc w:val="center"/>
        <w:rPr>
          <w:rFonts w:hint="eastAsia" w:ascii="方正小标宋简体" w:hAnsi="方正小标宋简体" w:eastAsia="方正小标宋简体" w:cs="方正小标宋简体"/>
          <w:sz w:val="36"/>
          <w:szCs w:val="36"/>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岳阳火车站地区综合执法支队</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840" w:leftChars="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bidi w:val="0"/>
        <w:adjustRightInd/>
        <w:snapToGrid/>
        <w:spacing w:line="560" w:lineRule="exact"/>
        <w:ind w:firstLine="642" w:firstLineChars="200"/>
        <w:jc w:val="both"/>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pPr>
        <w:keepNext w:val="0"/>
        <w:keepLines w:val="0"/>
        <w:pageBreakBefore w:val="0"/>
        <w:widowControl/>
        <w:wordWrap/>
        <w:overflowPunct/>
        <w:topLinePunct w:val="0"/>
        <w:bidi w:val="0"/>
        <w:spacing w:line="560" w:lineRule="exact"/>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负责岳阳火车站、岳阳火车东站地区的综合管理、行政执法的综合协调和监督工作，在辖区开展综合执法并行使相对集中行政处罚权，具体行使市容环境卫生、市政、城市绿化、规划、环境保护、公安交通、工商行政、交通运输、物价、食品安全、文化市场等部分职能;并负责协调相关部门依法对辖区的社会治安和道路交通等实施管理，协调行政许可机关办理涉及市容环境、市政园林、道路运输等行政审批事项，对可能影响岳阳火车站地区管理秩序的，在审核批准前提出意见，以及协助市春运办做好岳阳火车站、岳阳火车东站春运工作，拟订并组织实施岳阳火车站地区应急预案。</w:t>
      </w:r>
    </w:p>
    <w:p>
      <w:pPr>
        <w:keepNext w:val="0"/>
        <w:keepLines w:val="0"/>
        <w:pageBreakBefore w:val="0"/>
        <w:widowControl/>
        <w:kinsoku/>
        <w:wordWrap/>
        <w:overflowPunct/>
        <w:topLinePunct w:val="0"/>
        <w:bidi w:val="0"/>
        <w:adjustRightInd/>
        <w:snapToGrid/>
        <w:spacing w:line="560" w:lineRule="exact"/>
        <w:ind w:firstLine="642" w:firstLineChars="200"/>
        <w:jc w:val="both"/>
        <w:textAlignment w:val="auto"/>
        <w:rPr>
          <w:rFonts w:hint="eastAsia" w:ascii="楷体_GB2312" w:hAnsi="楷体_GB2312" w:eastAsia="楷体_GB2312" w:cs="楷体_GB2312"/>
          <w:b/>
          <w:bCs/>
          <w:kern w:val="0"/>
          <w:sz w:val="32"/>
          <w:szCs w:val="32"/>
        </w:rPr>
      </w:pPr>
      <w:r>
        <w:rPr>
          <w:rFonts w:hint="eastAsia" w:ascii="仿宋_GB2312" w:hAnsi="仿宋_GB2312" w:eastAsia="仿宋_GB2312" w:cs="仿宋_GB2312"/>
          <w:b/>
          <w:bCs/>
          <w:kern w:val="0"/>
          <w:sz w:val="32"/>
          <w:szCs w:val="32"/>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我单位为岳阳市城市管理和综合执法局直属</w:t>
      </w:r>
      <w:r>
        <w:rPr>
          <w:rFonts w:hint="eastAsia" w:ascii="仿宋_GB2312" w:hAnsi="仿宋_GB2312" w:eastAsia="仿宋_GB2312" w:cs="仿宋_GB2312"/>
          <w:kern w:val="0"/>
          <w:sz w:val="32"/>
          <w:szCs w:val="32"/>
        </w:rPr>
        <w:t>公益一类事业单位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现有人员编制7</w:t>
      </w:r>
      <w:r>
        <w:rPr>
          <w:rFonts w:hint="eastAsia" w:ascii="仿宋_GB2312" w:hAnsi="仿宋_GB2312" w:eastAsia="仿宋_GB2312" w:cs="仿宋_GB2312"/>
          <w:kern w:val="0"/>
          <w:sz w:val="32"/>
          <w:szCs w:val="32"/>
          <w:lang w:val="en-US" w:eastAsia="zh-CN"/>
        </w:rPr>
        <w:t>8人</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rPr>
        <w:t>内设综合</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rPr>
        <w:t>、财务</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rPr>
        <w:t>、办公室、人事</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rPr>
        <w:t>、法规</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rPr>
        <w:t>和处罚中心6个职能</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lang w:val="en-US"/>
        </w:rPr>
        <w:t>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kern w:val="0"/>
          <w:sz w:val="32"/>
          <w:szCs w:val="32"/>
        </w:rPr>
        <w:t>下设3个分支机构：直属一大队、直属二大队、行政处罚大队。</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0"/>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总额为1067.62</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sz w:val="32"/>
          <w:szCs w:val="32"/>
          <w:lang w:val="en-US" w:eastAsia="zh-CN"/>
        </w:rPr>
        <w:t>965.94</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职工工资、津补贴、绩效工资及社会缴费等。</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101.68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1.00万元，实际</w:t>
      </w:r>
      <w:r>
        <w:rPr>
          <w:rFonts w:hint="eastAsia" w:ascii="仿宋_GB2312" w:hAnsi="仿宋_GB2312" w:eastAsia="仿宋_GB2312" w:cs="仿宋_GB2312"/>
          <w:bCs/>
          <w:sz w:val="32"/>
          <w:szCs w:val="32"/>
        </w:rPr>
        <w:t>支出0万元，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color w:val="auto"/>
          <w:sz w:val="32"/>
          <w:szCs w:val="32"/>
          <w:lang w:val="en-US" w:eastAsia="zh-CN"/>
        </w:rPr>
        <w:t>9.00万元（其中公车购置预算0万元），</w:t>
      </w:r>
      <w:r>
        <w:rPr>
          <w:rFonts w:hint="eastAsia" w:ascii="仿宋_GB2312" w:hAnsi="仿宋_GB2312" w:eastAsia="仿宋_GB2312" w:cs="仿宋_GB2312"/>
          <w:bCs/>
          <w:color w:val="auto"/>
          <w:sz w:val="32"/>
          <w:szCs w:val="32"/>
        </w:rPr>
        <w:t>公务用车运行维护费</w:t>
      </w:r>
      <w:r>
        <w:rPr>
          <w:rFonts w:hint="eastAsia" w:ascii="仿宋_GB2312" w:hAnsi="仿宋_GB2312" w:eastAsia="仿宋_GB2312" w:cs="仿宋_GB2312"/>
          <w:bCs/>
          <w:color w:val="auto"/>
          <w:sz w:val="32"/>
          <w:szCs w:val="32"/>
          <w:lang w:val="en-US" w:eastAsia="zh-CN"/>
        </w:rPr>
        <w:t>实际支出5.97</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w:t>
      </w:r>
      <w:r>
        <w:rPr>
          <w:rFonts w:hint="eastAsia" w:ascii="仿宋_GB2312" w:hAnsi="仿宋_GB2312" w:eastAsia="仿宋_GB2312" w:cs="仿宋_GB2312"/>
          <w:bCs/>
          <w:sz w:val="32"/>
          <w:szCs w:val="32"/>
          <w:lang w:eastAsia="zh-CN"/>
        </w:rPr>
        <w:t>费”支出</w:t>
      </w:r>
      <w:r>
        <w:rPr>
          <w:rFonts w:hint="eastAsia" w:ascii="仿宋_GB2312" w:hAnsi="仿宋_GB2312" w:eastAsia="仿宋_GB2312" w:cs="仿宋_GB2312"/>
          <w:bCs/>
          <w:sz w:val="32"/>
          <w:szCs w:val="32"/>
          <w:lang w:val="en-US" w:eastAsia="zh-CN"/>
        </w:rPr>
        <w:t>总额为5.97万元，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sz w:val="32"/>
          <w:szCs w:val="32"/>
        </w:rPr>
      </w:pPr>
      <w:r>
        <w:rPr>
          <w:rFonts w:hint="eastAsia" w:ascii="Times New Roman" w:hAnsi="Times New Roman" w:eastAsia="楷体_GB2312" w:cs="Times New Roman"/>
          <w:b/>
          <w:sz w:val="32"/>
          <w:szCs w:val="32"/>
          <w:lang w:eastAsia="zh-CN"/>
        </w:rPr>
        <w:t>（</w:t>
      </w:r>
      <w:r>
        <w:rPr>
          <w:rFonts w:hint="eastAsia" w:ascii="Times New Roman" w:hAnsi="Times New Roman" w:eastAsia="楷体_GB2312" w:cs="Times New Roman"/>
          <w:b/>
          <w:sz w:val="32"/>
          <w:szCs w:val="32"/>
          <w:lang w:val="en-US" w:eastAsia="zh-CN"/>
        </w:rPr>
        <w:t>二）</w:t>
      </w:r>
      <w:r>
        <w:rPr>
          <w:rFonts w:hint="default" w:ascii="Times New Roman" w:hAnsi="Times New Roman" w:eastAsia="楷体_GB2312" w:cs="Times New Roman"/>
          <w:b/>
          <w:sz w:val="32"/>
          <w:szCs w:val="32"/>
        </w:rPr>
        <w:t>项目支出情况</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金额为353.55</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（含上</w:t>
      </w:r>
      <w:r>
        <w:rPr>
          <w:rFonts w:hint="eastAsia" w:ascii="仿宋_GB2312" w:hAnsi="仿宋_GB2312" w:eastAsia="仿宋_GB2312" w:cs="仿宋_GB2312"/>
          <w:bCs/>
          <w:sz w:val="32"/>
          <w:szCs w:val="32"/>
          <w:lang w:val="en-US" w:eastAsia="zh-CN"/>
        </w:rPr>
        <w:t>年结转专项资金9.55万元），年中项目支出预算金额调整为386.53万元。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Cs/>
          <w:sz w:val="32"/>
          <w:szCs w:val="32"/>
          <w:lang w:eastAsia="zh-CN"/>
        </w:rPr>
        <w:t>本年</w:t>
      </w:r>
      <w:r>
        <w:rPr>
          <w:rFonts w:hint="eastAsia" w:ascii="仿宋_GB2312" w:hAnsi="仿宋_GB2312" w:eastAsia="仿宋_GB2312" w:cs="仿宋_GB2312"/>
          <w:bCs/>
          <w:sz w:val="32"/>
          <w:szCs w:val="32"/>
        </w:rPr>
        <w:t>项目支出</w:t>
      </w:r>
      <w:r>
        <w:rPr>
          <w:rFonts w:hint="eastAsia" w:ascii="仿宋_GB2312" w:hAnsi="仿宋_GB2312" w:eastAsia="仿宋_GB2312" w:cs="仿宋_GB2312"/>
          <w:bCs/>
          <w:sz w:val="32"/>
          <w:szCs w:val="32"/>
          <w:lang w:val="en-US" w:eastAsia="zh-CN"/>
        </w:rPr>
        <w:t>总额为370.43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sz w:val="32"/>
          <w:szCs w:val="32"/>
        </w:rPr>
        <w:t>城管事务经费</w:t>
      </w:r>
      <w:r>
        <w:rPr>
          <w:rFonts w:hint="eastAsia" w:ascii="仿宋_GB2312" w:hAnsi="仿宋_GB2312" w:eastAsia="仿宋_GB2312" w:cs="仿宋_GB2312"/>
          <w:sz w:val="32"/>
          <w:szCs w:val="32"/>
          <w:lang w:val="en-US" w:eastAsia="zh-CN"/>
        </w:rPr>
        <w:t>支出123.24万元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城市广场运营维护费</w:t>
      </w:r>
      <w:r>
        <w:rPr>
          <w:rFonts w:hint="eastAsia" w:ascii="仿宋_GB2312" w:hAnsi="仿宋_GB2312" w:eastAsia="仿宋_GB2312" w:cs="仿宋_GB2312"/>
          <w:sz w:val="32"/>
          <w:szCs w:val="32"/>
          <w:lang w:val="en-US" w:eastAsia="zh-CN"/>
        </w:rPr>
        <w:t>支出60.00万元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协管员经费</w:t>
      </w:r>
      <w:r>
        <w:rPr>
          <w:rFonts w:hint="eastAsia" w:ascii="仿宋_GB2312" w:hAnsi="仿宋_GB2312" w:eastAsia="仿宋_GB2312" w:cs="仿宋_GB2312"/>
          <w:sz w:val="32"/>
          <w:szCs w:val="32"/>
          <w:lang w:val="en-US" w:eastAsia="zh-CN"/>
        </w:rPr>
        <w:t>支出165.22万元</w:t>
      </w:r>
      <w:r>
        <w:rPr>
          <w:rFonts w:hint="eastAsia" w:ascii="仿宋_GB2312" w:hAnsi="仿宋_GB2312" w:eastAsia="仿宋_GB2312" w:cs="仿宋_GB2312"/>
          <w:sz w:val="32"/>
          <w:szCs w:val="32"/>
          <w:lang w:eastAsia="zh-CN"/>
        </w:rPr>
        <w:t>、办案费</w:t>
      </w:r>
      <w:r>
        <w:rPr>
          <w:rFonts w:hint="eastAsia" w:ascii="仿宋_GB2312" w:hAnsi="仿宋_GB2312" w:eastAsia="仿宋_GB2312" w:cs="仿宋_GB2312"/>
          <w:sz w:val="32"/>
          <w:szCs w:val="32"/>
          <w:lang w:val="en-US" w:eastAsia="zh-CN"/>
        </w:rPr>
        <w:t>21.97万元，保障了岳阳火车站地区和岳阳火车东站地区执法执勤、综合整治、广场设施设备维护及运行、两站广场绿化、</w:t>
      </w:r>
      <w:r>
        <w:rPr>
          <w:rFonts w:hint="eastAsia" w:ascii="仿宋_GB2312" w:hAnsi="仿宋_GB2312" w:eastAsia="仿宋_GB2312" w:cs="仿宋_GB2312"/>
          <w:bCs/>
          <w:sz w:val="32"/>
          <w:szCs w:val="32"/>
        </w:rPr>
        <w:t>春运</w:t>
      </w:r>
      <w:r>
        <w:rPr>
          <w:rFonts w:hint="eastAsia" w:ascii="仿宋_GB2312" w:hAnsi="仿宋_GB2312" w:eastAsia="仿宋_GB2312" w:cs="仿宋_GB2312"/>
          <w:bCs/>
          <w:sz w:val="32"/>
          <w:szCs w:val="32"/>
          <w:lang w:val="en-US" w:eastAsia="zh-CN"/>
        </w:rPr>
        <w:t>秩序</w:t>
      </w:r>
      <w:r>
        <w:rPr>
          <w:rFonts w:hint="eastAsia" w:ascii="仿宋_GB2312" w:hAnsi="仿宋_GB2312" w:eastAsia="仿宋_GB2312" w:cs="仿宋_GB2312"/>
          <w:bCs/>
          <w:sz w:val="32"/>
          <w:szCs w:val="32"/>
        </w:rPr>
        <w:t>管理</w:t>
      </w:r>
      <w:r>
        <w:rPr>
          <w:rFonts w:hint="eastAsia" w:ascii="仿宋_GB2312" w:hAnsi="仿宋_GB2312" w:eastAsia="仿宋_GB2312" w:cs="仿宋_GB2312"/>
          <w:bCs/>
          <w:sz w:val="32"/>
          <w:szCs w:val="32"/>
          <w:lang w:val="en-US" w:eastAsia="zh-CN"/>
        </w:rPr>
        <w:t>等工作顺利实施。</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年度绩效目标及完成情况</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认真贯彻、执行国家和地方关于综合行政执法的政策、法规；</w:t>
      </w:r>
    </w:p>
    <w:p>
      <w:pPr>
        <w:keepNext w:val="0"/>
        <w:keepLines w:val="0"/>
        <w:pageBreakBefore w:val="0"/>
        <w:widowControl/>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依法实施行政处罚，加强两站辖区内非法营运打击力度、规范两站辖区内的经营秩序和整顿管理等工作，协助市春运办做好一年一度的岳阳火车站、岳阳火车东站的春运工作；</w:t>
      </w:r>
    </w:p>
    <w:p>
      <w:pPr>
        <w:keepNext w:val="0"/>
        <w:keepLines w:val="0"/>
        <w:pageBreakBefore w:val="0"/>
        <w:kinsoku/>
        <w:wordWrap/>
        <w:overflowPunct/>
        <w:topLinePunct w:val="0"/>
        <w:autoSpaceDE/>
        <w:autoSpaceDN/>
        <w:bidi w:val="0"/>
        <w:adjustRightInd/>
        <w:snapToGrid/>
        <w:spacing w:after="120" w:afterLines="5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为我市打造环境优美、秩序井然、干净整洁的窗口环境。　</w:t>
      </w:r>
      <w:r>
        <w:rPr>
          <w:rFonts w:hint="eastAsia" w:ascii="仿宋_GB2312" w:hAnsi="仿宋_GB2312" w:eastAsia="仿宋_GB2312" w:cs="仿宋_GB2312"/>
          <w:color w:val="000000"/>
          <w:sz w:val="20"/>
          <w:szCs w:val="20"/>
          <w:highlight w:val="none"/>
        </w:rPr>
        <w:t>　</w:t>
      </w:r>
    </w:p>
    <w:p>
      <w:pPr>
        <w:pStyle w:val="2"/>
        <w:keepNext w:val="0"/>
        <w:keepLines w:val="0"/>
        <w:pageBreakBefore w:val="0"/>
        <w:wordWrap/>
        <w:overflowPunct/>
        <w:topLinePunct w:val="0"/>
        <w:bidi w:val="0"/>
        <w:spacing w:line="560" w:lineRule="exact"/>
        <w:ind w:firstLine="963" w:firstLineChars="300"/>
        <w:rPr>
          <w:rFonts w:hint="eastAsia"/>
          <w:sz w:val="32"/>
          <w:szCs w:val="32"/>
          <w:lang w:val="en-US" w:eastAsia="zh-CN"/>
        </w:rPr>
      </w:pPr>
      <w:r>
        <w:rPr>
          <w:rFonts w:hint="eastAsia" w:ascii="楷体_GB2312" w:hAnsi="楷体_GB2312" w:eastAsia="楷体_GB2312" w:cs="楷体_GB2312"/>
          <w:b/>
          <w:bCs w:val="0"/>
          <w:color w:val="auto"/>
          <w:kern w:val="2"/>
          <w:sz w:val="32"/>
          <w:szCs w:val="32"/>
          <w:highlight w:val="none"/>
          <w:lang w:val="en-US" w:eastAsia="zh-CN" w:bidi="ar-SA"/>
        </w:rPr>
        <w:t>完成情况：</w:t>
      </w:r>
    </w:p>
    <w:p>
      <w:pPr>
        <w:keepNext w:val="0"/>
        <w:keepLines w:val="0"/>
        <w:pageBreakBefore w:val="0"/>
        <w:widowControl/>
        <w:kinsoku/>
        <w:wordWrap/>
        <w:overflowPunct/>
        <w:topLinePunct w:val="0"/>
        <w:autoSpaceDE/>
        <w:autoSpaceDN/>
        <w:bidi w:val="0"/>
        <w:adjustRightInd/>
        <w:snapToGrid/>
        <w:spacing w:line="560" w:lineRule="exact"/>
        <w:ind w:firstLine="800" w:firstLineChars="2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eastAsia="zh-CN"/>
        </w:rPr>
        <w:t>完成情况：在岳阳火车站地区</w:t>
      </w:r>
      <w:r>
        <w:rPr>
          <w:rFonts w:hint="eastAsia" w:ascii="仿宋_GB2312" w:hAnsi="仿宋_GB2312" w:eastAsia="仿宋_GB2312" w:cs="仿宋_GB2312"/>
          <w:color w:val="000000"/>
          <w:sz w:val="32"/>
          <w:szCs w:val="32"/>
          <w:highlight w:val="none"/>
        </w:rPr>
        <w:t>认真贯彻、执行国家和地方关于综合行政执法的政策、法规</w:t>
      </w:r>
      <w:r>
        <w:rPr>
          <w:rFonts w:hint="eastAsia" w:ascii="仿宋_GB2312" w:hAnsi="仿宋_GB2312" w:eastAsia="仿宋_GB2312" w:cs="仿宋_GB2312"/>
          <w:color w:val="000000"/>
          <w:sz w:val="32"/>
          <w:szCs w:val="32"/>
          <w:highlight w:val="none"/>
          <w:lang w:eastAsia="zh-CN"/>
        </w:rPr>
        <w:t>，取得了良好的效果</w:t>
      </w:r>
      <w:r>
        <w:rPr>
          <w:rFonts w:hint="eastAsia" w:ascii="仿宋_GB2312" w:hAnsi="仿宋_GB2312" w:eastAsia="仿宋_GB2312" w:cs="仿宋_GB2312"/>
          <w:color w:val="00000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800" w:firstLineChars="25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lang w:eastAsia="zh-CN"/>
        </w:rPr>
        <w:t>完成情况：</w:t>
      </w:r>
      <w:r>
        <w:rPr>
          <w:rFonts w:hint="eastAsia" w:ascii="仿宋_GB2312" w:hAnsi="仿宋_GB2312" w:eastAsia="仿宋_GB2312" w:cs="仿宋_GB2312"/>
          <w:color w:val="000000"/>
          <w:sz w:val="32"/>
          <w:szCs w:val="32"/>
          <w:highlight w:val="none"/>
        </w:rPr>
        <w:t>依法实施行政处罚，加强</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两站辖区内非法营运打击力度</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两站辖区内的经营秩序</w:t>
      </w:r>
      <w:r>
        <w:rPr>
          <w:rFonts w:hint="eastAsia" w:ascii="仿宋_GB2312" w:hAnsi="仿宋_GB2312" w:eastAsia="仿宋_GB2312" w:cs="仿宋_GB2312"/>
          <w:color w:val="000000"/>
          <w:sz w:val="32"/>
          <w:szCs w:val="32"/>
          <w:highlight w:val="none"/>
          <w:lang w:eastAsia="zh-CN"/>
        </w:rPr>
        <w:t>进行了</w:t>
      </w:r>
      <w:r>
        <w:rPr>
          <w:rFonts w:hint="eastAsia" w:ascii="仿宋_GB2312" w:hAnsi="仿宋_GB2312" w:eastAsia="仿宋_GB2312" w:cs="仿宋_GB2312"/>
          <w:color w:val="000000"/>
          <w:sz w:val="32"/>
          <w:szCs w:val="32"/>
          <w:highlight w:val="none"/>
        </w:rPr>
        <w:t>整顿管理等工作，协助市春运办做好</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一年一度的岳阳火车站、岳阳火车东站的春运工作；</w:t>
      </w:r>
    </w:p>
    <w:p>
      <w:pPr>
        <w:keepNext w:val="0"/>
        <w:keepLines w:val="0"/>
        <w:pageBreakBefore w:val="0"/>
        <w:kinsoku/>
        <w:wordWrap/>
        <w:overflowPunct/>
        <w:topLinePunct w:val="0"/>
        <w:autoSpaceDE/>
        <w:autoSpaceDN/>
        <w:bidi w:val="0"/>
        <w:adjustRightInd/>
        <w:snapToGrid/>
        <w:spacing w:after="120" w:afterLines="50"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lang w:eastAsia="zh-CN"/>
        </w:rPr>
        <w:t>完成情况：</w:t>
      </w:r>
      <w:r>
        <w:rPr>
          <w:rFonts w:hint="eastAsia" w:ascii="仿宋_GB2312" w:hAnsi="仿宋_GB2312" w:eastAsia="仿宋_GB2312" w:cs="仿宋_GB2312"/>
          <w:color w:val="000000"/>
          <w:sz w:val="32"/>
          <w:szCs w:val="32"/>
          <w:highlight w:val="none"/>
        </w:rPr>
        <w:t>为我市打造</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环境优美、秩序井然、干净整洁的窗口环境</w:t>
      </w:r>
      <w:r>
        <w:rPr>
          <w:rFonts w:hint="eastAsia" w:ascii="仿宋_GB2312" w:hAnsi="仿宋_GB2312" w:eastAsia="仿宋_GB2312" w:cs="仿宋_GB2312"/>
          <w:color w:val="000000"/>
          <w:sz w:val="20"/>
          <w:szCs w:val="20"/>
          <w:highlight w:val="none"/>
        </w:rPr>
        <w:t>。</w:t>
      </w:r>
    </w:p>
    <w:p>
      <w:pPr>
        <w:keepNext w:val="0"/>
        <w:keepLines w:val="0"/>
        <w:pageBreakBefore w:val="0"/>
        <w:wordWrap/>
        <w:overflowPunct/>
        <w:topLinePunct w:val="0"/>
        <w:bidi w:val="0"/>
        <w:spacing w:after="120" w:afterLines="50" w:line="560" w:lineRule="exact"/>
        <w:ind w:firstLine="642" w:firstLineChars="200"/>
        <w:jc w:val="both"/>
        <w:rPr>
          <w:rFonts w:hint="eastAsia" w:ascii="黑体" w:hAnsi="黑体" w:eastAsia="黑体" w:cs="黑体"/>
          <w:sz w:val="32"/>
          <w:szCs w:val="32"/>
          <w:highlight w:val="none"/>
          <w:lang w:eastAsia="zh-CN"/>
        </w:rPr>
      </w:pPr>
      <w:r>
        <w:rPr>
          <w:rFonts w:hint="eastAsia" w:ascii="楷体_GB2312" w:hAnsi="楷体_GB2312" w:eastAsia="楷体_GB2312" w:cs="楷体_GB2312"/>
          <w:b/>
          <w:bCs/>
          <w:kern w:val="0"/>
          <w:sz w:val="32"/>
          <w:szCs w:val="32"/>
          <w:lang w:val="en-US" w:eastAsia="zh-CN"/>
        </w:rPr>
        <w:t>(二）实现产出和取得效益情况</w:t>
      </w:r>
    </w:p>
    <w:p>
      <w:pPr>
        <w:keepNext w:val="0"/>
        <w:keepLines w:val="0"/>
        <w:pageBreakBefore w:val="0"/>
        <w:wordWrap/>
        <w:overflowPunct/>
        <w:topLinePunct w:val="0"/>
        <w:bidi w:val="0"/>
        <w:spacing w:after="120" w:afterLines="50"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2023年，支队加大对火车站地区综合执法管理力度，持续抓好日常秩序管理，积极推进综治维稳工作。</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333333"/>
          <w:kern w:val="0"/>
          <w:sz w:val="32"/>
          <w:szCs w:val="32"/>
          <w:lang w:val="en-US" w:eastAsia="zh-CN" w:bidi="ar-SA"/>
        </w:rPr>
        <w:t>1、重大接待活动保障有力。全年各项接待活动密集频繁，全力做好了省运会、第二届旅游发展大会、CBA季前赛、全国血防工作大会、第三届岳商大会、30余次调研考察等各项重大接待活动的安全警卫、绿色通道、卫生秩序等保障工作，支队都保质保量完成，得到各级领导一致好评。</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2、春运暑运工作平稳有序。2023年是新冠疫情结束后的第一年，铁路旅客运输量全面恢复。岳阳东站和岳阳火车站两站客流量在春运、五一小长假、暑运、国庆长假期间屡创新高，多次突破8万人次大关，远超建站设计客流量10倍以上，接驳运力、交通组织、环境卫生、志愿服务等各项管理服务面临空前压力。为确保平稳有序，在“两运”关键节点，支队动员全部力量，依托站场智慧平台等各类设施设备，大力开展喊客拉客、交通秩序、出租车违规经营等专项整治行动，经常性开展爱国卫生运动、党员志愿服务等活动，切实做好各项秩序管理，热情服务过往旅客，有效达成了安全、有序、文明、舒适的各项既定目标。</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3、加强交通整治，“人管”“技防”共同强化。如何破解火车站地区车多、路堵的难题，支队除了继续增加执法人员，加强现场交通管制力度；同时协调局停车管理单位，强化停车抄牌执法力度，对火车站地区违停车辆采取了抄牌拖离等措施，火车站地区全年停车秩序良好，大大方便了市民出行；对出租车采取多重多方手段，4月份开始联合与交通运输部门、行业协会业务联系，开展出租车运营秩序联合整治，全年教育整改274台次；尤其在交通管理的“技防”上，实现了多年以来协调的重大突破，9月正式启用岳阳东站交通违停抓拍系统，破解了过去车辆违停屡禁不止的难题，缓解了站场交通秩序管理压力，提升了管理效能，加强执法手段，避免了执法纠纷，为东站交通路畅人欢提供了有力的技术保障。</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4、迎检创建工作稳步推进。今年文明城市和卫生城市迎检任务繁重、时间紧迫、工作压头，支队上下一心，深入排查问题、多方协调处置、强化整改措施。尤其在下半年的迎检中，支队协调路灯主管部门增设、更换130多盏灯光设备，为东站广场“添亮”；协调市政主管部门更换2000多块地板砖，为市民出行“排雷”；协调绿化主管部门清理、培植泥土裸露行道树30多平方米，为绿色更加“养眼”；协调经开区环卫部门在2座公厕（垃圾场）加装新风除臭系统2套，为环卫设施更“清新”。</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5、持续重拳打击“喊客拉客”顽疾。2023年春运期间持续开展夜间突击行动，联合车站派出所、市城管公安大队民警抓获扰乱站场秩序的喊客拉客人员16名，对屡教不改的21名人员由派出所采取拘留的强制措施；6月份组织开展“喊客拉客整治百日会战”专项行动，以智慧城管系统为支撑，协调各相关部门共同发力，查处非法营运车辆，通过拘留、罚款、批评教育等多种手段，扎实的做好了暑运稳定工作。</w:t>
      </w:r>
    </w:p>
    <w:p>
      <w:pPr>
        <w:keepNext w:val="0"/>
        <w:keepLines w:val="0"/>
        <w:pageBreakBefore w:val="0"/>
        <w:numPr>
          <w:ilvl w:val="0"/>
          <w:numId w:val="0"/>
        </w:numPr>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11.16”湖北旅游客车在岳阻运的舆情发生后，支队按照市城管局统一部署，会同岳阳市交通运输行政执法支队、岳阳市公安局巡特警支队、岳阳市道路运输服务中心于11月25日开始在两站地区特别是岳阳东站开展了以喊客拉客违法行为为重点的客运市场秩序综合整治行动。通过召集城运集团、龙骧神驰集团、出租车公司（协会）、网约车公司（协会）等有关企业，集中开展了职能职责确权、边界范围划定、普法宣传教育、客运车辆以及从业人员摸底调查、客运车辆功能区域定位等前期工作。11月27日四部门联合印发《岳阳市火车站地区交通运输打非治违专项整治行动方案》，开始以整治喊客拉客、非法营运、出租车（网约车）违规经营等行为重点的联合执法工作。期间召开联席会议5次、拘留喊客拉客违法人员2人、采集喊客拉客违法人员证据12份、查处各类违法车辆21台、刊发法制宣传教育公告4处、设置客运引导标识标牌20处，各执法部门群策群力协同协作，将责任压实到执法人员，将压力传导到客运企业，高站位、多措施、严纪律推进各项工作，取得了喊客拉客人员逐步清零、非法营运车辆基本绝迹的良好成绩，站场各类秩序为建站以来最优水平。</w:t>
      </w:r>
    </w:p>
    <w:p>
      <w:pPr>
        <w:pStyle w:val="2"/>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6、在综治暨平安工作中，支队召开专题会议研究、部署宣传月活动，以组织张贴横幅标语、设置公开栏，每月结合党建活动日进行干部职工教育，还开展1次站场现场宣传活动，加大宣传力度。对于扫黑除恶专项工作，在岳阳火车站辖区通过各经营门店电子显示屏滚动宣传、发放宣传资料、现场讲解等形式，与群众现场进行沟通交流，讲解扫黑除恶专项斗争的重要意义，以及举报涉黑涉恶的内容、方式、要求，讲解常见的诈骗手段及防范方式，以及如何运用法律武器保障自身的合法权益，帮助老年人提高法治意识和识骗防骗能力，让不法分子“不敢骗、不能骗、骗不了”。</w:t>
      </w:r>
    </w:p>
    <w:p>
      <w:pPr>
        <w:pStyle w:val="3"/>
        <w:keepNext w:val="0"/>
        <w:keepLines w:val="0"/>
        <w:pageBreakBefore w:val="0"/>
        <w:wordWrap/>
        <w:overflowPunct/>
        <w:topLinePunct w:val="0"/>
        <w:bidi w:val="0"/>
        <w:spacing w:line="560" w:lineRule="exact"/>
        <w:ind w:left="0" w:leftChars="0"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color w:val="333333"/>
          <w:kern w:val="0"/>
          <w:sz w:val="32"/>
          <w:szCs w:val="32"/>
          <w:lang w:val="en-US" w:eastAsia="zh-CN" w:bidi="ar-SA"/>
        </w:rPr>
        <w:t>7、在禁毒工作中，围绕“全民禁毒你我他，禁毒宣传进万家”的主题，组织开展禁毒宣传，宣传制作标语广告牌16块；深入门店、产权单位共计351家次，进行传单、门店广告屏等宣传；开展站场大型现场宣传活动一次。在火车站区域营造深厚的禁毒氛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8、持续紧抓安全工作不放松。及时组织召开安全生产学习会议，及时组织支队传达学习了市安办、市局关于安全生产和消防工作的最新文件和会议精神；及时在春运、暑运、小长假等关键节点前布置、安排、强调安全工作；及时开展管辖领域的安全生产督导检查，重点检查了各责任单位安全措施、值班制度、人员在岗、消防设施等情况，要求各运输企业和停车服务单位切实履行安全责任，打造平安站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560" w:lineRule="exact"/>
        <w:ind w:right="11" w:rightChars="0" w:firstLine="666" w:firstLineChars="200"/>
        <w:jc w:val="both"/>
        <w:textAlignment w:val="baseline"/>
        <w:rPr>
          <w:rFonts w:hint="eastAsia" w:eastAsia="仿宋" w:cs="仿宋"/>
          <w:b/>
          <w:bCs/>
          <w:spacing w:val="6"/>
          <w:kern w:val="0"/>
          <w:sz w:val="32"/>
          <w:szCs w:val="32"/>
          <w:lang w:val="en-US" w:eastAsia="zh-CN"/>
        </w:rPr>
      </w:pPr>
      <w:r>
        <w:rPr>
          <w:rFonts w:hint="eastAsia" w:eastAsia="仿宋" w:cs="仿宋"/>
          <w:b/>
          <w:bCs/>
          <w:spacing w:val="6"/>
          <w:kern w:val="0"/>
          <w:sz w:val="32"/>
          <w:szCs w:val="32"/>
          <w:lang w:val="en-US" w:eastAsia="zh-CN"/>
        </w:rPr>
        <w:t>（三）预算资金管理情况</w:t>
      </w:r>
    </w:p>
    <w:p>
      <w:pPr>
        <w:pStyle w:val="2"/>
        <w:keepNext w:val="0"/>
        <w:keepLines w:val="0"/>
        <w:pageBreakBefore w:val="0"/>
        <w:numPr>
          <w:ilvl w:val="0"/>
          <w:numId w:val="0"/>
        </w:numPr>
        <w:wordWrap/>
        <w:overflowPunct/>
        <w:topLinePunct w:val="0"/>
        <w:bidi w:val="0"/>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w:t>
      </w:r>
      <w:r>
        <w:rPr>
          <w:rFonts w:hint="eastAsia" w:ascii="仿宋_GB2312" w:hAnsi="仿宋_GB2312" w:eastAsia="仿宋_GB2312" w:cs="仿宋_GB2312"/>
          <w:color w:val="auto"/>
          <w:sz w:val="32"/>
          <w:szCs w:val="32"/>
          <w:lang w:eastAsia="zh-CN"/>
        </w:rPr>
        <w:t>岳</w:t>
      </w:r>
      <w:r>
        <w:rPr>
          <w:rFonts w:hint="eastAsia" w:ascii="仿宋_GB2312" w:hAnsi="仿宋_GB2312" w:eastAsia="仿宋_GB2312" w:cs="仿宋_GB2312"/>
          <w:sz w:val="32"/>
          <w:szCs w:val="32"/>
          <w:lang w:eastAsia="zh-CN"/>
        </w:rPr>
        <w:t>阳市</w:t>
      </w:r>
      <w:r>
        <w:rPr>
          <w:rFonts w:hint="eastAsia" w:ascii="仿宋_GB2312" w:hAnsi="仿宋_GB2312" w:eastAsia="仿宋_GB2312" w:cs="仿宋_GB2312"/>
          <w:sz w:val="32"/>
          <w:szCs w:val="32"/>
          <w:lang w:val="en-US" w:eastAsia="zh-CN"/>
        </w:rPr>
        <w:t>预算绩效领导小组《关于印发&lt;2023年度岳阳市绩效管理工作方案&gt;的通知》（岳绩效〔2023〕1号）和其他相关文件要求，支队成立了绩效评价及监督小组，定期开展相关工作。</w:t>
      </w:r>
    </w:p>
    <w:p>
      <w:pPr>
        <w:pStyle w:val="3"/>
        <w:keepNext w:val="0"/>
        <w:keepLines w:val="0"/>
        <w:pageBreakBefore w:val="0"/>
        <w:wordWrap/>
        <w:overflowPunct/>
        <w:topLinePunct w:val="0"/>
        <w:bidi w:val="0"/>
        <w:spacing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jc w:val="both"/>
        <w:textAlignment w:val="auto"/>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支队为加强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，从预算编制入手，编制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资金绩效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做到了预算有目标。于9月底，组织开展了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工作，次年5 月开始组织对上年经费支出进行自评工作，做到了</w:t>
      </w:r>
      <w:r>
        <w:rPr>
          <w:rFonts w:hint="eastAsia" w:ascii="仿宋_GB2312" w:hAnsi="仿宋_GB2312" w:eastAsia="仿宋_GB2312" w:cs="仿宋_GB2312"/>
          <w:spacing w:val="6"/>
          <w:kern w:val="0"/>
          <w:sz w:val="32"/>
          <w:szCs w:val="32"/>
        </w:rPr>
        <w:t>预算完成有评价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bCs/>
          <w:sz w:val="32"/>
          <w:szCs w:val="32"/>
          <w:highlight w:val="none"/>
          <w:lang w:val="en-US" w:eastAsia="zh-CN"/>
        </w:rPr>
        <w:t>由传统财务核算管理向项目质量管理转变、由专项资金日常财务管理向专项资金绩效管理的转变、由被动管理向制度管理转变，实现了“三个转变”，大大增强了支队管理人员预算意识和绩效意识，</w:t>
      </w:r>
      <w:r>
        <w:rPr>
          <w:rFonts w:hint="eastAsia" w:ascii="仿宋_GB2312" w:hAnsi="仿宋_GB2312" w:eastAsia="仿宋_GB2312" w:cs="仿宋_GB2312"/>
          <w:spacing w:val="6"/>
          <w:kern w:val="0"/>
          <w:sz w:val="32"/>
          <w:szCs w:val="32"/>
          <w:lang w:val="en-US" w:eastAsia="zh-CN"/>
        </w:rPr>
        <w:t>确保了财政资金支出绩效</w:t>
      </w:r>
      <w:r>
        <w:rPr>
          <w:rFonts w:hint="eastAsia" w:ascii="仿宋_GB2312" w:hAnsi="仿宋_GB2312" w:eastAsia="仿宋_GB2312" w:cs="仿宋_GB2312"/>
          <w:spacing w:val="6"/>
          <w:kern w:val="0"/>
          <w:sz w:val="32"/>
          <w:szCs w:val="32"/>
          <w:lang w:eastAsia="zh-CN"/>
        </w:rPr>
        <w:t>。</w:t>
      </w:r>
    </w:p>
    <w:p>
      <w:pPr>
        <w:pStyle w:val="2"/>
        <w:keepNext w:val="0"/>
        <w:keepLines w:val="0"/>
        <w:pageBreakBefore w:val="0"/>
        <w:wordWrap/>
        <w:overflowPunct/>
        <w:topLinePunct w:val="0"/>
        <w:bidi w:val="0"/>
        <w:spacing w:line="560" w:lineRule="exact"/>
        <w:jc w:val="both"/>
        <w:rPr>
          <w:rFonts w:hint="default"/>
          <w:sz w:val="32"/>
          <w:szCs w:val="32"/>
          <w:lang w:val="en-US" w:eastAsia="zh-CN"/>
        </w:rPr>
      </w:pPr>
      <w:r>
        <w:rPr>
          <w:rFonts w:hint="eastAsia" w:ascii="仿宋_GB2312" w:hAnsi="仿宋_GB2312" w:eastAsia="仿宋_GB2312" w:cs="仿宋_GB2312"/>
          <w:spacing w:val="6"/>
          <w:kern w:val="0"/>
          <w:sz w:val="32"/>
          <w:szCs w:val="32"/>
          <w:lang w:val="en-US" w:eastAsia="zh-CN"/>
        </w:rPr>
        <w:t xml:space="preserve">    2、费用支出管理情况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加强内部控制管理，费用支出严格审批程序，</w:t>
      </w:r>
      <w:r>
        <w:rPr>
          <w:rFonts w:hint="eastAsia" w:ascii="仿宋_GB2312" w:hAnsi="仿宋_GB2312" w:eastAsia="仿宋_GB2312" w:cs="仿宋_GB2312"/>
          <w:spacing w:val="6"/>
          <w:kern w:val="0"/>
          <w:sz w:val="32"/>
          <w:szCs w:val="32"/>
        </w:rPr>
        <w:t>重大事项经班子会集体决策，费用支出归口管理，授权审批的财务管理制度。</w:t>
      </w:r>
      <w:r>
        <w:rPr>
          <w:rFonts w:hint="eastAsia" w:ascii="仿宋_GB2312" w:hAnsi="仿宋_GB2312" w:eastAsia="仿宋_GB2312" w:cs="仿宋_GB2312"/>
          <w:spacing w:val="6"/>
          <w:kern w:val="0"/>
          <w:sz w:val="32"/>
          <w:szCs w:val="32"/>
          <w:lang w:val="en-US" w:eastAsia="zh-CN"/>
        </w:rPr>
        <w:t>费用支出</w:t>
      </w:r>
      <w:r>
        <w:rPr>
          <w:rFonts w:hint="eastAsia" w:ascii="仿宋_GB2312" w:hAnsi="仿宋_GB2312" w:eastAsia="仿宋_GB2312" w:cs="仿宋_GB2312"/>
          <w:bCs/>
          <w:sz w:val="32"/>
          <w:szCs w:val="32"/>
          <w:highlight w:val="none"/>
          <w:lang w:val="en-US" w:eastAsia="zh-CN"/>
        </w:rPr>
        <w:t>按照"先报再审后用”的原则,由业务部门提出申请,部门分管领导签署意见，确认数量和预算资金额度,经财务部初审后,报分管财务领导审批后实施。</w:t>
      </w:r>
    </w:p>
    <w:p>
      <w:pPr>
        <w:pStyle w:val="2"/>
        <w:keepNext w:val="0"/>
        <w:keepLines w:val="0"/>
        <w:pageBreakBefore w:val="0"/>
        <w:wordWrap/>
        <w:overflowPunct/>
        <w:topLinePunct w:val="0"/>
        <w:bidi w:val="0"/>
        <w:spacing w:line="560" w:lineRule="exact"/>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 xml:space="preserve">     3、资产管理情况</w:t>
      </w:r>
    </w:p>
    <w:p>
      <w:pPr>
        <w:keepNext w:val="0"/>
        <w:keepLines w:val="0"/>
        <w:pageBreakBefore w:val="0"/>
        <w:widowControl/>
        <w:kinsoku w:val="0"/>
        <w:wordWrap/>
        <w:overflowPunct/>
        <w:topLinePunct w:val="0"/>
        <w:autoSpaceDE w:val="0"/>
        <w:autoSpaceDN w:val="0"/>
        <w:bidi w:val="0"/>
        <w:adjustRightInd w:val="0"/>
        <w:snapToGrid w:val="0"/>
        <w:spacing w:before="120" w:beforeLines="50" w:line="560" w:lineRule="exact"/>
        <w:ind w:left="20" w:leftChars="7" w:right="11"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sz w:val="32"/>
          <w:szCs w:val="32"/>
          <w:lang w:val="en-US" w:eastAsia="zh-CN"/>
        </w:rPr>
        <w:t>支队定期开展“三资”清查和资产盘点工作，资产管理采取统一建帐、统一核算管理，对每件固定资产使用明确保管职责。按照厉行节约、物尽其用的原则，闲置资产由办公室统一调整，合理流动，发挥其效益。固定资产配置和处置，均按规定程序办理，并严格按固定资产管理相关规定进行核算及管理。2023年末，</w:t>
      </w:r>
      <w:r>
        <w:rPr>
          <w:rFonts w:hint="eastAsia" w:ascii="仿宋_GB2312" w:hAnsi="仿宋_GB2312" w:eastAsia="仿宋_GB2312" w:cs="仿宋_GB2312"/>
          <w:sz w:val="32"/>
          <w:szCs w:val="32"/>
        </w:rPr>
        <w:t>总资产为</w:t>
      </w:r>
      <w:r>
        <w:rPr>
          <w:rFonts w:hint="eastAsia" w:ascii="仿宋_GB2312" w:hAnsi="仿宋_GB2312" w:eastAsia="仿宋_GB2312" w:cs="仿宋_GB2312"/>
          <w:sz w:val="32"/>
          <w:szCs w:val="32"/>
          <w:lang w:val="en-US" w:eastAsia="zh-CN"/>
        </w:rPr>
        <w:t>56.67</w:t>
      </w:r>
      <w:r>
        <w:rPr>
          <w:rFonts w:hint="eastAsia" w:ascii="仿宋_GB2312" w:hAnsi="仿宋_GB2312" w:eastAsia="仿宋_GB2312" w:cs="仿宋_GB2312"/>
          <w:sz w:val="32"/>
          <w:szCs w:val="32"/>
        </w:rPr>
        <w:t>万元，流动资产为1.1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万元，占总资产的</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%，非流动资产为</w:t>
      </w:r>
      <w:r>
        <w:rPr>
          <w:rFonts w:hint="eastAsia" w:ascii="仿宋_GB2312" w:hAnsi="仿宋_GB2312" w:eastAsia="仿宋_GB2312" w:cs="仿宋_GB2312"/>
          <w:sz w:val="32"/>
          <w:szCs w:val="32"/>
          <w:lang w:val="en-US" w:eastAsia="zh-CN"/>
        </w:rPr>
        <w:t>55.53</w:t>
      </w:r>
      <w:r>
        <w:rPr>
          <w:rFonts w:hint="eastAsia" w:ascii="仿宋_GB2312" w:hAnsi="仿宋_GB2312" w:eastAsia="仿宋_GB2312" w:cs="仿宋_GB2312"/>
          <w:sz w:val="32"/>
          <w:szCs w:val="32"/>
        </w:rPr>
        <w:t>万元，占总资产的</w:t>
      </w:r>
      <w:r>
        <w:rPr>
          <w:rFonts w:hint="eastAsia" w:ascii="仿宋_GB2312" w:hAnsi="仿宋_GB2312" w:eastAsia="仿宋_GB2312" w:cs="仿宋_GB2312"/>
          <w:sz w:val="32"/>
          <w:szCs w:val="32"/>
          <w:lang w:val="en-US" w:eastAsia="zh-CN"/>
        </w:rPr>
        <w:t>97.99</w:t>
      </w:r>
      <w:r>
        <w:rPr>
          <w:rFonts w:hint="eastAsia" w:ascii="仿宋_GB2312" w:hAnsi="仿宋_GB2312" w:eastAsia="仿宋_GB2312" w:cs="仿宋_GB2312"/>
          <w:sz w:val="32"/>
          <w:szCs w:val="32"/>
        </w:rPr>
        <w:t>%，负债为0万元，净资产为</w:t>
      </w:r>
      <w:r>
        <w:rPr>
          <w:rFonts w:hint="eastAsia" w:ascii="仿宋_GB2312" w:hAnsi="仿宋_GB2312" w:eastAsia="仿宋_GB2312" w:cs="仿宋_GB2312"/>
          <w:sz w:val="32"/>
          <w:szCs w:val="32"/>
          <w:lang w:val="en-US" w:eastAsia="zh-CN"/>
        </w:rPr>
        <w:t>56.67</w:t>
      </w:r>
      <w:r>
        <w:rPr>
          <w:rFonts w:hint="eastAsia" w:ascii="仿宋_GB2312" w:hAnsi="仿宋_GB2312" w:eastAsia="仿宋_GB2312" w:cs="仿宋_GB2312"/>
          <w:sz w:val="32"/>
          <w:szCs w:val="32"/>
        </w:rPr>
        <w:t>万元，占总资产的100%。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00" w:leftChars="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4、运行成本和管理效率</w:t>
      </w:r>
    </w:p>
    <w:p>
      <w:pPr>
        <w:pStyle w:val="2"/>
        <w:keepNext w:val="0"/>
        <w:keepLines w:val="0"/>
        <w:pageBreakBefore w:val="0"/>
        <w:numPr>
          <w:ilvl w:val="0"/>
          <w:numId w:val="0"/>
        </w:numPr>
        <w:wordWrap/>
        <w:overflowPunct/>
        <w:topLinePunct w:val="0"/>
        <w:bidi w:val="0"/>
        <w:spacing w:line="560" w:lineRule="exact"/>
        <w:ind w:firstLine="640" w:firstLineChars="200"/>
        <w:jc w:val="both"/>
        <w:rPr>
          <w:rFonts w:hint="default"/>
          <w:sz w:val="32"/>
          <w:szCs w:val="32"/>
          <w:lang w:val="en-US" w:eastAsia="zh-CN"/>
        </w:rPr>
      </w:pPr>
      <w:r>
        <w:rPr>
          <w:rFonts w:hint="eastAsia" w:ascii="仿宋_GB2312" w:hAnsi="仿宋_GB2312" w:eastAsia="仿宋_GB2312" w:cs="仿宋_GB2312"/>
          <w:sz w:val="32"/>
          <w:szCs w:val="32"/>
          <w:lang w:val="en-US" w:eastAsia="zh-CN"/>
        </w:rPr>
        <w:t>2023年，支队支出预算1482.16万元（其中一般公共预算金额为1481.31万元、其他资金预算为0.85万元），实际支出1438.90万元，其中基本支出1068.47万元（其他资金支出0.85万元）、项目支出370.43万元，年度预算执行率为97.08%，单位运行成本控制在年度预算金额内，资金周转利用效率高。</w:t>
      </w:r>
    </w:p>
    <w:p>
      <w:pPr>
        <w:pStyle w:val="2"/>
        <w:keepNext w:val="0"/>
        <w:keepLines w:val="0"/>
        <w:pageBreakBefore w:val="0"/>
        <w:numPr>
          <w:ilvl w:val="0"/>
          <w:numId w:val="0"/>
        </w:numPr>
        <w:wordWrap/>
        <w:overflowPunct/>
        <w:topLinePunct w:val="0"/>
        <w:bidi w:val="0"/>
        <w:spacing w:line="560" w:lineRule="exact"/>
        <w:ind w:firstLine="640" w:firstLineChars="200"/>
        <w:jc w:val="left"/>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（四）履职效能、社会效应、可持续发展能力和服务对象满意度等方面情况</w:t>
      </w:r>
    </w:p>
    <w:p>
      <w:pPr>
        <w:keepNext w:val="0"/>
        <w:keepLines w:val="0"/>
        <w:pageBreakBefore w:val="0"/>
        <w:wordWrap/>
        <w:overflowPunct/>
        <w:topLinePunct w:val="0"/>
        <w:bidi w:val="0"/>
        <w:spacing w:line="560" w:lineRule="exact"/>
        <w:ind w:firstLine="640" w:firstLineChars="200"/>
        <w:jc w:val="left"/>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在岳阳东站“爱心驿站”建成以来，坚持把“爱心驿站”打造成“劳动者港湾”、“歇脚地”、“暖心窝”。为社会公众提供便民、利民的多元服务设施，除座椅、微波炉、饮水机、空调、应急药箱等基本服务设施外，还设有旅游自助咨询机器人、“岳办岳好”自助政务服务终端、消杀机器人、血压测量仪、理发工具、爱心雨伞、爱心书、爱心轮椅、自助行李寄存、自助按摩椅、维修工具套件等多项设施和服务，并配备了卫生间和母婴室。全年累计帮助群众和旅客测量血压400多次，提供药品156次，提供口罩375次，提供临时休息1500多次，提供手机充电600多次，为行动不便老人家提供轮椅105次，提供免费行李寄存1362次，提供微波炉热饭服务400多次。支队将始终贯彻“以人民为中心”理念，持续抓好便民服务，为过往旅客提供了安全舒适的出行环境，</w:t>
      </w:r>
      <w:r>
        <w:rPr>
          <w:rFonts w:hint="eastAsia" w:ascii="仿宋_GB2312" w:hAnsi="仿宋_GB2312" w:eastAsia="仿宋_GB2312" w:cs="仿宋_GB2312"/>
          <w:kern w:val="0"/>
          <w:sz w:val="32"/>
          <w:szCs w:val="32"/>
        </w:rPr>
        <w:t>为我市打造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环境优美、秩序井然、干净整洁的窗口环境</w:t>
      </w:r>
      <w:r>
        <w:rPr>
          <w:rFonts w:hint="eastAsia" w:ascii="仿宋_GB2312" w:hAnsi="仿宋_GB2312" w:eastAsia="仿宋_GB2312" w:cs="仿宋_GB2312"/>
          <w:kern w:val="0"/>
          <w:sz w:val="32"/>
          <w:szCs w:val="32"/>
          <w:lang w:eastAsia="zh-CN"/>
        </w:rPr>
        <w:t>，等到了市民和过往旅客的普遍赞誉</w:t>
      </w:r>
      <w:r>
        <w:rPr>
          <w:rFonts w:hint="eastAsia" w:ascii="仿宋_GB2312" w:hAnsi="仿宋_GB2312" w:eastAsia="仿宋_GB2312" w:cs="仿宋_GB2312"/>
          <w:color w:val="333333"/>
          <w:kern w:val="0"/>
          <w:sz w:val="32"/>
          <w:szCs w:val="32"/>
          <w:lang w:val="en-US" w:eastAsia="zh-CN" w:bidi="ar-SA"/>
        </w:rPr>
        <w:t>。</w:t>
      </w:r>
    </w:p>
    <w:p>
      <w:pPr>
        <w:keepNext w:val="0"/>
        <w:keepLines w:val="0"/>
        <w:pageBreakBefore w:val="0"/>
        <w:wordWrap/>
        <w:overflowPunct/>
        <w:topLinePunct w:val="0"/>
        <w:bidi w:val="0"/>
        <w:spacing w:line="560" w:lineRule="exact"/>
        <w:ind w:firstLine="640" w:firstLineChars="200"/>
        <w:rPr>
          <w:rFonts w:hint="eastAsia" w:ascii="仿宋_GB2312" w:hAnsi="仿宋_GB2312" w:eastAsia="仿宋_GB2312" w:cs="仿宋_GB2312"/>
          <w:color w:val="333333"/>
          <w:kern w:val="0"/>
          <w:sz w:val="32"/>
          <w:szCs w:val="32"/>
          <w:lang w:val="en-US" w:eastAsia="zh-CN" w:bidi="ar-SA"/>
        </w:rPr>
      </w:pPr>
      <w:r>
        <w:rPr>
          <w:rFonts w:hint="eastAsia" w:ascii="仿宋_GB2312" w:hAnsi="仿宋_GB2312" w:eastAsia="仿宋_GB2312" w:cs="仿宋_GB2312"/>
          <w:color w:val="333333"/>
          <w:kern w:val="0"/>
          <w:sz w:val="32"/>
          <w:szCs w:val="32"/>
          <w:lang w:val="en-US" w:eastAsia="zh-CN" w:bidi="ar-SA"/>
        </w:rPr>
        <w:t>2023年12月10日，全国总工会公布了全国“最美驿站”评选结果：“湖南省岳阳市高铁站（东站）地区综合执法支队工会户外劳动者服务站点”榜上有名！在城管便民服务领域，支队取得了创新突破，拿到了国家级荣誉！</w:t>
      </w:r>
    </w:p>
    <w:p>
      <w:pPr>
        <w:pStyle w:val="2"/>
        <w:keepNext w:val="0"/>
        <w:keepLines w:val="0"/>
        <w:pageBreakBefore w:val="0"/>
        <w:numPr>
          <w:ilvl w:val="0"/>
          <w:numId w:val="3"/>
        </w:numPr>
        <w:wordWrap/>
        <w:overflowPunct/>
        <w:topLinePunct w:val="0"/>
        <w:bidi w:val="0"/>
        <w:spacing w:line="560" w:lineRule="exact"/>
        <w:ind w:firstLine="688"/>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支队</w:t>
      </w:r>
      <w:r>
        <w:rPr>
          <w:rFonts w:hint="eastAsia" w:ascii="仿宋_GB2312" w:hAnsi="仿宋_GB2312" w:eastAsia="仿宋_GB2312" w:cs="仿宋_GB2312"/>
          <w:sz w:val="32"/>
          <w:szCs w:val="32"/>
        </w:rPr>
        <w:t>认真履行本部门职能职责，各部门年初目标任务</w:t>
      </w:r>
      <w:r>
        <w:rPr>
          <w:rFonts w:hint="eastAsia" w:ascii="仿宋_GB2312" w:hAnsi="仿宋_GB2312" w:eastAsia="仿宋_GB2312" w:cs="仿宋_GB2312"/>
          <w:sz w:val="32"/>
          <w:szCs w:val="32"/>
          <w:lang w:eastAsia="zh-CN"/>
        </w:rPr>
        <w:t>完成较好</w:t>
      </w:r>
      <w:r>
        <w:rPr>
          <w:rFonts w:hint="eastAsia" w:ascii="仿宋_GB2312" w:hAnsi="仿宋_GB2312" w:eastAsia="仿宋_GB2312" w:cs="仿宋_GB2312"/>
          <w:sz w:val="32"/>
          <w:szCs w:val="32"/>
        </w:rPr>
        <w:t>，预算成本控制较好，整体支出绩效良好，达到既定的目标要求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、标准和年初预算绩效目标进行了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6.71”</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具体评分见附件2），符合年初预算绩效目标要求</w:t>
      </w:r>
      <w:r>
        <w:rPr>
          <w:rFonts w:hint="eastAsia" w:ascii="仿宋_GB2312" w:hAnsi="仿宋_GB2312" w:eastAsia="仿宋_GB2312" w:cs="仿宋_GB2312"/>
          <w:sz w:val="32"/>
          <w:szCs w:val="32"/>
          <w:lang w:eastAsia="zh-CN"/>
        </w:rPr>
        <w:t>。</w:t>
      </w:r>
    </w:p>
    <w:p>
      <w:pPr>
        <w:pStyle w:val="10"/>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1、2023年度非税执收计划未完成，主要原因为非税收入预算编制不够准确，未充分分析单位工作实际情况。另外，支队加强了相关法律、法规的宣传教育，随着执法力度的加大，各类违法、违规案件明显减少，行政处罚案件数量减少，导致当年非税执收计划未完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val="en-US" w:eastAsia="zh-CN"/>
        </w:rPr>
        <w:t>2、</w:t>
      </w:r>
      <w:r>
        <w:rPr>
          <w:rFonts w:hint="eastAsia" w:ascii="CESI仿宋-GB2312" w:hAnsi="CESI仿宋-GB2312" w:eastAsia="CESI仿宋-GB2312" w:cs="CESI仿宋-GB2312"/>
          <w:color w:val="auto"/>
          <w:sz w:val="32"/>
          <w:szCs w:val="32"/>
        </w:rPr>
        <w:t>政府采购</w:t>
      </w:r>
      <w:r>
        <w:rPr>
          <w:rFonts w:hint="eastAsia" w:ascii="CESI仿宋-GB2312" w:hAnsi="CESI仿宋-GB2312" w:eastAsia="CESI仿宋-GB2312" w:cs="CESI仿宋-GB2312"/>
          <w:color w:val="auto"/>
          <w:sz w:val="32"/>
          <w:szCs w:val="32"/>
          <w:lang w:val="en-US" w:eastAsia="zh-CN"/>
        </w:rPr>
        <w:t>预算编制和实际执行数偏差较大，主要原因为对政府采购制度学习不够深入，导致政府采购预算编制和实际执行数存在偏差。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pPr>
        <w:pStyle w:val="2"/>
        <w:keepNext w:val="0"/>
        <w:keepLines w:val="0"/>
        <w:pageBreakBefore w:val="0"/>
        <w:wordWrap/>
        <w:overflowPunct/>
        <w:topLinePunct w:val="0"/>
        <w:bidi w:val="0"/>
        <w:spacing w:line="560" w:lineRule="exact"/>
        <w:jc w:val="left"/>
        <w:rPr>
          <w:rFonts w:hint="eastAsia" w:ascii="仿宋_GB2312" w:hAnsi="仿宋_GB2312" w:eastAsia="仿宋_GB2312" w:cs="仿宋_GB2312"/>
          <w:color w:val="auto"/>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color w:val="auto"/>
          <w:sz w:val="32"/>
          <w:szCs w:val="32"/>
          <w:lang w:val="en-US" w:eastAsia="zh-CN"/>
        </w:rPr>
        <w:t>1、</w:t>
      </w:r>
      <w:r>
        <w:rPr>
          <w:rFonts w:hint="eastAsia" w:ascii="仿宋_GB2312" w:hAnsi="仿宋_GB2312" w:eastAsia="仿宋_GB2312" w:cs="仿宋_GB2312"/>
          <w:color w:val="auto"/>
          <w:sz w:val="32"/>
          <w:szCs w:val="32"/>
          <w:lang w:val="en-US" w:eastAsia="zh-CN"/>
        </w:rPr>
        <w:t>加强单位部门间沟通，合理预计下年工作情况，提升非税执收计划精准度。</w:t>
      </w:r>
    </w:p>
    <w:p>
      <w:pPr>
        <w:pStyle w:val="3"/>
        <w:keepNext w:val="0"/>
        <w:keepLines w:val="0"/>
        <w:pageBreakBefore w:val="0"/>
        <w:wordWrap/>
        <w:overflowPunct/>
        <w:topLinePunct w:val="0"/>
        <w:bidi w:val="0"/>
        <w:spacing w:line="560" w:lineRule="exact"/>
        <w:ind w:left="0" w:leftChars="0" w:firstLine="0" w:firstLineChars="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2、加强政府采购相关制度学习，合理预计下一年工作情况，规范编制政府采购预算，加大政府采购电子卖场执行力度，进一步提高政府采购预算执行率。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pPr>
        <w:pStyle w:val="3"/>
        <w:keepNext w:val="0"/>
        <w:keepLines w:val="0"/>
        <w:pageBreakBefore w:val="0"/>
        <w:wordWrap/>
        <w:overflowPunct/>
        <w:topLinePunct w:val="0"/>
        <w:bidi w:val="0"/>
        <w:spacing w:line="560" w:lineRule="exact"/>
        <w:ind w:left="0" w:leftChars="0" w:firstLine="0" w:firstLineChars="0"/>
        <w:jc w:val="both"/>
        <w:rPr>
          <w:rFonts w:hint="default" w:eastAsia="仿宋_GB2312"/>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均按相关规定及时在市城管局门户网站进行了公开，无其他需要说明的事项。</w:t>
      </w:r>
    </w:p>
    <w:p>
      <w:pPr>
        <w:pStyle w:val="2"/>
        <w:keepNext w:val="0"/>
        <w:keepLines w:val="0"/>
        <w:pageBreakBefore w:val="0"/>
        <w:wordWrap/>
        <w:overflowPunct/>
        <w:topLinePunct w:val="0"/>
        <w:bidi w:val="0"/>
        <w:spacing w:line="560" w:lineRule="exact"/>
        <w:rPr>
          <w:rFonts w:hint="default"/>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3-1至3-4表）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ordWrap/>
        <w:overflowPunct/>
        <w:topLinePunct w:val="0"/>
        <w:bidi w:val="0"/>
        <w:spacing w:line="560" w:lineRule="exact"/>
        <w:rPr>
          <w:rFonts w:hint="eastAsia"/>
          <w:sz w:val="32"/>
          <w:szCs w:val="32"/>
        </w:rPr>
      </w:pPr>
    </w:p>
    <w:p>
      <w:pPr>
        <w:pStyle w:val="3"/>
        <w:keepNext w:val="0"/>
        <w:keepLines w:val="0"/>
        <w:pageBreakBefore w:val="0"/>
        <w:wordWrap/>
        <w:overflowPunct/>
        <w:topLinePunct w:val="0"/>
        <w:bidi w:val="0"/>
        <w:spacing w:line="56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岳阳火车站地区综合执法支队</w:t>
      </w:r>
    </w:p>
    <w:p>
      <w:pPr>
        <w:keepNext w:val="0"/>
        <w:keepLines w:val="0"/>
        <w:pageBreakBefore w:val="0"/>
        <w:wordWrap/>
        <w:overflowPunct/>
        <w:topLinePunct w:val="0"/>
        <w:bidi w:val="0"/>
        <w:spacing w:line="560" w:lineRule="exact"/>
        <w:rPr>
          <w:rFonts w:hint="default" w:eastAsia="仿宋_GB2312"/>
          <w:lang w:val="en-US" w:eastAsia="zh-CN"/>
        </w:rPr>
      </w:pPr>
      <w:r>
        <w:rPr>
          <w:rFonts w:hint="eastAsia" w:ascii="仿宋_GB2312" w:hAnsi="仿宋_GB2312" w:eastAsia="仿宋_GB2312" w:cs="仿宋_GB2312"/>
          <w:color w:val="000000"/>
          <w:sz w:val="32"/>
          <w:szCs w:val="32"/>
          <w:lang w:val="en-US" w:eastAsia="zh-CN"/>
        </w:rPr>
        <w:t xml:space="preserve">                              2024年6月26日</w:t>
      </w:r>
    </w:p>
    <w:p>
      <w:pPr>
        <w:keepNext w:val="0"/>
        <w:keepLines w:val="0"/>
        <w:pageBreakBefore w:val="0"/>
        <w:wordWrap/>
        <w:overflowPunct/>
        <w:topLinePunct w:val="0"/>
        <w:bidi w:val="0"/>
        <w:spacing w:after="120" w:afterLines="50" w:line="560" w:lineRule="exact"/>
        <w:ind w:firstLine="640" w:firstLineChars="200"/>
        <w:jc w:val="both"/>
        <w:rPr>
          <w:rFonts w:hint="eastAsia" w:ascii="黑体" w:hAnsi="黑体" w:eastAsia="黑体" w:cs="黑体"/>
          <w:sz w:val="32"/>
          <w:szCs w:val="32"/>
          <w:highlight w:val="none"/>
          <w:lang w:eastAsia="zh-CN"/>
        </w:rPr>
      </w:pPr>
    </w:p>
    <w:p>
      <w:pPr>
        <w:keepNext w:val="0"/>
        <w:keepLines w:val="0"/>
        <w:pageBreakBefore w:val="0"/>
        <w:wordWrap/>
        <w:overflowPunct/>
        <w:topLinePunct w:val="0"/>
        <w:bidi w:val="0"/>
        <w:spacing w:after="120" w:afterLines="50" w:line="56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78</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82.05%</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6.22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9.00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9.00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5.97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356.00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386.53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370.43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60.00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296.00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326.53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310.43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800" w:firstLineChars="400"/>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协管员经费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171.00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165.22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800" w:firstLineChars="4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城管事务经费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133.55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123.24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(3)办案费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21.98</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77.20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106.30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101.68</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11.48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9.80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8.62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22.50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21.74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0.22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rPr>
              <w:t>0.46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101.60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158.53</w:t>
            </w:r>
            <w:bookmarkStart w:id="0" w:name="_GoBack"/>
            <w:bookmarkEnd w:id="0"/>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ind w:firstLine="600" w:firstLineChars="300"/>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1110.88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1095.63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1068.47</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 xml:space="preserve">   单位《财务管理制度》和《内控管理制度》，多次组织干部职工进行厉行节约教育，压减一般性支出。严格按单位内控制度执行，加强了经济业务支出各环节管理，提高财政资金使用效率。</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2024.6.26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4"/>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岳阳火车站地区综合执法支队　</w:t>
            </w:r>
          </w:p>
        </w:tc>
      </w:tr>
      <w:tr>
        <w:tblPrEx>
          <w:tblCellMar>
            <w:top w:w="0" w:type="dxa"/>
            <w:left w:w="108" w:type="dxa"/>
            <w:bottom w:w="0" w:type="dxa"/>
            <w:right w:w="108" w:type="dxa"/>
          </w:tblCellMar>
        </w:tblPrEx>
        <w:trPr>
          <w:trHeight w:val="426"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02" w:hRule="atLeast"/>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1355.77</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1482.16</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1438.90</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97.08%</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9.71</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43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default" w:ascii="仿宋_GB2312" w:hAnsi="仿宋_GB2312" w:eastAsia="仿宋_GB2312" w:cs="仿宋_GB2312"/>
                <w:color w:val="000000"/>
                <w:sz w:val="20"/>
                <w:szCs w:val="20"/>
                <w:highlight w:val="none"/>
                <w:lang w:val="en"/>
              </w:rPr>
              <w:t>14</w:t>
            </w:r>
            <w:r>
              <w:rPr>
                <w:rFonts w:hint="eastAsia" w:ascii="仿宋_GB2312" w:hAnsi="仿宋_GB2312" w:eastAsia="仿宋_GB2312" w:cs="仿宋_GB2312"/>
                <w:color w:val="000000"/>
                <w:sz w:val="20"/>
                <w:szCs w:val="20"/>
                <w:highlight w:val="none"/>
                <w:lang w:val="en-US" w:eastAsia="zh-CN"/>
              </w:rPr>
              <w:t>81.31</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default" w:ascii="仿宋_GB2312" w:hAnsi="仿宋_GB2312" w:eastAsia="仿宋_GB2312" w:cs="仿宋_GB2312"/>
                <w:color w:val="000000"/>
                <w:sz w:val="20"/>
                <w:szCs w:val="20"/>
                <w:highlight w:val="none"/>
                <w:lang w:val="en"/>
              </w:rPr>
              <w:t>106</w:t>
            </w:r>
            <w:r>
              <w:rPr>
                <w:rFonts w:hint="eastAsia" w:ascii="仿宋_GB2312" w:hAnsi="仿宋_GB2312" w:eastAsia="仿宋_GB2312" w:cs="仿宋_GB2312"/>
                <w:color w:val="000000"/>
                <w:sz w:val="20"/>
                <w:szCs w:val="20"/>
                <w:highlight w:val="none"/>
                <w:lang w:val="en-US" w:eastAsia="zh-CN"/>
              </w:rPr>
              <w:t>8.47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600" w:firstLineChars="300"/>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项目支出：</w:t>
            </w:r>
            <w:r>
              <w:rPr>
                <w:rFonts w:hint="default" w:ascii="仿宋_GB2312" w:hAnsi="仿宋_GB2312" w:eastAsia="仿宋_GB2312" w:cs="仿宋_GB2312"/>
                <w:color w:val="000000"/>
                <w:sz w:val="20"/>
                <w:szCs w:val="20"/>
                <w:highlight w:val="none"/>
                <w:lang w:val="en"/>
              </w:rPr>
              <w:t>370.43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04"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1700" w:firstLineChars="850"/>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其他资金：</w:t>
            </w:r>
            <w:r>
              <w:rPr>
                <w:rFonts w:hint="default" w:ascii="仿宋_GB2312" w:hAnsi="仿宋_GB2312" w:eastAsia="仿宋_GB2312" w:cs="仿宋_GB2312"/>
                <w:color w:val="000000"/>
                <w:sz w:val="20"/>
                <w:szCs w:val="20"/>
                <w:highlight w:val="none"/>
                <w:lang w:val="en"/>
              </w:rPr>
              <w:t>0.85</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51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1.认真贯彻、执行国家和地方关于综合行政执法的政策、法规；</w:t>
            </w:r>
          </w:p>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2.依法实施行政处罚，加强两站辖区内非法营运打击力度、规范两站辖区内的经营秩序和整顿管理等工作，协助市春运办做好一年一度的岳阳火车站、岳阳火车东站的春运工作；</w:t>
            </w:r>
          </w:p>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3.为我市打造环境优美、秩序井然、干净整洁的窗口环境。　　</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eastAsia="zh-CN"/>
              </w:rPr>
              <w:t>在岳阳火车站地区</w:t>
            </w:r>
            <w:r>
              <w:rPr>
                <w:rFonts w:hint="eastAsia" w:ascii="仿宋_GB2312" w:hAnsi="仿宋_GB2312" w:eastAsia="仿宋_GB2312" w:cs="仿宋_GB2312"/>
                <w:color w:val="000000"/>
                <w:sz w:val="20"/>
                <w:szCs w:val="20"/>
                <w:highlight w:val="none"/>
              </w:rPr>
              <w:t>认真贯彻、执行国家和地方关于综合行政执法的政策、法规</w:t>
            </w:r>
            <w:r>
              <w:rPr>
                <w:rFonts w:hint="eastAsia" w:ascii="仿宋_GB2312" w:hAnsi="仿宋_GB2312" w:eastAsia="仿宋_GB2312" w:cs="仿宋_GB2312"/>
                <w:color w:val="000000"/>
                <w:sz w:val="20"/>
                <w:szCs w:val="20"/>
                <w:highlight w:val="none"/>
                <w:lang w:eastAsia="zh-CN"/>
              </w:rPr>
              <w:t>，取得了良好的效果</w:t>
            </w:r>
            <w:r>
              <w:rPr>
                <w:rFonts w:hint="eastAsia" w:ascii="仿宋_GB2312" w:hAnsi="仿宋_GB2312" w:eastAsia="仿宋_GB2312" w:cs="仿宋_GB2312"/>
                <w:color w:val="000000"/>
                <w:sz w:val="20"/>
                <w:szCs w:val="20"/>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300" w:firstLineChars="15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2.依法实施行政处罚，加强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两站辖区内非法营运打击力度</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两站辖区内的经营秩序</w:t>
            </w:r>
            <w:r>
              <w:rPr>
                <w:rFonts w:hint="eastAsia" w:ascii="仿宋_GB2312" w:hAnsi="仿宋_GB2312" w:eastAsia="仿宋_GB2312" w:cs="仿宋_GB2312"/>
                <w:color w:val="000000"/>
                <w:sz w:val="20"/>
                <w:szCs w:val="20"/>
                <w:highlight w:val="none"/>
                <w:lang w:eastAsia="zh-CN"/>
              </w:rPr>
              <w:t>进行了</w:t>
            </w:r>
            <w:r>
              <w:rPr>
                <w:rFonts w:hint="eastAsia" w:ascii="仿宋_GB2312" w:hAnsi="仿宋_GB2312" w:eastAsia="仿宋_GB2312" w:cs="仿宋_GB2312"/>
                <w:color w:val="000000"/>
                <w:sz w:val="20"/>
                <w:szCs w:val="20"/>
                <w:highlight w:val="none"/>
              </w:rPr>
              <w:t>整顿管理等工作，协助市春运办做好</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一年一度的岳阳火车站、岳阳火车东站的春运工作；</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3.为我市打造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环境优美、秩序井然、干净整洁的窗口环境。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案件办结率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行政处罚征收数额</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30万元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US" w:eastAsia="zh-CN"/>
              </w:rPr>
              <w:t>22.80万元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随着管理力度的加大，非法营运现象大幅减少。下一步合理预估下一年工作情况，调整非税收计划额。</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全年综合整治工作率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7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便民服务率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保证两站地区秩序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w:t>
            </w:r>
            <w:r>
              <w:rPr>
                <w:rFonts w:hint="eastAsia" w:ascii="仿宋_GB2312" w:hAnsi="仿宋_GB2312" w:eastAsia="仿宋_GB2312" w:cs="仿宋_GB2312"/>
                <w:color w:val="000000"/>
                <w:sz w:val="20"/>
                <w:szCs w:val="20"/>
                <w:highlight w:val="none"/>
              </w:rPr>
              <w:t>行业相关标准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符合</w:t>
            </w:r>
            <w:r>
              <w:rPr>
                <w:rFonts w:hint="eastAsia" w:ascii="仿宋_GB2312" w:hAnsi="仿宋_GB2312" w:eastAsia="仿宋_GB2312" w:cs="仿宋_GB2312"/>
                <w:color w:val="000000"/>
                <w:sz w:val="20"/>
                <w:szCs w:val="20"/>
                <w:highlight w:val="none"/>
              </w:rPr>
              <w:t>行业</w:t>
            </w:r>
            <w:r>
              <w:rPr>
                <w:rFonts w:hint="eastAsia" w:ascii="仿宋_GB2312" w:hAnsi="仿宋_GB2312" w:eastAsia="仿宋_GB2312" w:cs="仿宋_GB2312"/>
                <w:color w:val="000000"/>
                <w:sz w:val="20"/>
                <w:szCs w:val="20"/>
                <w:highlight w:val="none"/>
                <w:lang w:eastAsia="zh-CN"/>
              </w:rPr>
              <w:t>管理</w:t>
            </w:r>
            <w:r>
              <w:rPr>
                <w:rFonts w:hint="eastAsia" w:ascii="仿宋_GB2312" w:hAnsi="仿宋_GB2312" w:eastAsia="仿宋_GB2312" w:cs="仿宋_GB2312"/>
                <w:color w:val="000000"/>
                <w:sz w:val="20"/>
                <w:szCs w:val="20"/>
                <w:highlight w:val="none"/>
              </w:rPr>
              <w:t>相关标准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rPr>
              <w:t>依法行政、文明执法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无负面舆情</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全年无负面舆情</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按照计划和进度完成全年工作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案件办结时长</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在规定时间内办结</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均在规定时间内办结</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不超年度预算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未超预算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对自然生态环境可能造成的影响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是否产生一定的经济效益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产生一定的间接经济效益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kern w:val="0"/>
                <w:sz w:val="20"/>
                <w:szCs w:val="20"/>
              </w:rPr>
              <w:t>外来游客旅游及吸引外来人口定居</w:t>
            </w: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两站地区秩序管理有序</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提升火车站地区管理水平，创造良好的出行环境。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为市民创造了良好的出行环境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还有待进一步提升，下一步加强管理，为市民创造更好的出行环境。</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是否对改善生态环境起到一定作用</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打造环境优美、秩序井然、干净整洁的“窗口”形象。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火车站地区环境</w:t>
            </w:r>
            <w:r>
              <w:rPr>
                <w:rFonts w:hint="eastAsia" w:ascii="仿宋_GB2312" w:hAnsi="仿宋_GB2312" w:eastAsia="仿宋_GB2312" w:cs="仿宋_GB2312"/>
                <w:kern w:val="0"/>
                <w:sz w:val="20"/>
                <w:szCs w:val="20"/>
              </w:rPr>
              <w:t>优美、秩序井然、干净整洁</w:t>
            </w:r>
            <w:r>
              <w:rPr>
                <w:rFonts w:hint="eastAsia" w:ascii="仿宋_GB2312" w:hAnsi="仿宋_GB2312" w:eastAsia="仿宋_GB2312" w:cs="仿宋_GB2312"/>
                <w:kern w:val="0"/>
                <w:sz w:val="20"/>
                <w:szCs w:val="20"/>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提升城市窗口形象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进一步提升城市窗口形象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两站地区管理有序，城市窗口形象有效提升。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两站安全管理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管理规范，避免安全事故发生</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保障两安全运行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96.71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32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2024.6.26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4"/>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协管员经费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2"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岳阳火车站地区综合执法支队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50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165.22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96.62%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9.66</w:t>
            </w:r>
          </w:p>
        </w:tc>
      </w:tr>
      <w:tr>
        <w:tblPrEx>
          <w:tblCellMar>
            <w:top w:w="0" w:type="dxa"/>
            <w:left w:w="108" w:type="dxa"/>
            <w:bottom w:w="0" w:type="dxa"/>
            <w:right w:w="108" w:type="dxa"/>
          </w:tblCellMar>
        </w:tblPrEx>
        <w:trPr>
          <w:trHeight w:val="507"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165.22</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668"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协管员在火车站地区综合执法支队执法人员的带领下，能独立处理好各种执法事件，将火车站地区的秩序治理的井然有序，给过往旅客提供整洁优美的出行环境。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协管员在火车站地区综合执法支队执法人员的带领下，能独立处理好各种执法事件，将火车站地区的秩序治理的井然有序，给过往旅客提供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整洁优美的出行环境。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法律法规、文明执法、作风纪律、职业道德教育等</w:t>
            </w:r>
            <w:r>
              <w:rPr>
                <w:rFonts w:hint="eastAsia" w:ascii="仿宋_GB2312" w:hAnsi="仿宋_GB2312" w:eastAsia="仿宋_GB2312" w:cs="仿宋_GB2312"/>
                <w:color w:val="000000"/>
                <w:sz w:val="20"/>
                <w:szCs w:val="20"/>
                <w:highlight w:val="none"/>
                <w:lang w:eastAsia="zh-CN"/>
              </w:rPr>
              <w:t>培训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7"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成立固定协管队伍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协管员管理及考核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合格率≥95%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按考核结果发放协管员工资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按月发放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均按时发放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按时完成绩效目标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预算控制金额</w:t>
            </w:r>
            <w:r>
              <w:rPr>
                <w:rFonts w:hint="eastAsia" w:ascii="仿宋_GB2312" w:hAnsi="仿宋_GB2312" w:eastAsia="仿宋_GB2312" w:cs="仿宋_GB2312"/>
                <w:color w:val="000000"/>
                <w:sz w:val="20"/>
                <w:szCs w:val="20"/>
                <w:highlight w:val="none"/>
                <w:lang w:val="en-US" w:eastAsia="zh-CN"/>
              </w:rPr>
              <w:t>171万元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是否产生一定的经济效益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协管员工资收入</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火车站地区广场秩序好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提升广场管理秩序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广场管理秩序良好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管理与服务相结合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工作更细致、亲民</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得到广大市民好评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是否产生一定的生态效益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有相对固定的执法执勤队伍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有一支高素质的执法执勤队伍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执法执勤人员整体素质不断提升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99"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99.66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360" w:lineRule="exact"/>
        <w:jc w:val="left"/>
        <w:textAlignment w:val="auto"/>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2024.6.26</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4"/>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城管事务经费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岳阳火车站地区综合执法支队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119.55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133.55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123.24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92.28%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9.23</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124.00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113.69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及时快速处理火车站地区管理中出现的难点问题</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2、出色完成市委市政府交办的临时性中心工作和重大迎检接待工作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3、打造环境优美、秩序井然、干净整洁的窗口环境；</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4、保证火车站广场和火车东站广场设施设备的正常运转，确保无欠费等原因导致停水停电现象；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5、春运期间，为过往旅客提供优质高效的便民服务，如提供茶水、药品、雨伞等物品，全面完成本年度春运工作任务；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6、行政许可和行政处罚完全依法依规，以罚代管、以罚代收现象销声匿迹，实现真正的管罚分离；</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7、及时快速处理火车站广场和火车东站广场管理中出现的突发性问题，如出现执法纠纷迅速赶到现场进行处置，遏制执法事故发生。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及时快速处理</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火车站地区管理中出现的难点问题</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2、出色完成</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市委市政府交办的临时性中心工作和重大迎检接待工作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3、打造</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环境优美、秩序井然、干净整洁的窗口环境；</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4、火车站广场和火车东站广场设施设备</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正常运转，</w:t>
            </w:r>
            <w:r>
              <w:rPr>
                <w:rFonts w:hint="eastAsia" w:ascii="仿宋_GB2312" w:hAnsi="仿宋_GB2312" w:eastAsia="仿宋_GB2312" w:cs="仿宋_GB2312"/>
                <w:color w:val="000000"/>
                <w:sz w:val="20"/>
                <w:szCs w:val="20"/>
                <w:highlight w:val="none"/>
                <w:lang w:eastAsia="zh-CN"/>
              </w:rPr>
              <w:t>保障了设施设备正常供水供</w:t>
            </w:r>
            <w:r>
              <w:rPr>
                <w:rFonts w:hint="eastAsia" w:ascii="仿宋_GB2312" w:hAnsi="仿宋_GB2312" w:eastAsia="仿宋_GB2312" w:cs="仿宋_GB2312"/>
                <w:color w:val="000000"/>
                <w:sz w:val="20"/>
                <w:szCs w:val="20"/>
                <w:highlight w:val="none"/>
              </w:rPr>
              <w:t>电；</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5、春运期间，为过往旅客提供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优质高效的便民服务，如提供茶水、药品、雨伞等物品，全面完成本年度春运工作任务；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6、行政许可和行政处罚完全依法依规，以罚代管、以罚代收现象销声匿迹，实现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真正的管罚分离；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7、及时快速处</w:t>
            </w:r>
            <w:r>
              <w:rPr>
                <w:rFonts w:hint="eastAsia" w:ascii="仿宋_GB2312" w:hAnsi="仿宋_GB2312" w:eastAsia="仿宋_GB2312" w:cs="仿宋_GB2312"/>
                <w:color w:val="000000"/>
                <w:sz w:val="20"/>
                <w:szCs w:val="20"/>
                <w:highlight w:val="none"/>
                <w:lang w:eastAsia="zh-CN"/>
              </w:rPr>
              <w:t>置了</w:t>
            </w:r>
            <w:r>
              <w:rPr>
                <w:rFonts w:hint="eastAsia" w:ascii="仿宋_GB2312" w:hAnsi="仿宋_GB2312" w:eastAsia="仿宋_GB2312" w:cs="仿宋_GB2312"/>
                <w:color w:val="000000"/>
                <w:sz w:val="20"/>
                <w:szCs w:val="20"/>
                <w:highlight w:val="none"/>
              </w:rPr>
              <w:t>火车站广场和火车东站广场管理中出现的突发性问题，如出现执法纠纷迅速赶到现场进行处置，遏制执法事故发生。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完成火车站地区交通秩序整治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36次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完成火车站地区市政设施维护整治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完成火车站地区绿化、规范问题整治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完成火车站地区食品药品、物价、文化市场管理秩序整治</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中心工作和重大迎检接待工作完成率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left"/>
              <w:textAlignment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依法文明执</w:t>
            </w:r>
            <w:r>
              <w:rPr>
                <w:rFonts w:hint="eastAsia" w:ascii="仿宋_GB2312" w:hAnsi="仿宋_GB2312" w:eastAsia="仿宋_GB2312" w:cs="仿宋_GB2312"/>
                <w:color w:val="000000"/>
                <w:sz w:val="20"/>
                <w:szCs w:val="20"/>
                <w:lang w:val="en-US" w:eastAsia="zh-CN"/>
              </w:rPr>
              <w:t>勤</w:t>
            </w:r>
            <w:r>
              <w:rPr>
                <w:rFonts w:hint="eastAsia" w:ascii="仿宋_GB2312" w:hAnsi="仿宋_GB2312" w:eastAsia="仿宋_GB2312" w:cs="仿宋_GB2312"/>
                <w:color w:val="000000"/>
                <w:sz w:val="20"/>
                <w:szCs w:val="20"/>
              </w:rPr>
              <w:t>，操作合规，无投诉。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textAlignment w:val="center"/>
              <w:rPr>
                <w:rFonts w:hint="eastAsia" w:ascii="仿宋_GB2312" w:hAnsi="仿宋_GB2312" w:eastAsia="仿宋_GB2312" w:cs="仿宋_GB2312"/>
                <w:bCs/>
                <w:color w:val="000000"/>
                <w:kern w:val="0"/>
                <w:sz w:val="20"/>
                <w:szCs w:val="20"/>
                <w:lang w:val="en-US" w:eastAsia="zh-CN" w:bidi="ar-SA"/>
              </w:rPr>
            </w:pPr>
            <w:r>
              <w:rPr>
                <w:rFonts w:hint="eastAsia" w:ascii="仿宋_GB2312" w:hAnsi="仿宋_GB2312" w:eastAsia="仿宋_GB2312" w:cs="仿宋_GB2312"/>
                <w:bCs/>
                <w:sz w:val="20"/>
                <w:szCs w:val="20"/>
                <w:lang w:val="en-US" w:eastAsia="zh-CN"/>
              </w:rPr>
              <w:t>无</w:t>
            </w:r>
            <w:r>
              <w:rPr>
                <w:rFonts w:hint="eastAsia" w:ascii="仿宋_GB2312" w:hAnsi="仿宋_GB2312" w:eastAsia="仿宋_GB2312" w:cs="仿宋_GB2312"/>
                <w:bCs/>
                <w:sz w:val="20"/>
                <w:szCs w:val="20"/>
              </w:rPr>
              <w:t>违规操作投诉</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bCs/>
                <w:sz w:val="20"/>
                <w:szCs w:val="20"/>
              </w:rPr>
              <w:t>完成良好，无违规操作，无投诉。</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及时完成预定目标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案件办结时长</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在规定时间内办结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均在规定时间内办结</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是否产生一定的经济效益</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产生一定的间接经济效益</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吸引</w:t>
            </w:r>
            <w:r>
              <w:rPr>
                <w:rFonts w:hint="eastAsia" w:ascii="仿宋_GB2312" w:hAnsi="仿宋_GB2312" w:eastAsia="仿宋_GB2312" w:cs="仿宋_GB2312"/>
                <w:kern w:val="0"/>
                <w:sz w:val="20"/>
                <w:szCs w:val="20"/>
                <w:lang w:val="en-US" w:eastAsia="zh-CN"/>
              </w:rPr>
              <w:t>了</w:t>
            </w:r>
            <w:r>
              <w:rPr>
                <w:rFonts w:hint="eastAsia" w:ascii="仿宋_GB2312" w:hAnsi="仿宋_GB2312" w:eastAsia="仿宋_GB2312" w:cs="仿宋_GB2312"/>
                <w:kern w:val="0"/>
                <w:sz w:val="20"/>
                <w:szCs w:val="20"/>
              </w:rPr>
              <w:t>外来投资商在岳投资发展产业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kern w:val="0"/>
                <w:sz w:val="20"/>
                <w:szCs w:val="20"/>
              </w:rPr>
              <w:t>吸引外来游客</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助力旅游业发展。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打造环境优美、秩序井然、干净整洁的窗口环境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加强两站地区秩序管理，打造窗口场站。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场站秩序管理常态化有待进一步加强，加强管理进一步提升场站秩序。</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规范场站管理秩序，提升城市形象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提升场站管理秩序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管理秩序明显提升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维护两站秩序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营造了良好</w:t>
            </w:r>
            <w:r>
              <w:rPr>
                <w:rFonts w:hint="eastAsia" w:ascii="仿宋_GB2312" w:hAnsi="仿宋_GB2312" w:eastAsia="仿宋_GB2312" w:cs="仿宋_GB2312"/>
                <w:color w:val="000000"/>
                <w:sz w:val="20"/>
                <w:szCs w:val="20"/>
                <w:highlight w:val="none"/>
                <w:lang w:val="en-US" w:eastAsia="zh-CN"/>
              </w:rPr>
              <w:t>的出行环境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98.23</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2024.6.26</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4"/>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办案费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4"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岳阳火车站地区综合执法支队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2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21.97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557"/>
              </w:tabs>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544"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21.98</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21.97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43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行政许可和行政处罚完全依法依规，以罚代管、以罚代收现象销声匿迹，实现真正的管罚分离。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行政许可和行政处罚</w:t>
            </w:r>
            <w:r>
              <w:rPr>
                <w:rFonts w:hint="eastAsia" w:ascii="仿宋_GB2312" w:hAnsi="仿宋_GB2312" w:eastAsia="仿宋_GB2312" w:cs="仿宋_GB2312"/>
                <w:color w:val="000000"/>
                <w:sz w:val="20"/>
                <w:szCs w:val="20"/>
                <w:highlight w:val="none"/>
                <w:lang w:eastAsia="zh-CN"/>
              </w:rPr>
              <w:t>案件均</w:t>
            </w:r>
            <w:r>
              <w:rPr>
                <w:rFonts w:hint="eastAsia" w:ascii="仿宋_GB2312" w:hAnsi="仿宋_GB2312" w:eastAsia="仿宋_GB2312" w:cs="仿宋_GB2312"/>
                <w:color w:val="000000"/>
                <w:sz w:val="20"/>
                <w:szCs w:val="20"/>
                <w:highlight w:val="none"/>
              </w:rPr>
              <w:t>依法依规，以罚代管、以罚代收现象销声匿迹，实现真正的管罚分离</w:t>
            </w:r>
            <w:r>
              <w:rPr>
                <w:rFonts w:hint="eastAsia" w:ascii="仿宋_GB2312" w:hAnsi="仿宋_GB2312" w:eastAsia="仿宋_GB2312" w:cs="仿宋_GB2312"/>
                <w:color w:val="000000"/>
                <w:sz w:val="20"/>
                <w:szCs w:val="20"/>
                <w:highlight w:val="none"/>
                <w:lang w:eastAsia="zh-CN"/>
              </w:rPr>
              <w:t>，达到了处理一案，解决一类的良好效果</w:t>
            </w:r>
            <w:r>
              <w:rPr>
                <w:rFonts w:hint="eastAsia" w:ascii="仿宋_GB2312" w:hAnsi="仿宋_GB2312" w:eastAsia="仿宋_GB2312" w:cs="仿宋_GB2312"/>
                <w:color w:val="000000"/>
                <w:sz w:val="20"/>
                <w:szCs w:val="20"/>
                <w:highlight w:val="none"/>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63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执法时间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365天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365天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管理场站</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案件处置质量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减少执法纠纷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无执法纠纷</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舆情管理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无负面舆情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全年无负面舆情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按</w:t>
            </w:r>
            <w:r>
              <w:rPr>
                <w:rFonts w:hint="eastAsia" w:ascii="仿宋_GB2312" w:hAnsi="仿宋_GB2312" w:eastAsia="仿宋_GB2312" w:cs="仿宋_GB2312"/>
                <w:color w:val="000000"/>
                <w:sz w:val="20"/>
                <w:szCs w:val="20"/>
                <w:highlight w:val="none"/>
                <w:lang w:val="en-US" w:eastAsia="zh-CN"/>
              </w:rPr>
              <w:t>年度计划实施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在</w:t>
            </w:r>
            <w:r>
              <w:rPr>
                <w:rFonts w:hint="eastAsia" w:ascii="仿宋_GB2312" w:hAnsi="仿宋_GB2312" w:eastAsia="仿宋_GB2312" w:cs="仿宋_GB2312"/>
                <w:color w:val="000000"/>
                <w:sz w:val="20"/>
                <w:szCs w:val="20"/>
                <w:highlight w:val="none"/>
                <w:lang w:val="en-US" w:eastAsia="zh-CN"/>
              </w:rPr>
              <w:t>2023年12月31日前完成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案件办理时间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在规定时间内办结</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均在规定时间内办结</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办案实施成本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预算金额</w:t>
            </w:r>
            <w:r>
              <w:rPr>
                <w:rFonts w:hint="eastAsia" w:ascii="仿宋_GB2312" w:hAnsi="仿宋_GB2312" w:eastAsia="仿宋_GB2312" w:cs="仿宋_GB2312"/>
                <w:color w:val="000000"/>
                <w:sz w:val="20"/>
                <w:szCs w:val="20"/>
                <w:highlight w:val="none"/>
                <w:lang w:val="en-US" w:eastAsia="zh-CN"/>
              </w:rPr>
              <w:t>21.98万元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是否对社会环境造成负面影响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增加国家财政非税罚没收入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年度预算计划数</w:t>
            </w:r>
            <w:r>
              <w:rPr>
                <w:rFonts w:hint="eastAsia" w:ascii="仿宋_GB2312" w:hAnsi="仿宋_GB2312" w:eastAsia="仿宋_GB2312" w:cs="仿宋_GB2312"/>
                <w:color w:val="000000"/>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rPr>
              <w:t>22</w:t>
            </w:r>
            <w:r>
              <w:rPr>
                <w:rFonts w:hint="eastAsia" w:ascii="仿宋_GB2312" w:hAnsi="仿宋_GB2312" w:eastAsia="仿宋_GB2312" w:cs="仿宋_GB2312"/>
                <w:color w:val="000000"/>
                <w:sz w:val="20"/>
                <w:szCs w:val="20"/>
                <w:highlight w:val="none"/>
                <w:lang w:val="en-US" w:eastAsia="zh-CN"/>
              </w:rPr>
              <w:t>.8</w:t>
            </w:r>
            <w:r>
              <w:rPr>
                <w:rFonts w:hint="eastAsia" w:ascii="仿宋_GB2312" w:hAnsi="仿宋_GB2312" w:eastAsia="仿宋_GB2312" w:cs="仿宋_GB2312"/>
                <w:color w:val="000000"/>
                <w:sz w:val="20"/>
                <w:szCs w:val="20"/>
                <w:highlight w:val="none"/>
                <w:lang w:val="en" w:eastAsia="zh-CN"/>
              </w:rPr>
              <w:t>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随着管理力度的加大，非法营运现象大幅减少。下一步合理预估下一年工作情况，调整非税收计划额。</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秩序管理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有效改善了</w:t>
            </w:r>
            <w:r>
              <w:rPr>
                <w:rFonts w:hint="eastAsia" w:ascii="仿宋_GB2312" w:hAnsi="仿宋_GB2312" w:eastAsia="仿宋_GB2312" w:cs="仿宋_GB2312"/>
                <w:color w:val="000000"/>
                <w:sz w:val="20"/>
                <w:szCs w:val="20"/>
                <w:highlight w:val="none"/>
              </w:rPr>
              <w:t>火车站地区周边</w:t>
            </w:r>
            <w:r>
              <w:rPr>
                <w:rFonts w:hint="eastAsia" w:ascii="仿宋_GB2312" w:hAnsi="仿宋_GB2312" w:eastAsia="仿宋_GB2312" w:cs="仿宋_GB2312"/>
                <w:color w:val="000000"/>
                <w:sz w:val="20"/>
                <w:szCs w:val="20"/>
                <w:highlight w:val="none"/>
                <w:lang w:eastAsia="zh-CN"/>
              </w:rPr>
              <w:t>管理秩序</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4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有效改善两站地区出行环境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是否对改善生态环境起到积极作用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规范站场管理，提升城市形象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提升城市管理形象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两站地区安全管理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无安全事故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全年无安全事故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96%以上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widowControl/>
        <w:spacing w:after="0" w:afterLines="0" w:line="400" w:lineRule="exact"/>
        <w:jc w:val="left"/>
        <w:rPr>
          <w:rFonts w:hint="eastAsia" w:ascii="Times New Roman" w:hAnsi="Times New Roman" w:eastAsia="仿宋_GB2312" w:cs="Times New Roman"/>
          <w:sz w:val="2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2024.6.26</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4"/>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p>
      <w:pPr>
        <w:pStyle w:val="3"/>
        <w:rPr>
          <w:rFonts w:hint="default" w:ascii="Times New Roman" w:hAnsi="Times New Roman" w:eastAsia="仿宋_GB2312" w:cs="Times New Roman"/>
          <w:sz w:val="22"/>
          <w:szCs w:val="22"/>
          <w:highlight w:val="none"/>
        </w:rPr>
      </w:pPr>
    </w:p>
    <w:p>
      <w:pPr>
        <w:rPr>
          <w:rFonts w:hint="default"/>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p>
      <w:pPr>
        <w:pStyle w:val="2"/>
        <w:rPr>
          <w:rFonts w:hint="eastAsia"/>
        </w:rPr>
      </w:pPr>
    </w:p>
    <w:tbl>
      <w:tblPr>
        <w:tblStyle w:val="7"/>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城市广场运营维护费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岳阳火车站地区综合执法支队</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1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5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7"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9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w:t>
            </w:r>
            <w:r>
              <w:rPr>
                <w:rFonts w:hint="eastAsia" w:ascii="仿宋_GB2312" w:hAnsi="仿宋_GB2312" w:eastAsia="仿宋_GB2312" w:cs="仿宋_GB2312"/>
                <w:color w:val="000000"/>
                <w:sz w:val="20"/>
                <w:szCs w:val="20"/>
                <w:highlight w:val="none"/>
                <w:lang w:eastAsia="zh-CN"/>
              </w:rPr>
              <w:t>障</w:t>
            </w:r>
            <w:r>
              <w:rPr>
                <w:rFonts w:hint="eastAsia" w:ascii="仿宋_GB2312" w:hAnsi="仿宋_GB2312" w:eastAsia="仿宋_GB2312" w:cs="仿宋_GB2312"/>
                <w:color w:val="000000"/>
                <w:sz w:val="20"/>
                <w:szCs w:val="20"/>
                <w:highlight w:val="none"/>
              </w:rPr>
              <w:t>火车站广场和火车东站广场水电、拖车、电瓶巡逻车辆的正常运转，确保两站管理工作正常进行。</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保</w:t>
            </w:r>
            <w:r>
              <w:rPr>
                <w:rFonts w:hint="eastAsia" w:ascii="仿宋_GB2312" w:hAnsi="仿宋_GB2312" w:eastAsia="仿宋_GB2312" w:cs="仿宋_GB2312"/>
                <w:color w:val="000000"/>
                <w:sz w:val="20"/>
                <w:szCs w:val="20"/>
                <w:highlight w:val="none"/>
                <w:lang w:eastAsia="zh-CN"/>
              </w:rPr>
              <w:t>障了</w:t>
            </w:r>
            <w:r>
              <w:rPr>
                <w:rFonts w:hint="eastAsia" w:ascii="仿宋_GB2312" w:hAnsi="仿宋_GB2312" w:eastAsia="仿宋_GB2312" w:cs="仿宋_GB2312"/>
                <w:color w:val="000000"/>
                <w:sz w:val="20"/>
                <w:szCs w:val="20"/>
                <w:highlight w:val="none"/>
              </w:rPr>
              <w:t>火车站广场和火车东站广场水电、拖车、电瓶巡逻车辆的正常运转，确保两站管理工作正常进行。</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公益广告制作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200块</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216块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成立设施维护队伍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1支</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安全性能好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均符合相关标准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eastAsia="zh-CN"/>
              </w:rPr>
              <w:t>设备完好率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6"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完成年度设施维护工作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设施设备维护及时率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控制在预算</w:t>
            </w:r>
            <w:r>
              <w:rPr>
                <w:rFonts w:hint="eastAsia" w:ascii="仿宋_GB2312" w:hAnsi="仿宋_GB2312" w:eastAsia="仿宋_GB2312" w:cs="仿宋_GB2312"/>
                <w:color w:val="000000"/>
                <w:sz w:val="20"/>
                <w:szCs w:val="20"/>
                <w:highlight w:val="none"/>
                <w:lang w:eastAsia="zh-CN"/>
              </w:rPr>
              <w:t>金额</w:t>
            </w:r>
            <w:r>
              <w:rPr>
                <w:rFonts w:hint="eastAsia" w:ascii="仿宋_GB2312" w:hAnsi="仿宋_GB2312" w:eastAsia="仿宋_GB2312" w:cs="仿宋_GB2312"/>
                <w:color w:val="000000"/>
                <w:sz w:val="20"/>
                <w:szCs w:val="20"/>
                <w:highlight w:val="none"/>
                <w:lang w:val="en-US" w:eastAsia="zh-CN"/>
              </w:rPr>
              <w:t>60万元</w:t>
            </w:r>
            <w:r>
              <w:rPr>
                <w:rFonts w:hint="eastAsia" w:ascii="仿宋_GB2312" w:hAnsi="仿宋_GB2312" w:eastAsia="仿宋_GB2312" w:cs="仿宋_GB2312"/>
                <w:color w:val="000000"/>
                <w:sz w:val="20"/>
                <w:szCs w:val="20"/>
                <w:highlight w:val="none"/>
              </w:rPr>
              <w:t>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对社会发展可能造成的负面影响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w:t>
            </w:r>
            <w:r>
              <w:rPr>
                <w:rFonts w:hint="eastAsia" w:ascii="仿宋_GB2312" w:hAnsi="仿宋_GB2312" w:eastAsia="仿宋_GB2312" w:cs="仿宋_GB2312"/>
                <w:color w:val="000000"/>
                <w:sz w:val="20"/>
                <w:szCs w:val="20"/>
                <w:highlight w:val="none"/>
              </w:rPr>
              <w:t>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优化窗口环境，助力招商引资。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是否产生一定经济效益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优化窗口环境，助力岳阳旅游业发展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保证火车站广场和火车东站广场设施的正常运转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营造良好的出行环境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营造了良好</w:t>
            </w:r>
            <w:r>
              <w:rPr>
                <w:rFonts w:hint="eastAsia" w:ascii="仿宋_GB2312" w:hAnsi="仿宋_GB2312" w:eastAsia="仿宋_GB2312" w:cs="仿宋_GB2312"/>
                <w:color w:val="000000"/>
                <w:sz w:val="20"/>
                <w:szCs w:val="20"/>
                <w:highlight w:val="none"/>
                <w:lang w:val="en-US" w:eastAsia="zh-CN"/>
              </w:rPr>
              <w:t>的出行环境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维护广场绿植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维护广场绿化，美化广场环境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两站广场绿化效果良好</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改善市民出行环境，提升城市整体形象。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明显改善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还有待进一步优化，下一步加大维护力度，进一步改善环境。</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保证两站广场设施正常运行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保证两站广场设施正常运行</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保证了两站广场设施正常运行</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：宋婷</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2024.6.26</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 xml:space="preserve"> 联系电话：</w:t>
      </w:r>
      <w:r>
        <w:rPr>
          <w:rFonts w:hint="eastAsia" w:ascii="仿宋_GB2312" w:hAnsi="仿宋_GB2312" w:eastAsia="仿宋_GB2312" w:cs="仿宋_GB2312"/>
          <w:sz w:val="24"/>
        </w:rPr>
        <w:t>8981953</w:t>
      </w:r>
      <w:r>
        <w:rPr>
          <w:rFonts w:hint="eastAsia" w:ascii="仿宋_GB2312" w:hAnsi="仿宋_GB2312" w:eastAsia="仿宋_GB2312" w:cs="仿宋_GB2312"/>
          <w:sz w:val="24"/>
          <w:lang w:val="en-US" w:eastAsia="zh-CN"/>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刘力斌</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8E20B2"/>
    <w:multiLevelType w:val="singleLevel"/>
    <w:tmpl w:val="EB8E20B2"/>
    <w:lvl w:ilvl="0" w:tentative="0">
      <w:start w:val="1"/>
      <w:numFmt w:val="chineseCounting"/>
      <w:suff w:val="nothing"/>
      <w:lvlText w:val="（%1）"/>
      <w:lvlJc w:val="left"/>
      <w:rPr>
        <w:rFonts w:hint="eastAsia"/>
      </w:rPr>
    </w:lvl>
  </w:abstractNum>
  <w:abstractNum w:abstractNumId="1">
    <w:nsid w:val="65372ED6"/>
    <w:multiLevelType w:val="singleLevel"/>
    <w:tmpl w:val="65372ED6"/>
    <w:lvl w:ilvl="0" w:tentative="0">
      <w:start w:val="5"/>
      <w:numFmt w:val="chineseCounting"/>
      <w:suff w:val="nothing"/>
      <w:lvlText w:val="（%1）"/>
      <w:lvlJc w:val="left"/>
      <w:rPr>
        <w:rFonts w:hint="eastAsia"/>
      </w:rPr>
    </w:lvl>
  </w:abstractNum>
  <w:abstractNum w:abstractNumId="2">
    <w:nsid w:val="6E90CD2E"/>
    <w:multiLevelType w:val="singleLevel"/>
    <w:tmpl w:val="6E90CD2E"/>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NGRhMDhmZWZiMTIzYjYxM2I4ZGJhMTA2ZGExOWQifQ=="/>
  </w:docVars>
  <w:rsids>
    <w:rsidRoot w:val="59886344"/>
    <w:rsid w:val="00D16A9A"/>
    <w:rsid w:val="028C5218"/>
    <w:rsid w:val="02B349AE"/>
    <w:rsid w:val="04D01847"/>
    <w:rsid w:val="052C2A6C"/>
    <w:rsid w:val="0D77A1BD"/>
    <w:rsid w:val="0E8D383A"/>
    <w:rsid w:val="0FD5A9C4"/>
    <w:rsid w:val="0FEF1559"/>
    <w:rsid w:val="0FFFA5D0"/>
    <w:rsid w:val="11BE10DD"/>
    <w:rsid w:val="11FE3E97"/>
    <w:rsid w:val="12103BCB"/>
    <w:rsid w:val="12365B89"/>
    <w:rsid w:val="13182D37"/>
    <w:rsid w:val="14EB0535"/>
    <w:rsid w:val="15202377"/>
    <w:rsid w:val="17EC578D"/>
    <w:rsid w:val="199E4152"/>
    <w:rsid w:val="1B063DBD"/>
    <w:rsid w:val="1BFEC0FC"/>
    <w:rsid w:val="1CED62D1"/>
    <w:rsid w:val="1DDD0AE1"/>
    <w:rsid w:val="1DFDBE0E"/>
    <w:rsid w:val="1DFEDCDD"/>
    <w:rsid w:val="1E4F5A7B"/>
    <w:rsid w:val="1E7B403B"/>
    <w:rsid w:val="1F0B1394"/>
    <w:rsid w:val="1F572E39"/>
    <w:rsid w:val="1FBFC6AC"/>
    <w:rsid w:val="1FDF649B"/>
    <w:rsid w:val="1FEDF768"/>
    <w:rsid w:val="1FFBCD0E"/>
    <w:rsid w:val="1FFFE739"/>
    <w:rsid w:val="20337402"/>
    <w:rsid w:val="20BFE1F9"/>
    <w:rsid w:val="20E721F8"/>
    <w:rsid w:val="21DC89A3"/>
    <w:rsid w:val="22A16179"/>
    <w:rsid w:val="24F7800B"/>
    <w:rsid w:val="25AF266D"/>
    <w:rsid w:val="271138CD"/>
    <w:rsid w:val="27DB7B13"/>
    <w:rsid w:val="27FDCA8A"/>
    <w:rsid w:val="28CF4E13"/>
    <w:rsid w:val="297F2A80"/>
    <w:rsid w:val="29FD3534"/>
    <w:rsid w:val="2A2FBF40"/>
    <w:rsid w:val="2A506673"/>
    <w:rsid w:val="2AA33218"/>
    <w:rsid w:val="2AF9E77A"/>
    <w:rsid w:val="2B5879A6"/>
    <w:rsid w:val="2B6D987F"/>
    <w:rsid w:val="2BDB6BA0"/>
    <w:rsid w:val="2BDD29A7"/>
    <w:rsid w:val="2C817A09"/>
    <w:rsid w:val="2CF7131F"/>
    <w:rsid w:val="2D39CCC4"/>
    <w:rsid w:val="2EB41DEA"/>
    <w:rsid w:val="2EBEC5F4"/>
    <w:rsid w:val="2ED678D9"/>
    <w:rsid w:val="2F2B1BEC"/>
    <w:rsid w:val="2FA3C6CD"/>
    <w:rsid w:val="2FDC89E4"/>
    <w:rsid w:val="2FE5064B"/>
    <w:rsid w:val="2FEC0CD0"/>
    <w:rsid w:val="2FFC31C9"/>
    <w:rsid w:val="30CE6CD3"/>
    <w:rsid w:val="312D39F9"/>
    <w:rsid w:val="3278E520"/>
    <w:rsid w:val="337F1800"/>
    <w:rsid w:val="337F2627"/>
    <w:rsid w:val="345E5CA1"/>
    <w:rsid w:val="35D753A9"/>
    <w:rsid w:val="35FDF9B1"/>
    <w:rsid w:val="37117919"/>
    <w:rsid w:val="37B74BDF"/>
    <w:rsid w:val="37E775B8"/>
    <w:rsid w:val="37E79123"/>
    <w:rsid w:val="37FB627A"/>
    <w:rsid w:val="3A6F8A9F"/>
    <w:rsid w:val="3AA5FEC0"/>
    <w:rsid w:val="3B9DEA05"/>
    <w:rsid w:val="3BBF7A64"/>
    <w:rsid w:val="3BDD6480"/>
    <w:rsid w:val="3C4F6C2D"/>
    <w:rsid w:val="3C8F91DB"/>
    <w:rsid w:val="3CE70DC1"/>
    <w:rsid w:val="3DF7ED3D"/>
    <w:rsid w:val="3E9961C1"/>
    <w:rsid w:val="3EB94B1E"/>
    <w:rsid w:val="3EBD5207"/>
    <w:rsid w:val="3EBE552D"/>
    <w:rsid w:val="3F3BBEF0"/>
    <w:rsid w:val="3F3F14CA"/>
    <w:rsid w:val="3F3F6D6B"/>
    <w:rsid w:val="3F46D51D"/>
    <w:rsid w:val="3F57B168"/>
    <w:rsid w:val="3F6759D2"/>
    <w:rsid w:val="3F6C067A"/>
    <w:rsid w:val="3FADDDE9"/>
    <w:rsid w:val="3FAF14D3"/>
    <w:rsid w:val="3FB7AF73"/>
    <w:rsid w:val="3FBFD253"/>
    <w:rsid w:val="3FD90768"/>
    <w:rsid w:val="3FE7ECA0"/>
    <w:rsid w:val="3FEB5CDE"/>
    <w:rsid w:val="3FEFB57D"/>
    <w:rsid w:val="3FF40D5F"/>
    <w:rsid w:val="3FFB241D"/>
    <w:rsid w:val="3FFB4CC3"/>
    <w:rsid w:val="3FFFE141"/>
    <w:rsid w:val="410D32A6"/>
    <w:rsid w:val="420E6F2F"/>
    <w:rsid w:val="44867251"/>
    <w:rsid w:val="455ECA28"/>
    <w:rsid w:val="45765517"/>
    <w:rsid w:val="45EBA309"/>
    <w:rsid w:val="4658764A"/>
    <w:rsid w:val="47560ED4"/>
    <w:rsid w:val="47BBFDA1"/>
    <w:rsid w:val="47FF2A19"/>
    <w:rsid w:val="49DF60DE"/>
    <w:rsid w:val="4BF7FF93"/>
    <w:rsid w:val="4D77E885"/>
    <w:rsid w:val="4DB36BDD"/>
    <w:rsid w:val="4DB9D278"/>
    <w:rsid w:val="4DFA1092"/>
    <w:rsid w:val="4EE76C9A"/>
    <w:rsid w:val="4EECC26C"/>
    <w:rsid w:val="4FC00D26"/>
    <w:rsid w:val="4FCF5C16"/>
    <w:rsid w:val="4FE5F54B"/>
    <w:rsid w:val="4FED9DA6"/>
    <w:rsid w:val="4FF5DBC4"/>
    <w:rsid w:val="4FF95262"/>
    <w:rsid w:val="4FFFA6E8"/>
    <w:rsid w:val="51FD3872"/>
    <w:rsid w:val="52036385"/>
    <w:rsid w:val="529F111B"/>
    <w:rsid w:val="53DEAC62"/>
    <w:rsid w:val="546D5D37"/>
    <w:rsid w:val="55FF45F9"/>
    <w:rsid w:val="567C521B"/>
    <w:rsid w:val="56AD555D"/>
    <w:rsid w:val="56D75A3E"/>
    <w:rsid w:val="573BEC38"/>
    <w:rsid w:val="577BE666"/>
    <w:rsid w:val="57B9DDB6"/>
    <w:rsid w:val="57EBF938"/>
    <w:rsid w:val="592769C9"/>
    <w:rsid w:val="594D2E23"/>
    <w:rsid w:val="59886344"/>
    <w:rsid w:val="5A9FF17F"/>
    <w:rsid w:val="5ADF12C9"/>
    <w:rsid w:val="5AF77AD2"/>
    <w:rsid w:val="5AFC179E"/>
    <w:rsid w:val="5B3D807E"/>
    <w:rsid w:val="5BCF552A"/>
    <w:rsid w:val="5BDFFC76"/>
    <w:rsid w:val="5BEF09E1"/>
    <w:rsid w:val="5BFFD65E"/>
    <w:rsid w:val="5C5C20DB"/>
    <w:rsid w:val="5C7966A8"/>
    <w:rsid w:val="5DAC4D49"/>
    <w:rsid w:val="5DED1C97"/>
    <w:rsid w:val="5E77B20D"/>
    <w:rsid w:val="5EDF2BA6"/>
    <w:rsid w:val="5EEDAEE6"/>
    <w:rsid w:val="5EEF032E"/>
    <w:rsid w:val="5F1EB6CC"/>
    <w:rsid w:val="5F5D3F8B"/>
    <w:rsid w:val="5F7F654B"/>
    <w:rsid w:val="5FB16998"/>
    <w:rsid w:val="5FB6C1E4"/>
    <w:rsid w:val="5FBF1321"/>
    <w:rsid w:val="5FBF4E4C"/>
    <w:rsid w:val="5FDAB28C"/>
    <w:rsid w:val="5FDE5F71"/>
    <w:rsid w:val="5FF9CEB3"/>
    <w:rsid w:val="5FFF0E75"/>
    <w:rsid w:val="5FFF10D6"/>
    <w:rsid w:val="5FFFE95E"/>
    <w:rsid w:val="614D5EC2"/>
    <w:rsid w:val="627D921D"/>
    <w:rsid w:val="6283706E"/>
    <w:rsid w:val="652C0601"/>
    <w:rsid w:val="65F5E499"/>
    <w:rsid w:val="67BF2851"/>
    <w:rsid w:val="67DE67A4"/>
    <w:rsid w:val="67E330ED"/>
    <w:rsid w:val="67F314A6"/>
    <w:rsid w:val="67F4E3AB"/>
    <w:rsid w:val="6B3F2D9E"/>
    <w:rsid w:val="6B5F2DF1"/>
    <w:rsid w:val="6B77F4BE"/>
    <w:rsid w:val="6B85B28E"/>
    <w:rsid w:val="6BBB9878"/>
    <w:rsid w:val="6BE50135"/>
    <w:rsid w:val="6BFFB184"/>
    <w:rsid w:val="6C33740F"/>
    <w:rsid w:val="6C7BFE88"/>
    <w:rsid w:val="6C885074"/>
    <w:rsid w:val="6DA5FDE4"/>
    <w:rsid w:val="6DF164B8"/>
    <w:rsid w:val="6DFB251D"/>
    <w:rsid w:val="6E3F9DD0"/>
    <w:rsid w:val="6E7D6000"/>
    <w:rsid w:val="6E9F6232"/>
    <w:rsid w:val="6ED30C99"/>
    <w:rsid w:val="6EDF3D9C"/>
    <w:rsid w:val="6EFE9052"/>
    <w:rsid w:val="6F1D1CAE"/>
    <w:rsid w:val="6F3D027F"/>
    <w:rsid w:val="6F572554"/>
    <w:rsid w:val="6F7D5715"/>
    <w:rsid w:val="6FAD2413"/>
    <w:rsid w:val="6FBC05AF"/>
    <w:rsid w:val="6FBD803E"/>
    <w:rsid w:val="6FCE7B7A"/>
    <w:rsid w:val="6FD11B77"/>
    <w:rsid w:val="6FDD0B58"/>
    <w:rsid w:val="70A628A5"/>
    <w:rsid w:val="70EED1B3"/>
    <w:rsid w:val="7103060E"/>
    <w:rsid w:val="726D5581"/>
    <w:rsid w:val="72F5A983"/>
    <w:rsid w:val="72FFA878"/>
    <w:rsid w:val="73BEE493"/>
    <w:rsid w:val="73C7A718"/>
    <w:rsid w:val="73CF1F04"/>
    <w:rsid w:val="74B643B6"/>
    <w:rsid w:val="74F1B5AE"/>
    <w:rsid w:val="755723C0"/>
    <w:rsid w:val="75958629"/>
    <w:rsid w:val="75DED810"/>
    <w:rsid w:val="765F1300"/>
    <w:rsid w:val="76974ABC"/>
    <w:rsid w:val="76BF368A"/>
    <w:rsid w:val="76DF89F0"/>
    <w:rsid w:val="76FC3B89"/>
    <w:rsid w:val="76FF1C25"/>
    <w:rsid w:val="77735A2E"/>
    <w:rsid w:val="777FEEEE"/>
    <w:rsid w:val="77DB7915"/>
    <w:rsid w:val="77EF08EF"/>
    <w:rsid w:val="77F63134"/>
    <w:rsid w:val="77FFC791"/>
    <w:rsid w:val="787DB229"/>
    <w:rsid w:val="78DF86FF"/>
    <w:rsid w:val="79B9558B"/>
    <w:rsid w:val="79EA4292"/>
    <w:rsid w:val="79F5C08D"/>
    <w:rsid w:val="79FD1670"/>
    <w:rsid w:val="7A5A114F"/>
    <w:rsid w:val="7A7F22C0"/>
    <w:rsid w:val="7AB8E66E"/>
    <w:rsid w:val="7B17B492"/>
    <w:rsid w:val="7B3C91D2"/>
    <w:rsid w:val="7B7B6CA2"/>
    <w:rsid w:val="7B7E8209"/>
    <w:rsid w:val="7B7F187F"/>
    <w:rsid w:val="7B7F6E41"/>
    <w:rsid w:val="7B96333C"/>
    <w:rsid w:val="7B96E430"/>
    <w:rsid w:val="7BBA589F"/>
    <w:rsid w:val="7BBFC324"/>
    <w:rsid w:val="7BDB1FCB"/>
    <w:rsid w:val="7BDBEE7E"/>
    <w:rsid w:val="7BEF23A0"/>
    <w:rsid w:val="7BEF8E31"/>
    <w:rsid w:val="7BEFFC8B"/>
    <w:rsid w:val="7BF75D2A"/>
    <w:rsid w:val="7BF7D3C7"/>
    <w:rsid w:val="7BF9D807"/>
    <w:rsid w:val="7BFB72C1"/>
    <w:rsid w:val="7BFBA914"/>
    <w:rsid w:val="7BFDE83C"/>
    <w:rsid w:val="7BFF94AB"/>
    <w:rsid w:val="7C5F8518"/>
    <w:rsid w:val="7C778C64"/>
    <w:rsid w:val="7C7D38E9"/>
    <w:rsid w:val="7CBA6754"/>
    <w:rsid w:val="7CEF6286"/>
    <w:rsid w:val="7CF88793"/>
    <w:rsid w:val="7CF9F948"/>
    <w:rsid w:val="7CFD07E4"/>
    <w:rsid w:val="7CFF42E1"/>
    <w:rsid w:val="7D4704E7"/>
    <w:rsid w:val="7DBD1610"/>
    <w:rsid w:val="7DE74988"/>
    <w:rsid w:val="7DEFAFA1"/>
    <w:rsid w:val="7DF5E7EA"/>
    <w:rsid w:val="7DF71B4A"/>
    <w:rsid w:val="7DF877DD"/>
    <w:rsid w:val="7DFCAE09"/>
    <w:rsid w:val="7DFF36FB"/>
    <w:rsid w:val="7DFF6404"/>
    <w:rsid w:val="7E2D4212"/>
    <w:rsid w:val="7E77B782"/>
    <w:rsid w:val="7E79D106"/>
    <w:rsid w:val="7E7FDDA6"/>
    <w:rsid w:val="7E99A368"/>
    <w:rsid w:val="7EAB96B5"/>
    <w:rsid w:val="7ECE669E"/>
    <w:rsid w:val="7EDF5591"/>
    <w:rsid w:val="7EFB0260"/>
    <w:rsid w:val="7EFBA8A3"/>
    <w:rsid w:val="7F4CC8E0"/>
    <w:rsid w:val="7F5CBB11"/>
    <w:rsid w:val="7F5E1D36"/>
    <w:rsid w:val="7F734DA5"/>
    <w:rsid w:val="7F76445D"/>
    <w:rsid w:val="7F792D26"/>
    <w:rsid w:val="7F79F3F4"/>
    <w:rsid w:val="7F7DFC16"/>
    <w:rsid w:val="7F7F572C"/>
    <w:rsid w:val="7F8FCEA1"/>
    <w:rsid w:val="7F9ABB77"/>
    <w:rsid w:val="7F9F721C"/>
    <w:rsid w:val="7F9FB1CE"/>
    <w:rsid w:val="7FB31CEB"/>
    <w:rsid w:val="7FB52C25"/>
    <w:rsid w:val="7FBA1DF8"/>
    <w:rsid w:val="7FBE9E0A"/>
    <w:rsid w:val="7FBFDEA6"/>
    <w:rsid w:val="7FCA3FDE"/>
    <w:rsid w:val="7FCBC7C2"/>
    <w:rsid w:val="7FD75723"/>
    <w:rsid w:val="7FD79A39"/>
    <w:rsid w:val="7FEBD535"/>
    <w:rsid w:val="7FEFE1EE"/>
    <w:rsid w:val="7FF62D9E"/>
    <w:rsid w:val="7FF7AA02"/>
    <w:rsid w:val="7FF7C95E"/>
    <w:rsid w:val="7FF7CAC9"/>
    <w:rsid w:val="7FF7FF55"/>
    <w:rsid w:val="7FF98B00"/>
    <w:rsid w:val="7FFA8372"/>
    <w:rsid w:val="7FFBC16B"/>
    <w:rsid w:val="7FFBEE0A"/>
    <w:rsid w:val="7FFDACE8"/>
    <w:rsid w:val="7FFEB769"/>
    <w:rsid w:val="7FFF0A1C"/>
    <w:rsid w:val="7FFF6AB0"/>
    <w:rsid w:val="7FFFCD66"/>
    <w:rsid w:val="8BFF5F0E"/>
    <w:rsid w:val="8DF7D8D8"/>
    <w:rsid w:val="8EB62F47"/>
    <w:rsid w:val="8FF1731B"/>
    <w:rsid w:val="93F56298"/>
    <w:rsid w:val="96D74EE7"/>
    <w:rsid w:val="9796B456"/>
    <w:rsid w:val="97FD3C96"/>
    <w:rsid w:val="9931D39A"/>
    <w:rsid w:val="9AF7C31B"/>
    <w:rsid w:val="9B9DF56E"/>
    <w:rsid w:val="9ED77BD1"/>
    <w:rsid w:val="9FFEAB27"/>
    <w:rsid w:val="9FFFC5BD"/>
    <w:rsid w:val="A0BF55E8"/>
    <w:rsid w:val="A5CF0C50"/>
    <w:rsid w:val="A5FF8800"/>
    <w:rsid w:val="A699500B"/>
    <w:rsid w:val="A77D489D"/>
    <w:rsid w:val="A7E2807E"/>
    <w:rsid w:val="A7FC4D8E"/>
    <w:rsid w:val="A9FE49B2"/>
    <w:rsid w:val="A9FF482E"/>
    <w:rsid w:val="ABA1C7B5"/>
    <w:rsid w:val="ABBF3A10"/>
    <w:rsid w:val="ACD979FB"/>
    <w:rsid w:val="AD3774E9"/>
    <w:rsid w:val="AD77BA68"/>
    <w:rsid w:val="AEE663CE"/>
    <w:rsid w:val="AF3B422E"/>
    <w:rsid w:val="AF7DD8F3"/>
    <w:rsid w:val="AF99C0FF"/>
    <w:rsid w:val="AFE728CE"/>
    <w:rsid w:val="B37F5754"/>
    <w:rsid w:val="B3FC3491"/>
    <w:rsid w:val="B41F13F2"/>
    <w:rsid w:val="B57F6463"/>
    <w:rsid w:val="B5BBF3E3"/>
    <w:rsid w:val="B65A2C24"/>
    <w:rsid w:val="B6BDEFD0"/>
    <w:rsid w:val="B75E3E31"/>
    <w:rsid w:val="B7BAF04F"/>
    <w:rsid w:val="B7CF4020"/>
    <w:rsid w:val="B7EFBC04"/>
    <w:rsid w:val="BACFB070"/>
    <w:rsid w:val="BB1D34DC"/>
    <w:rsid w:val="BB9F4FF6"/>
    <w:rsid w:val="BBB7C383"/>
    <w:rsid w:val="BBBF8C0E"/>
    <w:rsid w:val="BBDB6EBF"/>
    <w:rsid w:val="BBEE1C53"/>
    <w:rsid w:val="BBEFE6C4"/>
    <w:rsid w:val="BBF6A053"/>
    <w:rsid w:val="BBF7423C"/>
    <w:rsid w:val="BBF93E2E"/>
    <w:rsid w:val="BBFF28CC"/>
    <w:rsid w:val="BC7FD966"/>
    <w:rsid w:val="BCAFA92B"/>
    <w:rsid w:val="BD7B8DEC"/>
    <w:rsid w:val="BDBA1405"/>
    <w:rsid w:val="BDD663FE"/>
    <w:rsid w:val="BDFA6486"/>
    <w:rsid w:val="BE7FE88A"/>
    <w:rsid w:val="BEBF9521"/>
    <w:rsid w:val="BEE806B2"/>
    <w:rsid w:val="BEF734A2"/>
    <w:rsid w:val="BF13337D"/>
    <w:rsid w:val="BF1F1DAD"/>
    <w:rsid w:val="BF367F20"/>
    <w:rsid w:val="BF78F169"/>
    <w:rsid w:val="BF7E526C"/>
    <w:rsid w:val="BF861B0D"/>
    <w:rsid w:val="BFA32095"/>
    <w:rsid w:val="BFABCCB9"/>
    <w:rsid w:val="BFB5DAE1"/>
    <w:rsid w:val="BFB74AAD"/>
    <w:rsid w:val="BFC80315"/>
    <w:rsid w:val="BFDF72BD"/>
    <w:rsid w:val="BFDFA647"/>
    <w:rsid w:val="BFED1953"/>
    <w:rsid w:val="BFF759B3"/>
    <w:rsid w:val="BFFA0306"/>
    <w:rsid w:val="BFFDF005"/>
    <w:rsid w:val="BFFF4BB7"/>
    <w:rsid w:val="BFFFA610"/>
    <w:rsid w:val="C2DE7198"/>
    <w:rsid w:val="C36B322C"/>
    <w:rsid w:val="C7576E9B"/>
    <w:rsid w:val="C7FE9412"/>
    <w:rsid w:val="CBFE845D"/>
    <w:rsid w:val="CCBF8D37"/>
    <w:rsid w:val="CD7D4009"/>
    <w:rsid w:val="CF4F790D"/>
    <w:rsid w:val="CFE74E8C"/>
    <w:rsid w:val="CFF7CBC4"/>
    <w:rsid w:val="CFFF33BF"/>
    <w:rsid w:val="D5BFBE65"/>
    <w:rsid w:val="D5F70011"/>
    <w:rsid w:val="D656C9AB"/>
    <w:rsid w:val="D77AB4CD"/>
    <w:rsid w:val="D7F7F04A"/>
    <w:rsid w:val="D7FEFF35"/>
    <w:rsid w:val="D97DC060"/>
    <w:rsid w:val="D9E3EC31"/>
    <w:rsid w:val="D9FF96F7"/>
    <w:rsid w:val="DA3A4DD1"/>
    <w:rsid w:val="DB3D1F7C"/>
    <w:rsid w:val="DBB47394"/>
    <w:rsid w:val="DBBFA657"/>
    <w:rsid w:val="DBBFCA8B"/>
    <w:rsid w:val="DBDDE46E"/>
    <w:rsid w:val="DBE7C3B5"/>
    <w:rsid w:val="DBFF0C63"/>
    <w:rsid w:val="DCFF3121"/>
    <w:rsid w:val="DCFFC8D7"/>
    <w:rsid w:val="DD7F14DC"/>
    <w:rsid w:val="DDF3A2C4"/>
    <w:rsid w:val="DDFB593A"/>
    <w:rsid w:val="DE3F9E19"/>
    <w:rsid w:val="DEDFD774"/>
    <w:rsid w:val="DF3F37C3"/>
    <w:rsid w:val="DF6FB7C0"/>
    <w:rsid w:val="DF707CE9"/>
    <w:rsid w:val="DF7EE272"/>
    <w:rsid w:val="DFCBACDC"/>
    <w:rsid w:val="DFEE0F38"/>
    <w:rsid w:val="DFEF6531"/>
    <w:rsid w:val="DFEF884A"/>
    <w:rsid w:val="DFF20105"/>
    <w:rsid w:val="DFFD54D3"/>
    <w:rsid w:val="DFFE3479"/>
    <w:rsid w:val="E1B3A154"/>
    <w:rsid w:val="E2AF959B"/>
    <w:rsid w:val="E2BF84BC"/>
    <w:rsid w:val="E3FEAEC8"/>
    <w:rsid w:val="E4CFD5FE"/>
    <w:rsid w:val="E5F93AE4"/>
    <w:rsid w:val="E611F5F4"/>
    <w:rsid w:val="E7D98CF7"/>
    <w:rsid w:val="E7E60031"/>
    <w:rsid w:val="E7FE2F99"/>
    <w:rsid w:val="E7FFC1B6"/>
    <w:rsid w:val="E7FFDB6C"/>
    <w:rsid w:val="E8FBF3EB"/>
    <w:rsid w:val="E95DF6D3"/>
    <w:rsid w:val="E9756024"/>
    <w:rsid w:val="EAD35EA9"/>
    <w:rsid w:val="EB390713"/>
    <w:rsid w:val="EBDF90D4"/>
    <w:rsid w:val="ECDEFCE2"/>
    <w:rsid w:val="ECEF51E9"/>
    <w:rsid w:val="ED5E7D85"/>
    <w:rsid w:val="ED7FEF32"/>
    <w:rsid w:val="EDBD0EBA"/>
    <w:rsid w:val="EDF52C6D"/>
    <w:rsid w:val="EE2FAF8E"/>
    <w:rsid w:val="EECF07FD"/>
    <w:rsid w:val="EEEF3AB8"/>
    <w:rsid w:val="EEEFEB05"/>
    <w:rsid w:val="EEFA6E44"/>
    <w:rsid w:val="EEFF2B2E"/>
    <w:rsid w:val="EF5DB971"/>
    <w:rsid w:val="EF7DC6BC"/>
    <w:rsid w:val="EF7F21C3"/>
    <w:rsid w:val="EF8DC82B"/>
    <w:rsid w:val="EF9F27CB"/>
    <w:rsid w:val="EFB72E48"/>
    <w:rsid w:val="EFBB5BA8"/>
    <w:rsid w:val="EFDB45A1"/>
    <w:rsid w:val="EFDD0EEA"/>
    <w:rsid w:val="EFDFD628"/>
    <w:rsid w:val="EFFDAE75"/>
    <w:rsid w:val="EFFF8734"/>
    <w:rsid w:val="EFFFBD71"/>
    <w:rsid w:val="EFFFC9AE"/>
    <w:rsid w:val="EFFFF87C"/>
    <w:rsid w:val="F1DCFADD"/>
    <w:rsid w:val="F2ED5A32"/>
    <w:rsid w:val="F2EF142F"/>
    <w:rsid w:val="F2FA9AD6"/>
    <w:rsid w:val="F33C9C70"/>
    <w:rsid w:val="F37AE2BE"/>
    <w:rsid w:val="F38B9705"/>
    <w:rsid w:val="F3BD4FBC"/>
    <w:rsid w:val="F44E05FC"/>
    <w:rsid w:val="F4D6C8DB"/>
    <w:rsid w:val="F4D90497"/>
    <w:rsid w:val="F4F7F21F"/>
    <w:rsid w:val="F5CA10FF"/>
    <w:rsid w:val="F5E7C3C9"/>
    <w:rsid w:val="F5EEB9B9"/>
    <w:rsid w:val="F5EFF0C2"/>
    <w:rsid w:val="F5FD3F52"/>
    <w:rsid w:val="F5FF5B4B"/>
    <w:rsid w:val="F667BD9C"/>
    <w:rsid w:val="F6DF7FAC"/>
    <w:rsid w:val="F74FC2D2"/>
    <w:rsid w:val="F75F9461"/>
    <w:rsid w:val="F767CDBA"/>
    <w:rsid w:val="F7778B8E"/>
    <w:rsid w:val="F77B5B04"/>
    <w:rsid w:val="F79B1D84"/>
    <w:rsid w:val="F7AFB837"/>
    <w:rsid w:val="F7CF1422"/>
    <w:rsid w:val="F7DDDF04"/>
    <w:rsid w:val="F7F76BCC"/>
    <w:rsid w:val="F7FBA2CB"/>
    <w:rsid w:val="F7FF28B6"/>
    <w:rsid w:val="F805C9A9"/>
    <w:rsid w:val="F8DFFD3A"/>
    <w:rsid w:val="F9BFBB68"/>
    <w:rsid w:val="F9D57599"/>
    <w:rsid w:val="F9E753DC"/>
    <w:rsid w:val="F9EE500F"/>
    <w:rsid w:val="F9F775E9"/>
    <w:rsid w:val="F9FFD582"/>
    <w:rsid w:val="FA5AEFF8"/>
    <w:rsid w:val="FA85F7DE"/>
    <w:rsid w:val="FAF918E2"/>
    <w:rsid w:val="FB19095E"/>
    <w:rsid w:val="FB5F4610"/>
    <w:rsid w:val="FB63C62B"/>
    <w:rsid w:val="FB7A390F"/>
    <w:rsid w:val="FB7F189C"/>
    <w:rsid w:val="FB9FCA56"/>
    <w:rsid w:val="FBBE9635"/>
    <w:rsid w:val="FBBF2FB0"/>
    <w:rsid w:val="FBFF2360"/>
    <w:rsid w:val="FC3A1CB4"/>
    <w:rsid w:val="FC7D0F77"/>
    <w:rsid w:val="FC7F1794"/>
    <w:rsid w:val="FCDD26C6"/>
    <w:rsid w:val="FCF7F0F7"/>
    <w:rsid w:val="FCFC67FA"/>
    <w:rsid w:val="FD0F24E2"/>
    <w:rsid w:val="FD380C99"/>
    <w:rsid w:val="FD564F59"/>
    <w:rsid w:val="FD5F891E"/>
    <w:rsid w:val="FD664A0B"/>
    <w:rsid w:val="FD7FA9BA"/>
    <w:rsid w:val="FD9E5604"/>
    <w:rsid w:val="FD9F63EA"/>
    <w:rsid w:val="FDAEE130"/>
    <w:rsid w:val="FDB4A354"/>
    <w:rsid w:val="FDDFA87A"/>
    <w:rsid w:val="FDDFCC5F"/>
    <w:rsid w:val="FDE5B9BF"/>
    <w:rsid w:val="FDF72CF6"/>
    <w:rsid w:val="FDF78FFC"/>
    <w:rsid w:val="FDF94AC3"/>
    <w:rsid w:val="FDFD9302"/>
    <w:rsid w:val="FDFE8117"/>
    <w:rsid w:val="FE57FFBB"/>
    <w:rsid w:val="FE7788F0"/>
    <w:rsid w:val="FE7EEDEB"/>
    <w:rsid w:val="FEBF2BF4"/>
    <w:rsid w:val="FECE8413"/>
    <w:rsid w:val="FED7E423"/>
    <w:rsid w:val="FEECADBA"/>
    <w:rsid w:val="FEED1C2E"/>
    <w:rsid w:val="FEED529E"/>
    <w:rsid w:val="FEED55CC"/>
    <w:rsid w:val="FEF31DBA"/>
    <w:rsid w:val="FEF540BE"/>
    <w:rsid w:val="FEF8E992"/>
    <w:rsid w:val="FEFF0DEF"/>
    <w:rsid w:val="FEFF1BB4"/>
    <w:rsid w:val="FEFF1CE4"/>
    <w:rsid w:val="FEFFB936"/>
    <w:rsid w:val="FEFFBA8F"/>
    <w:rsid w:val="FF0DB69E"/>
    <w:rsid w:val="FF393E9E"/>
    <w:rsid w:val="FF3F0446"/>
    <w:rsid w:val="FF5A1041"/>
    <w:rsid w:val="FF5FA417"/>
    <w:rsid w:val="FF6FA926"/>
    <w:rsid w:val="FF7FA19D"/>
    <w:rsid w:val="FF8C7B65"/>
    <w:rsid w:val="FFAE1CE1"/>
    <w:rsid w:val="FFAF5C09"/>
    <w:rsid w:val="FFB587C3"/>
    <w:rsid w:val="FFB906DD"/>
    <w:rsid w:val="FFBBF9A1"/>
    <w:rsid w:val="FFBE788B"/>
    <w:rsid w:val="FFBFA3B7"/>
    <w:rsid w:val="FFC76D48"/>
    <w:rsid w:val="FFCB7B7E"/>
    <w:rsid w:val="FFDEE9F5"/>
    <w:rsid w:val="FFDF8315"/>
    <w:rsid w:val="FFDFB4A0"/>
    <w:rsid w:val="FFEB3C89"/>
    <w:rsid w:val="FFF57297"/>
    <w:rsid w:val="FFFD2059"/>
    <w:rsid w:val="FFFD95FC"/>
    <w:rsid w:val="FFFEA3F1"/>
    <w:rsid w:val="FFFF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10892</Words>
  <Characters>11830</Characters>
  <Lines>0</Lines>
  <Paragraphs>0</Paragraphs>
  <TotalTime>41</TotalTime>
  <ScaleCrop>false</ScaleCrop>
  <LinksUpToDate>false</LinksUpToDate>
  <CharactersWithSpaces>12476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2024-03-24T00:36:00Z</dcterms:created>
  <dc:creator>Administrator</dc:creator>
  <cp:lastModifiedBy>TCB003</cp:lastModifiedBy>
  <cp:lastPrinted>2024-06-19T17:21:00Z</cp:lastPrinted>
  <dcterms:modified xsi:type="dcterms:W3CDTF">2024-09-19T17:15:50Z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A3CEA2F7AA0C40CC94D363A76703C179_13</vt:lpwstr>
  </property>
</Properties>
</file>