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36"/>
          <w:szCs w:val="36"/>
          <w:highlight w:val="none"/>
          <w:lang w:val="en-US" w:eastAsia="zh-CN"/>
        </w:rPr>
      </w:pPr>
      <w:r>
        <w:rPr>
          <w:rFonts w:hint="eastAsia" w:ascii="Times New Roman" w:hAnsi="Times New Roman" w:eastAsia="方正小标宋_GBK" w:cs="Times New Roman"/>
          <w:sz w:val="36"/>
          <w:szCs w:val="36"/>
          <w:highlight w:val="none"/>
          <w:lang w:val="en-US" w:eastAsia="zh-CN"/>
        </w:rPr>
        <w:t xml:space="preserve"> </w:t>
      </w:r>
    </w:p>
    <w:p>
      <w:pPr>
        <w:pStyle w:val="2"/>
        <w:rPr>
          <w:rFonts w:hint="eastAsia"/>
          <w:lang w:val="en-US" w:eastAsia="zh-CN"/>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年度岳阳市城市管理和综合执法局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本级整体支出绩效自评报告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pStyle w:val="2"/>
        <w:rPr>
          <w:rFonts w:hint="default"/>
        </w:rPr>
      </w:pPr>
    </w:p>
    <w:p>
      <w:pPr>
        <w:spacing w:line="600" w:lineRule="exact"/>
        <w:jc w:val="center"/>
        <w:rPr>
          <w:rFonts w:hint="eastAsia"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sz w:val="30"/>
          <w:szCs w:val="30"/>
          <w:highlight w:val="none"/>
        </w:rPr>
        <w:t>部门（单位）名称：岳阳市城市管理和综合执法局本级</w:t>
      </w:r>
      <w:r>
        <w:rPr>
          <w:rFonts w:hint="default" w:ascii="Times New Roman" w:hAnsi="Times New Roman" w:eastAsia="仿宋_GB2312" w:cs="Times New Roman"/>
          <w:sz w:val="30"/>
          <w:szCs w:val="30"/>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32"/>
          <w:szCs w:val="32"/>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32"/>
          <w:szCs w:val="32"/>
          <w:highlight w:val="none"/>
        </w:rPr>
        <w:t>202</w:t>
      </w:r>
      <w:r>
        <w:rPr>
          <w:rFonts w:hint="eastAsia" w:ascii="方正小标宋简体" w:hAnsi="方正小标宋简体" w:eastAsia="方正小标宋简体" w:cs="方正小标宋简体"/>
          <w:sz w:val="32"/>
          <w:szCs w:val="32"/>
          <w:highlight w:val="none"/>
          <w:lang w:val="en-US" w:eastAsia="zh-CN"/>
        </w:rPr>
        <w:t>3</w:t>
      </w:r>
      <w:r>
        <w:rPr>
          <w:rFonts w:hint="eastAsia" w:ascii="方正小标宋简体" w:hAnsi="方正小标宋简体" w:eastAsia="方正小标宋简体" w:cs="方正小标宋简体"/>
          <w:sz w:val="32"/>
          <w:szCs w:val="32"/>
          <w:highlight w:val="none"/>
        </w:rPr>
        <w:t>年度岳阳市城市管理和综合执法局本级整体支出</w:t>
      </w:r>
    </w:p>
    <w:p>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eastAsia="仿宋" w:cs="仿宋"/>
          <w:b w:val="0"/>
          <w:bCs w:val="0"/>
          <w:sz w:val="32"/>
          <w:szCs w:val="32"/>
          <w:highlight w:val="none"/>
          <w:lang w:eastAsia="zh-CN"/>
        </w:rPr>
        <w:t>（</w:t>
      </w:r>
      <w:r>
        <w:rPr>
          <w:rFonts w:hint="eastAsia" w:eastAsia="仿宋" w:cs="仿宋"/>
          <w:b w:val="0"/>
          <w:bCs w:val="0"/>
          <w:sz w:val="32"/>
          <w:szCs w:val="32"/>
          <w:highlight w:val="none"/>
          <w:lang w:val="en-US" w:eastAsia="zh-CN"/>
        </w:rPr>
        <w:t>一</w:t>
      </w:r>
      <w:r>
        <w:rPr>
          <w:rFonts w:hint="eastAsia" w:eastAsia="仿宋" w:cs="仿宋"/>
          <w:b w:val="0"/>
          <w:bCs w:val="0"/>
          <w:sz w:val="32"/>
          <w:szCs w:val="32"/>
          <w:highlight w:val="none"/>
          <w:lang w:eastAsia="zh-CN"/>
        </w:rPr>
        <w:t>）</w:t>
      </w:r>
      <w:r>
        <w:rPr>
          <w:rFonts w:hint="eastAsia" w:eastAsia="仿宋" w:cs="仿宋"/>
          <w:b w:val="0"/>
          <w:bCs w:val="0"/>
          <w:sz w:val="32"/>
          <w:szCs w:val="32"/>
          <w:highlight w:val="none"/>
          <w:lang w:val="en-US" w:eastAsia="zh-CN"/>
        </w:rPr>
        <w:t>职能职责</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市城市管理和综合执法局主要承担市容环境卫生、园林绿化、城管执法、市政公共设施维护、路灯亮化、渣土运输（道路破占）、户外广告、城镇燃气、停车管理等职能。</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eastAsia="仿宋" w:cs="仿宋"/>
          <w:b w:val="0"/>
          <w:bCs w:val="0"/>
          <w:sz w:val="32"/>
          <w:szCs w:val="32"/>
          <w:highlight w:val="none"/>
          <w:lang w:val="en-US" w:eastAsia="zh-CN"/>
        </w:rPr>
      </w:pPr>
      <w:r>
        <w:rPr>
          <w:rFonts w:hint="eastAsia" w:eastAsia="仿宋" w:cs="仿宋"/>
          <w:b w:val="0"/>
          <w:bCs w:val="0"/>
          <w:sz w:val="32"/>
          <w:szCs w:val="32"/>
          <w:highlight w:val="none"/>
          <w:lang w:eastAsia="zh-CN"/>
        </w:rPr>
        <w:t>（</w:t>
      </w:r>
      <w:r>
        <w:rPr>
          <w:rFonts w:hint="eastAsia" w:eastAsia="仿宋" w:cs="仿宋"/>
          <w:b w:val="0"/>
          <w:bCs w:val="0"/>
          <w:sz w:val="32"/>
          <w:szCs w:val="32"/>
          <w:highlight w:val="none"/>
          <w:lang w:val="en-US" w:eastAsia="zh-CN"/>
        </w:rPr>
        <w:t>二</w:t>
      </w:r>
      <w:r>
        <w:rPr>
          <w:rFonts w:hint="eastAsia" w:eastAsia="仿宋" w:cs="仿宋"/>
          <w:b w:val="0"/>
          <w:bCs w:val="0"/>
          <w:sz w:val="32"/>
          <w:szCs w:val="32"/>
          <w:highlight w:val="none"/>
          <w:lang w:eastAsia="zh-CN"/>
        </w:rPr>
        <w:t>）</w:t>
      </w:r>
      <w:r>
        <w:rPr>
          <w:rFonts w:hint="eastAsia" w:eastAsia="仿宋" w:cs="仿宋"/>
          <w:b w:val="0"/>
          <w:bCs w:val="0"/>
          <w:sz w:val="32"/>
          <w:szCs w:val="32"/>
          <w:highlight w:val="none"/>
          <w:lang w:val="en-US" w:eastAsia="zh-CN"/>
        </w:rPr>
        <w:t>机构设置</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eastAsia="仿宋" w:cs="仿宋"/>
          <w:b w:val="0"/>
          <w:bCs w:val="0"/>
          <w:sz w:val="32"/>
          <w:szCs w:val="32"/>
          <w:highlight w:val="none"/>
          <w:lang w:val="en-US" w:eastAsia="zh-CN"/>
        </w:rPr>
      </w:pPr>
      <w:r>
        <w:rPr>
          <w:rFonts w:hint="default" w:eastAsia="仿宋" w:cs="仿宋"/>
          <w:b w:val="0"/>
          <w:bCs w:val="0"/>
          <w:sz w:val="32"/>
          <w:szCs w:val="32"/>
          <w:highlight w:val="none"/>
          <w:lang w:val="en-US" w:eastAsia="zh-CN"/>
        </w:rPr>
        <w:t>局机关编制人数</w:t>
      </w:r>
      <w:r>
        <w:rPr>
          <w:rFonts w:hint="eastAsia" w:eastAsia="仿宋" w:cs="仿宋"/>
          <w:b w:val="0"/>
          <w:bCs w:val="0"/>
          <w:sz w:val="32"/>
          <w:szCs w:val="32"/>
          <w:highlight w:val="none"/>
          <w:lang w:val="en-US" w:eastAsia="zh-CN"/>
        </w:rPr>
        <w:t>48</w:t>
      </w:r>
      <w:r>
        <w:rPr>
          <w:rFonts w:hint="default" w:eastAsia="仿宋" w:cs="仿宋"/>
          <w:b w:val="0"/>
          <w:bCs w:val="0"/>
          <w:sz w:val="32"/>
          <w:szCs w:val="32"/>
          <w:highlight w:val="none"/>
          <w:lang w:val="en-US" w:eastAsia="zh-CN"/>
        </w:rPr>
        <w:t>人，设置15个内设机构，内设机构分别是办公室、信访维稳科、政策法规科、行政审批科、城市管理考评科、市容环境卫生管理科、垃圾分类管理科、园林绿化科、规划技术科、地下管线科、基础设施建设管理科、燃气管理科（安全管理科）、户外广告管理科、计划财务审计科、人事科</w:t>
      </w:r>
      <w:r>
        <w:rPr>
          <w:rFonts w:hint="eastAsia" w:eastAsia="仿宋" w:cs="仿宋"/>
          <w:b w:val="0"/>
          <w:bCs w:val="0"/>
          <w:sz w:val="32"/>
          <w:szCs w:val="32"/>
          <w:highlight w:val="none"/>
          <w:lang w:val="en-US" w:eastAsia="zh-CN"/>
        </w:rPr>
        <w:t>。</w:t>
      </w:r>
      <w:r>
        <w:rPr>
          <w:rFonts w:hint="default" w:eastAsia="仿宋" w:cs="仿宋"/>
          <w:b w:val="0"/>
          <w:bCs w:val="0"/>
          <w:sz w:val="32"/>
          <w:szCs w:val="32"/>
          <w:highlight w:val="none"/>
          <w:lang w:val="en-US" w:eastAsia="zh-CN"/>
        </w:rPr>
        <w:t>按章程设置机关党委、机关纪委，按相关规定设置城市管理工会、离退休人员管理服务科。</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年,单位基本支出总额为</w:t>
      </w:r>
      <w:r>
        <w:rPr>
          <w:rFonts w:hint="eastAsia" w:ascii="仿宋" w:hAnsi="仿宋" w:eastAsia="仿宋" w:cs="仿宋"/>
          <w:b w:val="0"/>
          <w:bCs/>
          <w:sz w:val="32"/>
          <w:szCs w:val="32"/>
          <w:highlight w:val="none"/>
          <w:lang w:val="en-US" w:eastAsia="zh-CN"/>
        </w:rPr>
        <w:t>963.41</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出820.35</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143.06</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年度公务接待费预算金额为</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2.45</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2.45</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13.48</w:t>
      </w:r>
      <w:r>
        <w:rPr>
          <w:rFonts w:hint="eastAsia" w:ascii="仿宋" w:hAnsi="仿宋" w:eastAsia="仿宋" w:cs="仿宋"/>
          <w:b w:val="0"/>
          <w:bCs/>
          <w:sz w:val="32"/>
          <w:szCs w:val="32"/>
          <w:highlight w:val="none"/>
        </w:rPr>
        <w:t>万元，控制在年初预算之内。</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年，项目资金年初预算金额为</w:t>
      </w:r>
      <w:r>
        <w:rPr>
          <w:rFonts w:hint="eastAsia" w:ascii="仿宋" w:hAnsi="仿宋" w:eastAsia="仿宋" w:cs="仿宋"/>
          <w:b w:val="0"/>
          <w:bCs/>
          <w:sz w:val="32"/>
          <w:szCs w:val="32"/>
          <w:highlight w:val="none"/>
          <w:lang w:val="en-US" w:eastAsia="zh-CN"/>
        </w:rPr>
        <w:t>465</w:t>
      </w:r>
      <w:r>
        <w:rPr>
          <w:rFonts w:hint="eastAsia" w:ascii="仿宋" w:hAnsi="仿宋" w:eastAsia="仿宋" w:cs="仿宋"/>
          <w:b w:val="0"/>
          <w:bCs/>
          <w:sz w:val="32"/>
          <w:szCs w:val="32"/>
          <w:highlight w:val="none"/>
        </w:rPr>
        <w:t>万元，年中追加项目经费预算</w:t>
      </w:r>
      <w:r>
        <w:rPr>
          <w:rFonts w:hint="eastAsia" w:ascii="仿宋" w:hAnsi="仿宋" w:eastAsia="仿宋" w:cs="仿宋"/>
          <w:b w:val="0"/>
          <w:bCs/>
          <w:sz w:val="32"/>
          <w:szCs w:val="32"/>
          <w:highlight w:val="none"/>
          <w:lang w:val="en-US" w:eastAsia="zh-CN"/>
        </w:rPr>
        <w:t>8133.49</w:t>
      </w:r>
      <w:r>
        <w:rPr>
          <w:rFonts w:hint="eastAsia" w:ascii="仿宋" w:hAnsi="仿宋" w:eastAsia="仿宋" w:cs="仿宋"/>
          <w:b w:val="0"/>
          <w:bCs/>
          <w:sz w:val="32"/>
          <w:szCs w:val="32"/>
          <w:highlight w:val="none"/>
        </w:rPr>
        <w:t>万元，年度项目支出预算调整为</w:t>
      </w:r>
      <w:r>
        <w:rPr>
          <w:rFonts w:hint="eastAsia" w:ascii="仿宋" w:hAnsi="仿宋" w:eastAsia="仿宋" w:cs="仿宋"/>
          <w:b w:val="0"/>
          <w:bCs/>
          <w:sz w:val="32"/>
          <w:szCs w:val="32"/>
          <w:highlight w:val="none"/>
          <w:lang w:val="en-US" w:eastAsia="zh-CN"/>
        </w:rPr>
        <w:t>8133.49</w:t>
      </w:r>
      <w:r>
        <w:rPr>
          <w:rFonts w:hint="eastAsia" w:ascii="仿宋" w:hAnsi="仿宋" w:eastAsia="仿宋" w:cs="仿宋"/>
          <w:b w:val="0"/>
          <w:bCs/>
          <w:sz w:val="32"/>
          <w:szCs w:val="32"/>
          <w:highlight w:val="none"/>
        </w:rPr>
        <w:t>万元。</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b/>
          <w:sz w:val="32"/>
          <w:szCs w:val="32"/>
          <w:highlight w:val="yellow"/>
          <w:lang w:val="en-US" w:eastAsia="zh-CN"/>
        </w:rPr>
      </w:pPr>
      <w:r>
        <w:rPr>
          <w:rFonts w:hint="eastAsia" w:ascii="仿宋" w:hAnsi="仿宋" w:eastAsia="仿宋" w:cs="仿宋"/>
          <w:b w:val="0"/>
          <w:bCs/>
          <w:sz w:val="32"/>
          <w:szCs w:val="32"/>
          <w:highlight w:val="none"/>
        </w:rPr>
        <w:t>本年项目支出总额为</w:t>
      </w:r>
      <w:r>
        <w:rPr>
          <w:rFonts w:hint="eastAsia" w:ascii="仿宋" w:hAnsi="仿宋" w:eastAsia="仿宋" w:cs="仿宋"/>
          <w:b w:val="0"/>
          <w:bCs/>
          <w:sz w:val="32"/>
          <w:szCs w:val="32"/>
          <w:highlight w:val="none"/>
          <w:lang w:val="en-US" w:eastAsia="zh-CN"/>
        </w:rPr>
        <w:t>8598.49</w:t>
      </w:r>
      <w:r>
        <w:rPr>
          <w:rFonts w:hint="eastAsia" w:ascii="仿宋" w:hAnsi="仿宋" w:eastAsia="仿宋" w:cs="仿宋"/>
          <w:b w:val="0"/>
          <w:bCs/>
          <w:sz w:val="32"/>
          <w:szCs w:val="32"/>
          <w:highlight w:val="none"/>
        </w:rPr>
        <w:t>万元，其中蛇皮套和三大湖整治3244.20</w:t>
      </w:r>
      <w:r>
        <w:rPr>
          <w:rFonts w:hint="eastAsia" w:ascii="仿宋" w:hAnsi="仿宋" w:eastAsia="仿宋" w:cs="仿宋"/>
          <w:b w:val="0"/>
          <w:bCs/>
          <w:sz w:val="32"/>
          <w:szCs w:val="32"/>
          <w:highlight w:val="none"/>
          <w:lang w:val="en-US" w:eastAsia="zh-CN"/>
        </w:rPr>
        <w:t>万元，静脉产业园730.01万元，主城区桥梁加固维修工程经费496.4万元，照明提质改造经费714.97万元，城管事务管理经费1363.80万元，船舶垃圾收集经费256.93万元，中心城区消火栓改造经费238.40万元，市中心城区春节氛围营造经费169.64万元，城管系统考评经费125.41万元，非税收入执收成本126.91万元，2023年城区生活垃圾分类工作经费90.69万元，2023年度主城区防涝工作经费59.99万元，垃圾站建设41.41万元，泵站双电源回路及智能化改造项目26.12万元，城市管理应急机动经费16.50万元，渍水整治经费3.54万元。</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本单位</w:t>
      </w:r>
      <w:r>
        <w:rPr>
          <w:rFonts w:hint="eastAsia" w:ascii="仿宋" w:hAnsi="仿宋" w:eastAsia="仿宋" w:cs="仿宋"/>
          <w:sz w:val="32"/>
          <w:szCs w:val="32"/>
          <w:highlight w:val="none"/>
          <w:lang w:val="en-US" w:eastAsia="zh-CN"/>
        </w:rPr>
        <w:t>2023年度政府性基金年初预算数为0，年中调整预算金额为629.91万元，政府性基金支出总额为629.91万元，其中蛇皮套和三大湖整治337.5万元，业务工作经费292.41万元。</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本单位无国有资本经营预算支出。</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rPr>
          <w:rFonts w:hint="eastAsia" w:ascii="仿宋" w:hAnsi="仿宋" w:eastAsia="仿宋" w:cs="仿宋"/>
          <w:b w:val="0"/>
          <w:bCs/>
          <w:color w:val="auto"/>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 xml:space="preserve">   </w:t>
      </w:r>
      <w:r>
        <w:rPr>
          <w:rFonts w:hint="eastAsia" w:eastAsia="仿宋" w:cs="仿宋"/>
          <w:b w:val="0"/>
          <w:bCs/>
          <w:color w:val="auto"/>
          <w:kern w:val="2"/>
          <w:sz w:val="32"/>
          <w:szCs w:val="32"/>
          <w:highlight w:val="none"/>
          <w:lang w:val="en-US" w:eastAsia="zh-CN" w:bidi="ar-SA"/>
        </w:rPr>
        <w:t xml:space="preserve"> 2023年，我</w:t>
      </w:r>
      <w:r>
        <w:rPr>
          <w:rFonts w:hint="eastAsia" w:ascii="仿宋" w:hAnsi="仿宋" w:eastAsia="仿宋" w:cs="仿宋"/>
          <w:b w:val="0"/>
          <w:bCs/>
          <w:color w:val="auto"/>
          <w:kern w:val="2"/>
          <w:sz w:val="32"/>
          <w:szCs w:val="32"/>
          <w:highlight w:val="none"/>
          <w:lang w:val="en-US" w:eastAsia="zh-CN" w:bidi="ar-SA"/>
        </w:rPr>
        <w:t>局</w:t>
      </w:r>
      <w:r>
        <w:rPr>
          <w:rFonts w:hint="eastAsia" w:eastAsia="仿宋" w:cs="仿宋"/>
          <w:b w:val="0"/>
          <w:bCs/>
          <w:color w:val="auto"/>
          <w:kern w:val="2"/>
          <w:sz w:val="32"/>
          <w:szCs w:val="32"/>
          <w:highlight w:val="none"/>
          <w:lang w:val="en-US" w:eastAsia="zh-CN" w:bidi="ar-SA"/>
        </w:rPr>
        <w:t>始终</w:t>
      </w:r>
      <w:r>
        <w:rPr>
          <w:rFonts w:hint="eastAsia" w:ascii="仿宋" w:hAnsi="仿宋" w:eastAsia="仿宋" w:cs="仿宋"/>
          <w:b w:val="0"/>
          <w:bCs/>
          <w:color w:val="auto"/>
          <w:kern w:val="2"/>
          <w:sz w:val="32"/>
          <w:szCs w:val="32"/>
          <w:highlight w:val="none"/>
          <w:lang w:val="en-US" w:eastAsia="zh-CN" w:bidi="ar-SA"/>
        </w:rPr>
        <w:t>坚持人民至上理念，</w:t>
      </w:r>
      <w:r>
        <w:rPr>
          <w:rFonts w:hint="eastAsia" w:eastAsia="仿宋" w:cs="仿宋"/>
          <w:b w:val="0"/>
          <w:bCs/>
          <w:color w:val="auto"/>
          <w:kern w:val="2"/>
          <w:sz w:val="32"/>
          <w:szCs w:val="32"/>
          <w:highlight w:val="none"/>
          <w:lang w:val="en-US" w:eastAsia="zh-CN" w:bidi="ar-SA"/>
        </w:rPr>
        <w:t>紧紧</w:t>
      </w:r>
      <w:r>
        <w:rPr>
          <w:rFonts w:hint="eastAsia" w:ascii="仿宋" w:hAnsi="仿宋" w:eastAsia="仿宋" w:cs="仿宋"/>
          <w:b w:val="0"/>
          <w:bCs/>
          <w:color w:val="auto"/>
          <w:kern w:val="2"/>
          <w:sz w:val="32"/>
          <w:szCs w:val="32"/>
          <w:highlight w:val="none"/>
          <w:lang w:val="en-US" w:eastAsia="zh-CN" w:bidi="ar-SA"/>
        </w:rPr>
        <w:t>围绕精细、智慧、文化、绿色、人本、平安“六大城管”建设，</w:t>
      </w:r>
      <w:r>
        <w:rPr>
          <w:rFonts w:hint="eastAsia" w:eastAsia="仿宋" w:cs="仿宋"/>
          <w:b w:val="0"/>
          <w:bCs/>
          <w:color w:val="auto"/>
          <w:kern w:val="2"/>
          <w:sz w:val="32"/>
          <w:szCs w:val="32"/>
          <w:highlight w:val="none"/>
          <w:lang w:val="en-US" w:eastAsia="zh-CN" w:bidi="ar-SA"/>
        </w:rPr>
        <w:t>不断</w:t>
      </w:r>
      <w:r>
        <w:rPr>
          <w:rFonts w:hint="eastAsia" w:ascii="仿宋" w:hAnsi="仿宋" w:eastAsia="仿宋" w:cs="仿宋"/>
          <w:b w:val="0"/>
          <w:bCs/>
          <w:color w:val="auto"/>
          <w:kern w:val="2"/>
          <w:sz w:val="32"/>
          <w:szCs w:val="32"/>
          <w:highlight w:val="none"/>
          <w:lang w:val="en-US" w:eastAsia="zh-CN" w:bidi="ar-SA"/>
        </w:rPr>
        <w:t>优化城市管理，增强服务功能，推动城市高品质发展。</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sz w:val="32"/>
          <w:szCs w:val="32"/>
          <w:highlight w:val="none"/>
        </w:rPr>
      </w:pPr>
      <w:r>
        <w:rPr>
          <w:rFonts w:hint="eastAsia" w:ascii="楷体_GB2312" w:hAnsi="楷体_GB2312" w:eastAsia="楷体_GB2312" w:cs="楷体_GB2312"/>
          <w:b/>
          <w:bCs w:val="0"/>
          <w:color w:val="auto"/>
          <w:kern w:val="2"/>
          <w:sz w:val="32"/>
          <w:szCs w:val="32"/>
          <w:highlight w:val="none"/>
          <w:lang w:val="en-US" w:eastAsia="zh-CN" w:bidi="ar-SA"/>
        </w:rPr>
        <w:t>(二）预算支出完成情况及取得效益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eastAsia="仿宋" w:cs="仿宋"/>
          <w:sz w:val="32"/>
          <w:szCs w:val="32"/>
          <w:highlight w:val="none"/>
          <w:lang w:eastAsia="zh-CN"/>
        </w:rPr>
      </w:pPr>
      <w:r>
        <w:rPr>
          <w:rFonts w:hint="eastAsia" w:ascii="仿宋" w:hAnsi="仿宋" w:eastAsia="仿宋" w:cs="仿宋"/>
          <w:sz w:val="32"/>
          <w:szCs w:val="32"/>
          <w:highlight w:val="none"/>
        </w:rPr>
        <w:t>1、</w:t>
      </w:r>
      <w:r>
        <w:rPr>
          <w:rFonts w:hint="eastAsia" w:eastAsia="仿宋" w:cs="仿宋"/>
          <w:sz w:val="32"/>
          <w:szCs w:val="32"/>
          <w:highlight w:val="none"/>
          <w:lang w:val="en-US" w:eastAsia="zh-CN"/>
        </w:rPr>
        <w:t>成绩取得显著</w:t>
      </w:r>
      <w:r>
        <w:rPr>
          <w:rFonts w:hint="eastAsia" w:ascii="仿宋" w:hAnsi="仿宋" w:eastAsia="仿宋" w:cs="仿宋"/>
          <w:sz w:val="32"/>
          <w:szCs w:val="32"/>
          <w:highlight w:val="none"/>
        </w:rPr>
        <w:t>。我市城市管理顶层设计、标准化管理考核、综合执法、城镇燃气安全整治等工作位居全省前列，我局获评省住建厅“强转树”先进单位、市委“4·25” 系列活动优秀单位、市中心城区殡葬秩序整治工作优秀单位、全市2023年度安全生产和消防工作优秀单位等荣誉称号，局属岳阳火车站地区管理办公室工会劳动者服务站点被全国总工会授予“最美驿站”国家级荣誉称号</w:t>
      </w:r>
      <w:r>
        <w:rPr>
          <w:rFonts w:hint="eastAsia" w:eastAsia="仿宋" w:cs="仿宋"/>
          <w:sz w:val="32"/>
          <w:szCs w:val="32"/>
          <w:highlight w:val="none"/>
          <w:lang w:eastAsia="zh-CN"/>
        </w:rPr>
        <w:t>。</w:t>
      </w:r>
    </w:p>
    <w:p>
      <w:pPr>
        <w:pStyle w:val="2"/>
        <w:ind w:firstLine="640"/>
        <w:rPr>
          <w:rFonts w:hint="eastAsia" w:cs="仿宋"/>
          <w:sz w:val="32"/>
          <w:szCs w:val="32"/>
          <w:highlight w:val="none"/>
          <w:lang w:val="en-US" w:eastAsia="zh-CN"/>
        </w:rPr>
      </w:pPr>
      <w:r>
        <w:rPr>
          <w:rFonts w:hint="eastAsia" w:cs="仿宋"/>
          <w:sz w:val="32"/>
          <w:szCs w:val="32"/>
          <w:highlight w:val="none"/>
          <w:lang w:val="en-US" w:eastAsia="zh-CN"/>
        </w:rPr>
        <w:t>2、强化政策保障。完善出台《城市标准化管理考核实施细则》,细化20个方面、92个大项、264个小项的考核内容及标准，共计78页，涵盖城市管理方方面面；制定《城市标准化管理考核责任落实和工作流程方案》,明确考核机构、考核方式、考核频次、考核流程、考核要求；出台行政审批工作规则，统筹市、区两级城管部门行政审批，实现同城同标，强化审批、监管、执法整体协作联动；启动《岳阳市地下管线管理条例》立法前期工作。</w:t>
      </w:r>
    </w:p>
    <w:p>
      <w:pPr>
        <w:pStyle w:val="3"/>
        <w:ind w:left="0" w:leftChars="0" w:firstLine="640" w:firstLineChars="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3、推进基础设施项目建设</w:t>
      </w:r>
      <w:r>
        <w:rPr>
          <w:rFonts w:hint="eastAsia" w:eastAsia="仿宋" w:cs="仿宋"/>
          <w:sz w:val="32"/>
          <w:szCs w:val="32"/>
          <w:highlight w:val="none"/>
          <w:lang w:val="en-US" w:eastAsia="zh-CN"/>
        </w:rPr>
        <w:t>。</w:t>
      </w:r>
      <w:r>
        <w:rPr>
          <w:rFonts w:hint="eastAsia" w:ascii="仿宋" w:hAnsi="仿宋" w:eastAsia="仿宋" w:cs="仿宋"/>
          <w:sz w:val="32"/>
          <w:szCs w:val="32"/>
          <w:highlight w:val="none"/>
        </w:rPr>
        <w:t>全市建成口袋公园17个，新增口袋公园总面积71163.05 平方米</w:t>
      </w:r>
      <w:r>
        <w:rPr>
          <w:rFonts w:hint="eastAsia" w:eastAsia="仿宋" w:cs="仿宋"/>
          <w:sz w:val="32"/>
          <w:szCs w:val="32"/>
          <w:highlight w:val="none"/>
          <w:lang w:eastAsia="zh-CN"/>
        </w:rPr>
        <w:t>；</w:t>
      </w:r>
      <w:r>
        <w:rPr>
          <w:rFonts w:hint="eastAsia" w:ascii="仿宋" w:hAnsi="仿宋" w:eastAsia="仿宋" w:cs="仿宋"/>
          <w:sz w:val="32"/>
          <w:szCs w:val="32"/>
          <w:highlight w:val="none"/>
        </w:rPr>
        <w:t>认真维护好全市1012条城市道路、126座桥梁、20座地下通道等市政设施，对市中心城区40条道路进行提质改造</w:t>
      </w:r>
      <w:r>
        <w:rPr>
          <w:rFonts w:hint="eastAsia" w:ascii="仿宋" w:hAnsi="仿宋" w:eastAsia="仿宋" w:cs="仿宋"/>
          <w:sz w:val="32"/>
          <w:szCs w:val="32"/>
          <w:highlight w:val="none"/>
          <w:lang w:eastAsia="zh-CN"/>
        </w:rPr>
        <w:t>；重点做好市主城区南湖三圈、岳阳大道沿线、东风湖、洞庭大桥等周边重点区域亮化保障，丰富了城市夜间景观；全市城市建成区现有公共厕所364座、厕位2462个，其中2023年新增公共厕所9座、厕位93个。按照“无臭气、有便纸、干净整洁”的标准，市主城区先期启动了岳阳东站和岳阳火车站公共厕所改造升级，</w:t>
      </w:r>
      <w:r>
        <w:rPr>
          <w:rFonts w:hint="eastAsia" w:eastAsia="仿宋" w:cs="仿宋"/>
          <w:sz w:val="32"/>
          <w:szCs w:val="32"/>
          <w:highlight w:val="none"/>
          <w:lang w:val="en-US" w:eastAsia="zh-CN"/>
        </w:rPr>
        <w:t>后期</w:t>
      </w:r>
      <w:r>
        <w:rPr>
          <w:rFonts w:hint="eastAsia" w:ascii="仿宋" w:hAnsi="仿宋" w:eastAsia="仿宋" w:cs="仿宋"/>
          <w:sz w:val="32"/>
          <w:szCs w:val="32"/>
          <w:highlight w:val="none"/>
          <w:lang w:eastAsia="zh-CN"/>
        </w:rPr>
        <w:t>将逐步覆盖其它公共厕所</w:t>
      </w:r>
      <w:r>
        <w:rPr>
          <w:rFonts w:hint="eastAsia" w:eastAsia="仿宋" w:cs="仿宋"/>
          <w:sz w:val="32"/>
          <w:szCs w:val="32"/>
          <w:highlight w:val="none"/>
          <w:lang w:eastAsia="zh-CN"/>
        </w:rPr>
        <w:t>；</w:t>
      </w:r>
      <w:r>
        <w:rPr>
          <w:rFonts w:hint="eastAsia" w:ascii="仿宋" w:hAnsi="仿宋" w:eastAsia="仿宋" w:cs="仿宋"/>
          <w:sz w:val="32"/>
          <w:szCs w:val="32"/>
          <w:highlight w:val="none"/>
          <w:lang w:eastAsia="zh-CN"/>
        </w:rPr>
        <w:t>完善顶层设计，编制了停车专项规划，新建各类停车泊位6500个，推动机关事业单位内部停车场对外开放</w:t>
      </w:r>
      <w:r>
        <w:rPr>
          <w:rFonts w:hint="eastAsia" w:eastAsia="仿宋" w:cs="仿宋"/>
          <w:sz w:val="32"/>
          <w:szCs w:val="32"/>
          <w:highlight w:val="none"/>
          <w:lang w:eastAsia="zh-CN"/>
        </w:rPr>
        <w:t>；按照“权属主责、行业主管”原则，组织各县市区对辖区井盖及权属情况进行摸排，建立台账，逐步整治，2023年，组织对市主城区窨井盖每周进行2 次集中巡查，完好率高于98%的行业标准。</w:t>
      </w:r>
    </w:p>
    <w:p>
      <w:p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eastAsia="仿宋" w:cs="仿宋"/>
          <w:sz w:val="32"/>
          <w:szCs w:val="32"/>
          <w:lang w:val="en-US" w:eastAsia="zh-CN"/>
        </w:rPr>
        <w:t>服务水平逐步提升</w:t>
      </w:r>
      <w:r>
        <w:rPr>
          <w:rFonts w:hint="eastAsia" w:ascii="仿宋" w:hAnsi="仿宋" w:eastAsia="仿宋" w:cs="仿宋"/>
          <w:sz w:val="32"/>
          <w:szCs w:val="32"/>
          <w:lang w:val="en-US" w:eastAsia="zh-CN"/>
        </w:rPr>
        <w:t>。加强火车站、汽车站和飞机场外广场、步行街等城市繁华地段和公园、广场等人流量密集地区的日常管理和服务保障，持续搞好环境卫生、市容秩序，提供志愿服务</w:t>
      </w:r>
      <w:r>
        <w:rPr>
          <w:rFonts w:hint="eastAsia" w:eastAsia="仿宋" w:cs="仿宋"/>
          <w:sz w:val="32"/>
          <w:szCs w:val="32"/>
          <w:lang w:val="en-US" w:eastAsia="zh-CN"/>
        </w:rPr>
        <w:t>；紧盯市主城区42个易渍水点、30条易渍水路段，没有出现长时间、大面积渍水内涝和人员伤亡情况；全面转变以罚代管的传统执法导向，在主动服务上 持续发力，变“末端执法”为“前端服务”,注重疏堵结合、打防兼顾，以“柔态度”取得“刚效果”；积极推动垃圾分类成为低碳生活新时尚。经过各方努力，我市垃圾分类在住建部评估中从2021年第四季度的15.5分提升至2023年第三季度的56.6分，位列大城市第65名，进步明显；为确保城市道路“起风不起尘”,督促“六区”城管部门非雨天主街主道每2小时洒水1次、每天至少高压冲洗1次、多功能抑尘车每天至少开展5次降尘作业。</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eastAsia="仿宋" w:cs="仿宋"/>
          <w:sz w:val="32"/>
          <w:szCs w:val="32"/>
          <w:highlight w:val="none"/>
          <w:lang w:val="en-US" w:eastAsia="zh-CN"/>
        </w:rPr>
      </w:pPr>
      <w:r>
        <w:rPr>
          <w:rFonts w:hint="eastAsia" w:eastAsia="仿宋" w:cs="仿宋"/>
          <w:sz w:val="32"/>
          <w:szCs w:val="32"/>
          <w:highlight w:val="none"/>
          <w:lang w:val="en-US" w:eastAsia="zh-CN"/>
        </w:rPr>
        <w:t>5、注重城市精神文明建设。以岳阳楼为主题设计了岳阳市市政设施文化标识，市政府第20次常务会议提升为岳阳市城市文化标识；开展城区户外广告提质，展现历史文化名城；完成市中心城区“六区”407处各类户外广告整治提质，尤其是高速路口、机场和进出城干道沿线的15处户外广告提质后充分展现了岳阳历史文化名城、省域副中心城市形象。</w:t>
      </w:r>
    </w:p>
    <w:p>
      <w:pPr>
        <w:pStyle w:val="2"/>
        <w:ind w:firstLine="640" w:firstLineChars="200"/>
        <w:rPr>
          <w:rFonts w:hint="eastAsia" w:cs="仿宋"/>
          <w:sz w:val="32"/>
          <w:szCs w:val="32"/>
          <w:highlight w:val="none"/>
          <w:lang w:val="en-US" w:eastAsia="zh-CN"/>
        </w:rPr>
      </w:pPr>
      <w:r>
        <w:rPr>
          <w:rFonts w:hint="eastAsia" w:cs="仿宋"/>
          <w:sz w:val="32"/>
          <w:szCs w:val="32"/>
          <w:highlight w:val="none"/>
          <w:lang w:val="en-US" w:eastAsia="zh-CN"/>
        </w:rPr>
        <w:t>6、强化绩效考核。将过去只对“六区”政府(管委会)考核扩展至对市直相关部门、“六区”政府(管委会)、区直部门、街道办事处、社区“五级”考核，压实各方责任；以全市污染防治攻坚战、安全生产翻身仗考核市委、市政府主要领导每月约谈为契机，积极参与全市专项考核，促推各级各部门在垃圾分类、餐饮油烟等重点工作上尽责有为；强化考核奖惩督促整 改提升，通过“一月一考核、 一月一讲评、 一月一通报、一月一奖惩、不断优化”机制，月均督促整改突出问题600余个，形成各县市区和有关市直部门“比、学、赶、超”浓厚氛围；以行政执法“三项制度”、执法人员管理、案卷评查为重点，结合日常检查、专项督查、突出问题调查、日常考评等方式，强化对各县市区城管部门及执法人员履职情况进行监督检查。</w:t>
      </w:r>
    </w:p>
    <w:p>
      <w:pPr>
        <w:pStyle w:val="3"/>
        <w:ind w:left="0" w:leftChars="0" w:firstLine="560" w:firstLineChars="0"/>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(三）预算资金管理情况</w:t>
      </w:r>
    </w:p>
    <w:p>
      <w:pPr>
        <w:ind w:firstLine="56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根据岳阳市人民政府办公室《关于贯彻落实省政府全面推进预算绩效管理意见的通知》（岳政办函〔2012〕171号）、岳阳市财政局</w:t>
      </w:r>
      <w:r>
        <w:rPr>
          <w:rFonts w:hint="eastAsia" w:eastAsia="仿宋" w:cs="仿宋"/>
          <w:sz w:val="32"/>
          <w:szCs w:val="32"/>
          <w:lang w:val="en-US" w:eastAsia="zh-CN"/>
        </w:rPr>
        <w:t>、</w:t>
      </w:r>
      <w:r>
        <w:rPr>
          <w:rFonts w:hint="eastAsia" w:ascii="仿宋" w:hAnsi="仿宋" w:eastAsia="仿宋" w:cs="仿宋"/>
          <w:sz w:val="32"/>
          <w:szCs w:val="32"/>
          <w:lang w:val="en-US" w:eastAsia="zh-CN"/>
        </w:rPr>
        <w:t>岳阳市审计局《关于印发&lt;2022年度岳阳市预算绩效管理工作方案&gt;的通知》（岳财发〔2022〕6号）和其他相关文件要求，我局成立了绩效评价及监督小组，定期开展相关工作。</w:t>
      </w:r>
    </w:p>
    <w:p>
      <w:pPr>
        <w:pStyle w:val="3"/>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1、预算及绩效管理情况</w:t>
      </w:r>
    </w:p>
    <w:p>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pacing w:val="6"/>
          <w:kern w:val="0"/>
          <w:sz w:val="32"/>
          <w:szCs w:val="32"/>
          <w:lang w:val="en-US" w:eastAsia="zh-CN"/>
        </w:rPr>
        <w:t>加强资金</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，我局从预算编制环节入手，编制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做到资金预算有目标，确保了财政资金支出效益。于2023年组织开展了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工作和经费支出进行绩效自评工作，做到了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专项组织情况分析</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2023年度项目预算绩效目标申报，将各专项纳入绩效管理，明确了主体责任。各项目的责任部门在项目的实施过程中制定了项目实施方案，成立了项目领导小组，强化了项目管理组织领导。</w:t>
      </w:r>
      <w:r>
        <w:rPr>
          <w:rFonts w:hint="eastAsia" w:ascii="仿宋_GB2312" w:hAnsi="仿宋_GB2312" w:eastAsia="仿宋_GB2312" w:cs="仿宋_GB2312"/>
          <w:sz w:val="32"/>
          <w:szCs w:val="32"/>
          <w:lang w:eastAsia="zh-CN"/>
        </w:rPr>
        <w:t>工程建设项目主要是</w:t>
      </w:r>
      <w:r>
        <w:rPr>
          <w:rFonts w:hint="eastAsia" w:ascii="仿宋_GB2312" w:hAnsi="仿宋_GB2312" w:eastAsia="仿宋_GB2312" w:cs="仿宋_GB2312"/>
          <w:bCs/>
          <w:sz w:val="32"/>
          <w:szCs w:val="32"/>
          <w:lang w:val="en-US" w:eastAsia="zh-CN"/>
        </w:rPr>
        <w:t>主城区桥梁加固维修工程、照明提质改造、蛇皮套和三大湖整治、静脉产业园、市中心城区春节氛围营造、中心城区消火栓改造等项目</w:t>
      </w:r>
      <w:r>
        <w:rPr>
          <w:rFonts w:hint="eastAsia" w:ascii="仿宋_GB2312" w:hAnsi="仿宋_GB2312" w:eastAsia="仿宋_GB2312" w:cs="仿宋_GB2312"/>
          <w:sz w:val="32"/>
          <w:szCs w:val="32"/>
          <w:lang w:eastAsia="zh-CN"/>
        </w:rPr>
        <w:t>，都严格履行了政府采购和招投标手续，政府采购限额以下的项目</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lang w:eastAsia="zh-CN"/>
        </w:rPr>
        <w:t>严格按政府</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lang w:eastAsia="zh-CN"/>
        </w:rPr>
        <w:t>电子卖场交易程序和流程实施。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专项管理情况分析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实行项目事前申报、事中监督、事后审计的管理模式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符合规定范围的项目，事前必须由实施单位向市城管局分管</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报告后方可实施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在实施过程中，根据相关规定，由市城管局相关业务科室和审计科进行跟进监管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项目完成后，由实施单位向市城管局提交经费使用申请书面报告和项目决算，书面报告内容包括申报理由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依据、项目实施效果等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重大事项</w:t>
      </w:r>
      <w:r>
        <w:rPr>
          <w:rFonts w:hint="eastAsia" w:ascii="仿宋_GB2312" w:hAnsi="仿宋_GB2312" w:eastAsia="仿宋_GB2312" w:cs="仿宋_GB2312"/>
          <w:sz w:val="32"/>
          <w:szCs w:val="32"/>
        </w:rPr>
        <w:t>经市城管局</w:t>
      </w:r>
      <w:r>
        <w:rPr>
          <w:rFonts w:hint="eastAsia" w:ascii="仿宋_GB2312" w:hAnsi="仿宋_GB2312" w:eastAsia="仿宋_GB2312" w:cs="仿宋_GB2312"/>
          <w:spacing w:val="6"/>
          <w:kern w:val="0"/>
          <w:sz w:val="32"/>
          <w:szCs w:val="32"/>
          <w:lang w:val="en-US" w:eastAsia="zh-CN"/>
        </w:rPr>
        <w:t>党组研究</w:t>
      </w:r>
      <w:r>
        <w:rPr>
          <w:rFonts w:hint="eastAsia" w:ascii="仿宋_GB2312" w:hAnsi="仿宋_GB2312" w:eastAsia="仿宋_GB2312" w:cs="仿宋_GB2312"/>
          <w:spacing w:val="6"/>
          <w:kern w:val="0"/>
          <w:sz w:val="32"/>
          <w:szCs w:val="32"/>
        </w:rPr>
        <w:t>决</w:t>
      </w:r>
      <w:r>
        <w:rPr>
          <w:rFonts w:hint="eastAsia" w:ascii="仿宋_GB2312" w:hAnsi="仿宋_GB2312" w:eastAsia="仿宋_GB2312" w:cs="仿宋_GB2312"/>
          <w:spacing w:val="6"/>
          <w:kern w:val="0"/>
          <w:sz w:val="32"/>
          <w:szCs w:val="32"/>
          <w:lang w:val="en-US" w:eastAsia="zh-CN"/>
        </w:rPr>
        <w:t>定后，</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分管</w:t>
      </w:r>
      <w:r>
        <w:rPr>
          <w:rFonts w:hint="eastAsia" w:ascii="仿宋_GB2312" w:hAnsi="仿宋_GB2312" w:eastAsia="仿宋_GB2312" w:cs="仿宋_GB2312"/>
          <w:sz w:val="32"/>
          <w:szCs w:val="32"/>
          <w:lang w:eastAsia="zh-CN"/>
        </w:rPr>
        <w:t>财务领导</w:t>
      </w:r>
      <w:r>
        <w:rPr>
          <w:rFonts w:hint="eastAsia" w:ascii="仿宋_GB2312" w:hAnsi="仿宋_GB2312" w:eastAsia="仿宋_GB2312" w:cs="仿宋_GB2312"/>
          <w:sz w:val="32"/>
          <w:szCs w:val="32"/>
        </w:rPr>
        <w:t>审批。</w:t>
      </w:r>
    </w:p>
    <w:p>
      <w:pPr>
        <w:pStyle w:val="2"/>
        <w:keepNext w:val="0"/>
        <w:keepLines w:val="0"/>
        <w:pageBreakBefore w:val="0"/>
        <w:wordWrap/>
        <w:overflowPunct/>
        <w:topLinePunct w:val="0"/>
        <w:bidi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4、资产管理情况</w:t>
      </w:r>
    </w:p>
    <w:p>
      <w:pPr>
        <w:pStyle w:val="3"/>
        <w:keepNext w:val="0"/>
        <w:keepLines w:val="0"/>
        <w:pageBreakBefore w:val="0"/>
        <w:wordWrap/>
        <w:overflowPunct/>
        <w:topLinePunct w:val="0"/>
        <w:bidi w:val="0"/>
        <w:spacing w:line="600" w:lineRule="exact"/>
        <w:ind w:left="0" w:leftChars="0" w:firstLine="640" w:firstLineChars="0"/>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开展“三资”清查和资产盘点，并根据本单位实际情况，修订了资产管理制度，加强实物管理。按照厉行节约、物尽其用的原则，资产管理采取统一建帐、统一核算管理，对每件固定资产使用明确保管职责，闲置的资产，由局办公室统一调整，合理流动，发挥其效益。固定资产配置和处置，均按市</w:t>
      </w:r>
      <w:r>
        <w:rPr>
          <w:rFonts w:hint="eastAsia" w:ascii="仿宋_GB2312" w:hAnsi="仿宋_GB2312" w:eastAsia="仿宋_GB2312" w:cs="仿宋_GB2312"/>
          <w:sz w:val="32"/>
          <w:szCs w:val="32"/>
          <w:lang w:eastAsia="zh-CN"/>
        </w:rPr>
        <w:t>国有资产</w:t>
      </w:r>
      <w:r>
        <w:rPr>
          <w:rFonts w:hint="eastAsia" w:ascii="仿宋_GB2312" w:hAnsi="仿宋_GB2312" w:eastAsia="仿宋_GB2312" w:cs="仿宋_GB2312"/>
          <w:sz w:val="32"/>
          <w:szCs w:val="32"/>
          <w:lang w:val="en-US" w:eastAsia="zh-CN"/>
        </w:rPr>
        <w:t>管理相关</w:t>
      </w:r>
      <w:r>
        <w:rPr>
          <w:rFonts w:hint="eastAsia" w:ascii="仿宋_GB2312" w:hAnsi="仿宋_GB2312" w:eastAsia="仿宋_GB2312" w:cs="仿宋_GB2312"/>
          <w:bCs/>
          <w:sz w:val="32"/>
          <w:szCs w:val="32"/>
          <w:highlight w:val="none"/>
          <w:lang w:val="en-US" w:eastAsia="zh-CN"/>
        </w:rPr>
        <w:t>规定程序办理，并严格按固定资产管理办法进行核算及管理。</w:t>
      </w:r>
    </w:p>
    <w:p>
      <w:pPr>
        <w:keepNext w:val="0"/>
        <w:keepLines w:val="0"/>
        <w:pageBreakBefore w:val="0"/>
        <w:numPr>
          <w:ilvl w:val="0"/>
          <w:numId w:val="0"/>
        </w:numPr>
        <w:wordWrap/>
        <w:overflowPunct/>
        <w:topLinePunct w:val="0"/>
        <w:bidi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sz w:val="32"/>
          <w:szCs w:val="32"/>
          <w:lang w:val="en-US" w:eastAsia="zh-CN"/>
        </w:rPr>
        <w:t>资金管理情况</w:t>
      </w:r>
    </w:p>
    <w:p>
      <w:pPr>
        <w:keepNext w:val="0"/>
        <w:keepLines w:val="0"/>
        <w:pageBreakBefore w:val="0"/>
        <w:wordWrap/>
        <w:overflowPunct/>
        <w:topLinePunct w:val="0"/>
        <w:bidi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bCs/>
          <w:sz w:val="32"/>
          <w:szCs w:val="32"/>
          <w:lang w:val="en-US" w:eastAsia="zh-CN"/>
        </w:rPr>
        <w:t>专项</w:t>
      </w:r>
      <w:r>
        <w:rPr>
          <w:rFonts w:hint="eastAsia" w:ascii="仿宋_GB2312" w:hAnsi="仿宋_GB2312" w:eastAsia="仿宋_GB2312" w:cs="仿宋_GB2312"/>
          <w:bCs/>
          <w:sz w:val="32"/>
          <w:szCs w:val="32"/>
        </w:rPr>
        <w:t>资金</w:t>
      </w:r>
      <w:r>
        <w:rPr>
          <w:rFonts w:hint="eastAsia" w:ascii="仿宋_GB2312" w:hAnsi="仿宋_GB2312" w:eastAsia="仿宋_GB2312" w:cs="仿宋_GB2312"/>
          <w:bCs/>
          <w:sz w:val="32"/>
          <w:szCs w:val="32"/>
          <w:lang w:val="en-US" w:eastAsia="zh-CN"/>
        </w:rPr>
        <w:t>管理按资金</w:t>
      </w:r>
      <w:r>
        <w:rPr>
          <w:rFonts w:hint="eastAsia" w:ascii="仿宋_GB2312" w:hAnsi="仿宋_GB2312" w:eastAsia="仿宋_GB2312" w:cs="仿宋_GB2312"/>
          <w:bCs/>
          <w:sz w:val="32"/>
          <w:szCs w:val="32"/>
        </w:rPr>
        <w:t>用途专款专用，</w:t>
      </w:r>
      <w:r>
        <w:rPr>
          <w:rFonts w:hint="eastAsia" w:ascii="仿宋_GB2312" w:hAnsi="仿宋_GB2312" w:eastAsia="仿宋_GB2312" w:cs="仿宋_GB2312"/>
          <w:bCs/>
          <w:sz w:val="32"/>
          <w:szCs w:val="32"/>
          <w:lang w:val="en-US" w:eastAsia="zh-CN"/>
        </w:rPr>
        <w:t>各专项间独立核算，严禁混用。</w:t>
      </w:r>
      <w:r>
        <w:rPr>
          <w:rFonts w:hint="eastAsia" w:ascii="仿宋_GB2312" w:hAnsi="仿宋_GB2312" w:eastAsia="仿宋_GB2312" w:cs="仿宋_GB2312"/>
          <w:bCs/>
          <w:sz w:val="32"/>
          <w:szCs w:val="32"/>
        </w:rPr>
        <w:t>严格按照</w:t>
      </w:r>
      <w:r>
        <w:rPr>
          <w:rFonts w:hint="eastAsia" w:ascii="仿宋_GB2312" w:hAnsi="仿宋_GB2312" w:eastAsia="仿宋_GB2312" w:cs="仿宋_GB2312"/>
          <w:bCs/>
          <w:sz w:val="32"/>
          <w:szCs w:val="32"/>
          <w:lang w:val="en-US" w:eastAsia="zh-CN"/>
        </w:rPr>
        <w:t>专项</w:t>
      </w:r>
      <w:r>
        <w:rPr>
          <w:rFonts w:hint="eastAsia" w:ascii="仿宋_GB2312" w:hAnsi="仿宋_GB2312"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仿宋_GB2312" w:hAnsi="仿宋_GB2312" w:eastAsia="仿宋_GB2312" w:cs="仿宋_GB2312"/>
          <w:bCs/>
          <w:sz w:val="32"/>
          <w:szCs w:val="32"/>
          <w:lang w:val="en-US" w:eastAsia="zh-CN"/>
        </w:rPr>
        <w:t>期</w:t>
      </w:r>
      <w:r>
        <w:rPr>
          <w:rFonts w:hint="eastAsia" w:ascii="仿宋_GB2312" w:hAnsi="仿宋_GB2312" w:eastAsia="仿宋_GB2312" w:cs="仿宋_GB2312"/>
          <w:bCs/>
          <w:sz w:val="32"/>
          <w:szCs w:val="32"/>
        </w:rPr>
        <w:t>查看财务报表检查专项资金使用情况。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6、运行成本和管理效率</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2023年，局机关全年预算金额为9568.29万元，实际支出金额为9561.89万元，其中基本支出963.41万元、项目支出8598.48万元，年度预算执行率为99.93%，单位运行成本控制在年度预算金额内，资金周转利用效率高。</w:t>
      </w:r>
    </w:p>
    <w:p>
      <w:pPr>
        <w:pStyle w:val="2"/>
        <w:keepNext w:val="0"/>
        <w:keepLines w:val="0"/>
        <w:pageBreakBefore w:val="0"/>
        <w:numPr>
          <w:ilvl w:val="0"/>
          <w:numId w:val="0"/>
        </w:numPr>
        <w:wordWrap/>
        <w:overflowPunct/>
        <w:topLinePunct w:val="0"/>
        <w:bidi w:val="0"/>
        <w:spacing w:line="600" w:lineRule="exact"/>
        <w:ind w:firstLine="643" w:firstLineChars="200"/>
        <w:jc w:val="left"/>
        <w:rPr>
          <w:rFonts w:hint="eastAsia" w:ascii="仿宋_GB2312" w:hAnsi="仿宋_GB2312" w:eastAsia="仿宋_GB2312" w:cs="仿宋_GB2312"/>
          <w:color w:val="333333"/>
          <w:sz w:val="32"/>
          <w:szCs w:val="32"/>
          <w:shd w:val="clear" w:color="auto" w:fill="FFFFFF"/>
          <w:lang w:eastAsia="zh-CN"/>
        </w:rPr>
      </w:pPr>
      <w:r>
        <w:rPr>
          <w:rFonts w:hint="eastAsia" w:ascii="楷体" w:hAnsi="楷体" w:eastAsia="楷体" w:cs="楷体"/>
          <w:b/>
          <w:bCs/>
          <w:color w:val="333333"/>
          <w:sz w:val="32"/>
          <w:szCs w:val="32"/>
          <w:shd w:val="clear" w:color="auto" w:fill="FFFFFF"/>
        </w:rPr>
        <w:t>评价结论</w:t>
      </w:r>
      <w:r>
        <w:rPr>
          <w:rFonts w:hint="eastAsia" w:ascii="楷体" w:hAnsi="楷体" w:eastAsia="楷体" w:cs="楷体"/>
          <w:b/>
          <w:bCs/>
          <w:color w:val="333333"/>
          <w:sz w:val="32"/>
          <w:szCs w:val="32"/>
          <w:shd w:val="clear" w:color="auto" w:fill="FFFFFF"/>
          <w:lang w:eastAsia="zh-CN"/>
        </w:rPr>
        <w:t>：</w:t>
      </w:r>
      <w:bookmarkStart w:id="0" w:name="_Toc2686_WPSOffice_Level2"/>
      <w:r>
        <w:rPr>
          <w:rFonts w:hint="eastAsia" w:ascii="仿宋_GB2312" w:hAnsi="仿宋_GB2312" w:eastAsia="仿宋_GB2312" w:cs="仿宋_GB2312"/>
          <w:color w:val="333333"/>
          <w:sz w:val="32"/>
          <w:szCs w:val="32"/>
          <w:u w:val="none"/>
          <w:shd w:val="clear" w:color="auto" w:fill="FFFFFF"/>
        </w:rPr>
        <w:t>评价小组通过定量和定性分析</w:t>
      </w:r>
      <w:bookmarkEnd w:id="0"/>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000000"/>
          <w:sz w:val="32"/>
          <w:szCs w:val="32"/>
        </w:rPr>
        <w:t>岳阳市城市管理和综合执法局本级</w:t>
      </w:r>
      <w:bookmarkStart w:id="4" w:name="_GoBack"/>
      <w:bookmarkEnd w:id="4"/>
      <w:r>
        <w:rPr>
          <w:rFonts w:hint="eastAsia" w:ascii="仿宋_GB2312" w:hAnsi="仿宋_GB2312" w:eastAsia="仿宋_GB2312" w:cs="仿宋_GB2312"/>
          <w:color w:val="000000"/>
          <w:sz w:val="32"/>
          <w:szCs w:val="32"/>
          <w:lang w:val="en-US" w:eastAsia="zh-CN"/>
        </w:rPr>
        <w:t>整体支出</w:t>
      </w:r>
      <w:r>
        <w:rPr>
          <w:rFonts w:hint="eastAsia" w:ascii="仿宋_GB2312" w:hAnsi="仿宋_GB2312" w:eastAsia="仿宋_GB2312" w:cs="仿宋_GB2312"/>
          <w:color w:val="333333"/>
          <w:sz w:val="32"/>
          <w:szCs w:val="32"/>
          <w:shd w:val="clear" w:color="auto" w:fill="FFFFFF"/>
        </w:rPr>
        <w:t>，绩效评价最后得分为9</w:t>
      </w:r>
      <w:r>
        <w:rPr>
          <w:rFonts w:hint="eastAsia" w:ascii="仿宋_GB2312" w:hAnsi="仿宋_GB2312" w:eastAsia="仿宋_GB2312" w:cs="仿宋_GB2312"/>
          <w:color w:val="333333"/>
          <w:sz w:val="32"/>
          <w:szCs w:val="32"/>
          <w:shd w:val="clear" w:color="auto" w:fill="FFFFFF"/>
          <w:lang w:val="en-US" w:eastAsia="zh-CN"/>
        </w:rPr>
        <w:t>7.99</w:t>
      </w:r>
      <w:r>
        <w:rPr>
          <w:rFonts w:hint="eastAsia" w:ascii="仿宋_GB2312" w:hAnsi="仿宋_GB2312" w:eastAsia="仿宋_GB2312" w:cs="仿宋_GB2312"/>
          <w:color w:val="333333"/>
          <w:sz w:val="32"/>
          <w:szCs w:val="32"/>
          <w:shd w:val="clear" w:color="auto" w:fill="FFFFFF"/>
        </w:rPr>
        <w:t>分</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具体评份明细见附件二）</w:t>
      </w:r>
      <w:r>
        <w:rPr>
          <w:rFonts w:hint="eastAsia" w:ascii="仿宋_GB2312" w:hAnsi="仿宋_GB2312" w:eastAsia="仿宋_GB2312" w:cs="仿宋_GB2312"/>
          <w:color w:val="333333"/>
          <w:sz w:val="32"/>
          <w:szCs w:val="32"/>
          <w:shd w:val="clear" w:color="auto" w:fill="FFFFFF"/>
        </w:rPr>
        <w:t>，评价等级为“优”</w:t>
      </w:r>
      <w:r>
        <w:rPr>
          <w:rFonts w:hint="eastAsia" w:ascii="仿宋_GB2312" w:hAnsi="仿宋_GB2312" w:eastAsia="仿宋_GB2312" w:cs="仿宋_GB2312"/>
          <w:color w:val="333333"/>
          <w:sz w:val="32"/>
          <w:szCs w:val="32"/>
          <w:shd w:val="clear" w:color="auto" w:fill="FFFFFF"/>
          <w:lang w:eastAsia="zh-CN"/>
        </w:rPr>
        <w:t>。</w:t>
      </w:r>
    </w:p>
    <w:p>
      <w:pPr>
        <w:pStyle w:val="2"/>
        <w:keepNext w:val="0"/>
        <w:keepLines w:val="0"/>
        <w:pageBreakBefore w:val="0"/>
        <w:numPr>
          <w:ilvl w:val="0"/>
          <w:numId w:val="0"/>
        </w:numPr>
        <w:kinsoku/>
        <w:wordWrap/>
        <w:overflowPunct/>
        <w:topLinePunct w:val="0"/>
        <w:autoSpaceDE/>
        <w:autoSpaceDN/>
        <w:bidi w:val="0"/>
        <w:spacing w:line="600" w:lineRule="exact"/>
        <w:ind w:left="640" w:leftChars="0"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SA"/>
        </w:rPr>
        <w:t>（四）</w:t>
      </w:r>
      <w:r>
        <w:rPr>
          <w:rFonts w:hint="eastAsia" w:ascii="仿宋_GB2312" w:hAnsi="仿宋_GB2312" w:eastAsia="仿宋_GB2312" w:cs="仿宋_GB2312"/>
          <w:b/>
          <w:bCs/>
          <w:color w:val="auto"/>
          <w:sz w:val="32"/>
          <w:szCs w:val="32"/>
          <w:lang w:val="en-US" w:eastAsia="zh-CN"/>
        </w:rPr>
        <w:t>绩效指标分析</w:t>
      </w:r>
      <w:bookmarkStart w:id="1" w:name="_Toc287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预算执行过程情况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预算执行过程指标分值为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分，评价得分</w:t>
      </w:r>
      <w:r>
        <w:rPr>
          <w:rFonts w:hint="eastAsia" w:ascii="仿宋_GB2312" w:hAnsi="仿宋_GB2312" w:eastAsia="仿宋_GB2312" w:cs="仿宋_GB2312"/>
          <w:sz w:val="32"/>
          <w:szCs w:val="32"/>
          <w:lang w:val="en-US" w:eastAsia="zh-CN"/>
        </w:rPr>
        <w:t>9.99</w:t>
      </w:r>
      <w:r>
        <w:rPr>
          <w:rFonts w:hint="eastAsia" w:ascii="仿宋_GB2312" w:hAnsi="仿宋_GB2312" w:eastAsia="仿宋_GB2312" w:cs="仿宋_GB2312"/>
          <w:sz w:val="32"/>
          <w:szCs w:val="32"/>
        </w:rPr>
        <w:t>分，主要扣分原因为全年执行数</w:t>
      </w:r>
      <w:r>
        <w:rPr>
          <w:rFonts w:hint="eastAsia" w:ascii="仿宋_GB2312" w:hAnsi="仿宋_GB2312" w:eastAsia="仿宋_GB2312" w:cs="仿宋_GB2312"/>
          <w:sz w:val="32"/>
          <w:szCs w:val="32"/>
          <w:lang w:val="en-US" w:eastAsia="zh-CN"/>
        </w:rPr>
        <w:t>占全年预算数的比例为99.99%，少量公用经费结余暂未支付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 w:name="_Toc1611"/>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预算支出产出情况</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rPr>
        <w:t>预算支出产出指标分值50分，评价得分</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分，主要扣分原因</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主城区桥梁加固维修工程、市中心城区春节氛围营造</w:t>
      </w:r>
      <w:r>
        <w:rPr>
          <w:rFonts w:hint="eastAsia" w:ascii="仿宋_GB2312" w:hAnsi="仿宋_GB2312" w:eastAsia="仿宋_GB2312" w:cs="仿宋_GB2312"/>
          <w:sz w:val="32"/>
          <w:szCs w:val="32"/>
          <w:lang w:val="en-US" w:eastAsia="zh-CN"/>
        </w:rPr>
        <w:t>两个项目因资金紧张项目资金拨付未完成；二是</w:t>
      </w:r>
      <w:r>
        <w:rPr>
          <w:rFonts w:hint="eastAsia" w:ascii="仿宋_GB2312" w:hAnsi="仿宋_GB2312" w:eastAsia="仿宋_GB2312" w:cs="仿宋_GB2312"/>
          <w:sz w:val="32"/>
          <w:szCs w:val="32"/>
        </w:rPr>
        <w:t>中心城区消火栓改造</w:t>
      </w:r>
      <w:r>
        <w:rPr>
          <w:rFonts w:hint="eastAsia" w:ascii="仿宋_GB2312" w:hAnsi="仿宋_GB2312" w:eastAsia="仿宋_GB2312" w:cs="仿宋_GB2312"/>
          <w:sz w:val="32"/>
          <w:szCs w:val="32"/>
          <w:lang w:val="en-US" w:eastAsia="zh-CN"/>
        </w:rPr>
        <w:t>项目为</w:t>
      </w:r>
      <w:r>
        <w:rPr>
          <w:rFonts w:hint="eastAsia" w:ascii="仿宋" w:hAnsi="仿宋" w:eastAsia="仿宋" w:cs="仿宋"/>
          <w:sz w:val="32"/>
          <w:szCs w:val="32"/>
          <w:lang w:val="en-US" w:eastAsia="zh-CN"/>
        </w:rPr>
        <w:t>岳阳大道新增消防栓管线工程，以白石岭南路路口起至大桥河路路口，沿线新敷设DN300球墨管道并沿线均布消防栓，并与通海路DN500球管碰通，由于该施工现场位于经开区，岳阳大道又是市级形象工程，岳阳市城管局分管副局长多次召开协调会，申请经开区给出施工红线，但是始终都没有得到经开区的答复，一直到2021年初，在市政府的工作报告，“中心城区管网改造”三年行动推动下岳阳大道新增消防栓管线方得以恢复施工</w:t>
      </w:r>
      <w:r>
        <w:rPr>
          <w:rFonts w:hint="eastAsia" w:eastAsia="仿宋" w:cs="仿宋"/>
          <w:sz w:val="32"/>
          <w:szCs w:val="32"/>
          <w:lang w:val="en-US" w:eastAsia="zh-CN"/>
        </w:rPr>
        <w:t>，拖延了施工进度。此外该项目已完工，但因种种原因至今还未完成工程竣工验收结算。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3" w:name="_Toc25059"/>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预算支出效益情况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预算支出效益指标分值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0分，评价得分3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4、服务对象</w:t>
      </w:r>
      <w:r>
        <w:rPr>
          <w:rFonts w:hint="eastAsia" w:ascii="仿宋_GB2312" w:hAnsi="仿宋_GB2312" w:eastAsia="仿宋_GB2312" w:cs="仿宋_GB2312"/>
          <w:sz w:val="32"/>
          <w:szCs w:val="32"/>
        </w:rPr>
        <w:t>满意度</w:t>
      </w:r>
      <w:r>
        <w:rPr>
          <w:rFonts w:hint="eastAsia" w:ascii="仿宋_GB2312" w:hAnsi="仿宋_GB2312" w:eastAsia="仿宋_GB2312" w:cs="仿宋_GB2312"/>
          <w:sz w:val="32"/>
          <w:szCs w:val="32"/>
          <w:lang w:val="en-US" w:eastAsia="zh-CN"/>
        </w:rPr>
        <w:t>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服务对象</w:t>
      </w:r>
      <w:r>
        <w:rPr>
          <w:rFonts w:hint="eastAsia" w:ascii="仿宋_GB2312" w:hAnsi="仿宋_GB2312" w:eastAsia="仿宋_GB2312" w:cs="仿宋_GB2312"/>
          <w:sz w:val="32"/>
          <w:szCs w:val="32"/>
        </w:rPr>
        <w:t>满意度指标分值</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评价得分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预算执行出现偏差。2023年年初预算数为1373.24万元，决算数为9561.89万元，</w:t>
      </w:r>
      <w:r>
        <w:rPr>
          <w:rFonts w:hint="eastAsia" w:ascii="仿宋_GB2312" w:hAnsi="仿宋_GB2312" w:eastAsia="仿宋_GB2312" w:cs="仿宋_GB2312"/>
          <w:sz w:val="32"/>
          <w:szCs w:val="32"/>
          <w:lang w:val="en-US" w:eastAsia="zh-CN"/>
        </w:rPr>
        <w:t>主要原因一方面系根据年中工作实际情况及时调整预算，另一方面也反映出部门间沟通不够，资金申请不够及时，预算编制不够全面、完整。</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（二）项目资金未按进度拨付。部分工程项目已完工，但由于资金不足导致尾款无法支付或不能及时办理竣工决算手续，影响工程整体进度。</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（三）部分工期延误。如“（四）2.预算支出产出情况”所述，中心城区消火栓改造项目因不可抗力导致工期延误。</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投入难以保障。城市管理是一项需要持续加大投入的工作，在当前经济下行大形势下，市、县两级财政压力较大，市政管网清淤、公共停车场建设、垃圾分类、公厕建设、市政道路改造、城区防涝应急等市政民生项目每年预算经费难以支撑城市高速发展需要。</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（一）加强单位部门间沟通协调，及时掌握工作进度，及时申请预算资金，进一步提高预算执行率。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（二）加强部门间沟通与协作，合理预测项目实施进度，根据进度及时与财政部门沟通申请预算资金，提高资金支付效率。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Times New Roman"/>
          <w:sz w:val="32"/>
          <w:szCs w:val="32"/>
          <w:highlight w:val="none"/>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将作为完善本单位相关制度，改进资金管理的重要依据，同时，也将作为单位内部工作总结的参考依据。本单位的预算绩效目标、预算、决算及绩效评价均按相关规定及时在市城管局门户网站进行了公开。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仿宋" w:hAnsi="仿宋" w:eastAsia="仿宋" w:cs="仿宋"/>
          <w:sz w:val="32"/>
          <w:szCs w:val="32"/>
          <w:highlight w:val="none"/>
        </w:rPr>
        <w:t>202</w:t>
      </w:r>
      <w:r>
        <w:rPr>
          <w:rFonts w:hint="eastAsia" w:eastAsia="仿宋" w:cs="仿宋"/>
          <w:sz w:val="32"/>
          <w:szCs w:val="32"/>
          <w:highlight w:val="none"/>
          <w:lang w:val="en-US" w:eastAsia="zh-CN"/>
        </w:rPr>
        <w:t>3</w:t>
      </w:r>
      <w:r>
        <w:rPr>
          <w:rFonts w:hint="default" w:ascii="仿宋" w:hAnsi="仿宋" w:eastAsia="仿宋" w:cs="仿宋"/>
          <w:sz w:val="32"/>
          <w:szCs w:val="32"/>
          <w:highlight w:val="none"/>
        </w:rPr>
        <w:t>年，本单位城市管理应急机动经费项目年初预算金额为224.00万元，局机关</w:t>
      </w:r>
      <w:r>
        <w:rPr>
          <w:rFonts w:hint="eastAsia" w:eastAsia="仿宋" w:cs="仿宋"/>
          <w:sz w:val="32"/>
          <w:szCs w:val="32"/>
          <w:highlight w:val="none"/>
          <w:lang w:val="en-US" w:eastAsia="zh-CN"/>
        </w:rPr>
        <w:t>决算</w:t>
      </w:r>
      <w:r>
        <w:rPr>
          <w:rFonts w:hint="default" w:ascii="仿宋" w:hAnsi="仿宋" w:eastAsia="仿宋" w:cs="仿宋"/>
          <w:sz w:val="32"/>
          <w:szCs w:val="32"/>
          <w:highlight w:val="none"/>
        </w:rPr>
        <w:t>金额为</w:t>
      </w:r>
      <w:r>
        <w:rPr>
          <w:rFonts w:hint="eastAsia" w:eastAsia="仿宋" w:cs="仿宋"/>
          <w:sz w:val="32"/>
          <w:szCs w:val="32"/>
          <w:highlight w:val="none"/>
          <w:lang w:val="en-US" w:eastAsia="zh-CN"/>
        </w:rPr>
        <w:t>16.5</w:t>
      </w:r>
      <w:r>
        <w:rPr>
          <w:rFonts w:hint="default" w:ascii="仿宋" w:hAnsi="仿宋" w:eastAsia="仿宋" w:cs="仿宋"/>
          <w:sz w:val="32"/>
          <w:szCs w:val="32"/>
          <w:highlight w:val="none"/>
        </w:rPr>
        <w:t>万元，主要原因为根据财政预算一体化管理要求，城市管理应急机动经费</w:t>
      </w:r>
      <w:r>
        <w:rPr>
          <w:rFonts w:hint="eastAsia" w:eastAsia="仿宋" w:cs="仿宋"/>
          <w:sz w:val="32"/>
          <w:szCs w:val="32"/>
          <w:highlight w:val="none"/>
          <w:lang w:val="en-US" w:eastAsia="zh-CN"/>
        </w:rPr>
        <w:t>207.5</w:t>
      </w:r>
      <w:r>
        <w:rPr>
          <w:rFonts w:hint="default" w:ascii="仿宋" w:hAnsi="仿宋" w:eastAsia="仿宋" w:cs="仿宋"/>
          <w:sz w:val="32"/>
          <w:szCs w:val="32"/>
          <w:highlight w:val="none"/>
        </w:rPr>
        <w:t>万元调整到局属实施单位支付</w:t>
      </w:r>
      <w:r>
        <w:rPr>
          <w:rFonts w:hint="eastAsia" w:eastAsia="仿宋" w:cs="仿宋"/>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附件3-1至3-16</w:t>
      </w:r>
      <w:r>
        <w:rPr>
          <w:rFonts w:hint="eastAsia" w:ascii="仿宋_GB2312" w:hAnsi="仿宋_GB2312" w:eastAsia="仿宋_GB2312" w:cs="仿宋_GB2312"/>
          <w:sz w:val="32"/>
          <w:szCs w:val="32"/>
          <w:highlight w:val="none"/>
          <w:lang w:eastAsia="zh-CN"/>
        </w:rPr>
        <w:t>）</w:t>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91.67%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23.46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13.48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20.31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11.03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20.31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11.03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48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1896.59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8598.48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8598.48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700.08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700.08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193.48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193.48</w:t>
            </w:r>
          </w:p>
        </w:tc>
      </w:tr>
      <w:tr>
        <w:tblPrEx>
          <w:tblCellMar>
            <w:top w:w="0" w:type="dxa"/>
            <w:left w:w="108" w:type="dxa"/>
            <w:bottom w:w="0" w:type="dxa"/>
            <w:right w:w="108" w:type="dxa"/>
          </w:tblCellMar>
        </w:tblPrEx>
        <w:trPr>
          <w:trHeight w:val="37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1896.59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7704.92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7704.92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城管系统考评经费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178.00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125.41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非税收入执收成本</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126.91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126.91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城管事务管理经费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170.65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1363.80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1363.80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2023年度主城区防涝工作经费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59.99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59.99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城市管理应急机动经费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31.03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静脉产业园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730.01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730.01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主城区桥梁加固维修工程经费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496.40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496.40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中心城区消火栓改造经费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238.40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照明提质改造经费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714.97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714.97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泵站双电源回路及智能化改造项目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26.12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渍水整治经费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蛇皮套和三大湖整治</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99.57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3244.20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3244.20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垃圾站建设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437.83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41.41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船舶垃圾收集经费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256.73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256.93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256.93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市中心城区春节氛围营造经费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169.64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169.64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2023年城区生活垃圾分类工作经费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117.22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90.69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18.83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1.27</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1518.85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596.68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1150.95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1110.29</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tabs>
                <w:tab w:val="left" w:pos="1375"/>
                <w:tab w:val="center" w:pos="3211"/>
              </w:tabs>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加强事前绩效评估管理，坚持先定事，再确定资金支出规模。进一步完善单位财务管理制度和内控管理制度，各部门严格遵守制订的《机关管理制度》（含财务管理制度）、《市城管局城市管理应急经费管理暂行规定》《内控管理制度》等规章制度。定期开展“三资”清查和资产盘点工作，按照厉行节约、物尽其用的原则，资产管理采取统一建账、统一核算管理，每件固定资产使用明确保管职责，闲置的资产由办公室统一调整，合理流动，发挥其效益。</w:t>
            </w:r>
            <w:r>
              <w:rPr>
                <w:rFonts w:hint="eastAsia" w:ascii="仿宋_GB2312" w:hAnsi="仿宋_GB2312" w:eastAsia="仿宋_GB2312" w:cs="仿宋_GB2312"/>
                <w:sz w:val="20"/>
                <w:szCs w:val="20"/>
                <w:highlight w:val="none"/>
                <w:lang w:eastAsia="zh-CN"/>
              </w:rPr>
              <w:tab/>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74"/>
        <w:gridCol w:w="1074"/>
        <w:gridCol w:w="1027"/>
        <w:gridCol w:w="1535"/>
        <w:gridCol w:w="1037"/>
        <w:gridCol w:w="1265"/>
        <w:gridCol w:w="714"/>
        <w:gridCol w:w="916"/>
        <w:gridCol w:w="1437"/>
      </w:tblGrid>
      <w:tr>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5"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　</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01"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3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01"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3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1373.24</w:t>
            </w:r>
          </w:p>
        </w:tc>
        <w:tc>
          <w:tcPr>
            <w:tcW w:w="103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9568.29</w:t>
            </w:r>
          </w:p>
        </w:tc>
        <w:tc>
          <w:tcPr>
            <w:tcW w:w="126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9561.89</w:t>
            </w:r>
          </w:p>
        </w:tc>
        <w:tc>
          <w:tcPr>
            <w:tcW w:w="71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99.99</w:t>
            </w:r>
            <w:r>
              <w:rPr>
                <w:rFonts w:hint="eastAsia" w:ascii="仿宋_GB2312" w:hAnsi="仿宋_GB2312" w:eastAsia="仿宋_GB2312" w:cs="仿宋_GB2312"/>
                <w:sz w:val="20"/>
                <w:szCs w:val="20"/>
                <w:highlight w:val="none"/>
              </w:rPr>
              <w:t>%</w:t>
            </w:r>
          </w:p>
        </w:tc>
        <w:tc>
          <w:tcPr>
            <w:tcW w:w="143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9.99</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8524.19</w:t>
            </w:r>
          </w:p>
        </w:tc>
        <w:tc>
          <w:tcPr>
            <w:tcW w:w="433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其中：基本支出：963.41</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政府性基金拨款：629.91</w:t>
            </w:r>
          </w:p>
        </w:tc>
        <w:tc>
          <w:tcPr>
            <w:tcW w:w="4332"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项目支出：8598.48</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纳入专户管理的非税收入拨款：0.00</w:t>
            </w:r>
          </w:p>
        </w:tc>
        <w:tc>
          <w:tcPr>
            <w:tcW w:w="433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其他资金：414.19</w:t>
            </w:r>
          </w:p>
        </w:tc>
        <w:tc>
          <w:tcPr>
            <w:tcW w:w="4332"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（一）抓责任强担当。建设精细、智慧、文化、绿色、人本、平安“六大城管”，以一单位一科室的发展支撑全市省域副中心城市建设和城管事业发展，确保我局整体工作在全省、全市同类部门中走在前列。</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抓精细求品质。出台《岳阳市园林绿化管理办法（修订）》和《岳阳市园林绿化工程管理规定》，对园林绿化设计、质量、养护和运营进行规范化、精细化管理，擦亮国家园林城市金字招牌。加快推进市城市运行管理服务平台建设，推动城市运行“一网统管”。充分发挥市城管委及其办公室统筹指挥职能，深化“一月一考核、一月一讲评”制度，发现问题及时交办督导，加强城市常态、精细管理。</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抓重点求突破。大力推进生活垃圾分类，加快推进示范街道、片区建设，确保在住建部、省住建厅考核中提档进位。全面市主城区道路停车收费工作，优化收费范围，调整收费标准，加大执法力度，推进社会停车场建设，加强宣传引导，提高管理服务水平，切实缓解“停车难”问题。推进垃圾产业化发展，启动市厨余垃圾资源化利用项目运营，完成市建筑垃圾资源化利用项目全面投产，推进市生活垃圾焚烧发电项目二期、平江县生活垃圾焚烧发电项目建设，开展第二座大型垃圾中转站建设项目前期工作。</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抓优化聚合力。实施《关于进一步优化城市管理助力省域副中心城市建设的若干意见》，进一步理顺和解决市、县两级协作不畅、标准参差不齐、工作效能下降、示范引领作用弱化、执法体制不顺等问题。落实《岳阳市住房和城乡建设领域行政执法协作联动制度》，进一步明确市住建领域事中事后监管与行政处罚间的职责分工，提升市住建领域行政执法效能。完善城市标准化管理考核体系，严格落实目标管理、考核结果运用等机制。</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（五）抓底线保安全。安全生产不失守，牢牢守住安全发展底线。城市防涝不懈怠，确保城市正常运转，确保群众损失降至最低。综治维稳不大意，营造良好的社会环境。环保整改不停步，加快整改销号。</w:t>
            </w:r>
          </w:p>
        </w:tc>
        <w:tc>
          <w:tcPr>
            <w:tcW w:w="433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一）完善顶层设计，健全管理机制。制定工作标准。完善出台《城市标准化管理考核实施细则》，细化20个方面、92个大项、264个小项的考核内容及标准，共计78页，涵盖城市管理方方面面。明确责任流程。制定《城市标准化管理考核责任落实和工作流程方案》，明确考核机构、考核方式、考核频次、考核流程、考核要求。构建协作机制。出台行政审批工作规则，统筹市、区两级城管部门行政审批，实现同城同标，强化审批、监管、执法整体协作联动。</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着力绿色低碳，营造宜居环境。加快推进绿色发展。2023年，全市建成口袋公园17个，新增口袋公园总面积71163.05平方米，总投资1641.88万元，有力拓展了城市绿色公共活动空间。积极推动垃圾分类成为低碳生活新时尚。经过各方努力，我市垃圾分类在住建部评估中从2021年第四季度的15.5分提升至2023年第三季度的56.6分，位列大城市第65名，进步明显，年终有望在全省14个市州中位居前列。认真做好环保整改。2023年，涉我局配合督促的9个排口环保问题均已完成整改。为确保城市道路“起风不起尘”，督促“六区”城管部门非雨天主街主道每2小时洒水1次、每天至少高压冲洗1次、多功能抑尘车每天至少开展5次降尘作业。</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精准精细管理，扮靓市容市貌。着力让环境卫生更干净。全市城市建成区面积已达289平方公里（其中市中心城区129.3平方公里），日常环卫作业主要采取“人扫+机扫+高压冲洗+人工快速巡回保洁”相结合的精细化作业模式，确保城市干净、清爽。着力让市政设施更完善。认真维护好全市1012条城市道路、126座桥梁、20座地下通道等市政设施，对市中心城区40条道路进行提质改造。着力让市容秩序更优化。强化源头治理，坚持疏堵结合，加大日常巡查力度，特别是加强重点区域、重点路段市容环境秩序管控，建立常态长效管理机制。着力让城市夜景更靓丽。认真管好全市65037基119132盏路灯、亮灯率保持98.5%以上。重点做好市主城区南湖三圈、岳阳大道沿线、东风湖、洞庭大桥等周边重点区域亮化保障，丰富了城市夜间景观。着力让破占道施工管理更规范。针对市主城区破占道施工扰民问题，作为部门监管最后一环，通过出台围挡技术规范、严格审批、强化日常巡查、开展专项整治等措施，保障方便市民出行。全年累计巡查820余次，督促整改257处，行政处罚55起。</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紧盯热点难点，完善公共服务。破解“厕位”难点。全市城市建成区现有公共厕所364座、厕位2462个，其中2023年新增公共厕所9座、厕位93个。按照“无臭气、有便纸、干净整洁”的标准，市主城区先期启动了岳阳东站和岳阳火车站公共厕所改造升级，将逐步覆盖其它公共厕所。打通“车位”堵点。系统性、常态化开展市主城区停车治理。完善顶层设计，编制了停车专项规划；新建各类停车泊位6500个；推动机关事业单位内部停车场对外开放；联合交警部门抄牌违停车辆6.86万台次；正加快推进市主城区公共停车位（场）特许经营工作，恢复道路临时泊位停车收费。消除“井盖”痛点。按照“权属主责、行业主管”原则，组织各县市区对辖区井盖及权属情况进行摸排，建立台账，逐步整治。2023年，组织对市主城区窨井盖每周进行2次集中巡查，完好率高于98%的行业标准。攻克“营商”热点。作为优化营商环境“获得用气”牵头单位，对法定审批时间压缩优化80.5％、用气报装流程由8个环节简化至2个，位居全省第三名。化解“保供”焦点。按照“行业监管、属地负责”原则，市、县两级城管部门督导燃气企业不惜代价向中石油、中石化等采购天然气，稳定保障了全市居民和工商用户正常用气。</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五）注重文化铸魂，提升城市形象。设计推广城市文化标识，凝聚城市文化力量。以岳阳楼为主题设计了岳阳市市政设施文化标识，市政府第20次常务会议提升为岳阳市城市文化标识，目前正积极推广应用于城市规划、建设、管理等方面，实现“花小钱、展形象、见大效”的目标。开展城区户外广告提质，展现历史文化名城。完成市中心城区“六区”407处各类户外广告整治提质，尤其是高速路口、机场和进出城干道沿线的15处户外广告提质后充分展现了岳阳历史文化名城、省域副中心城市形象。提升重点区域保障服务，擦亮文明城市招牌。指导责任单位加强火车站、汽车站和飞机场外广场、步行街等城市繁华地段和公园、广场等人流量密集地区的日常管理和服务保障，持续搞好环境卫生、市容秩序，提供志愿服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六）稳控风险隐患，确保安全有序。突出抓牢主城区防涝。全面防范，科学调度，紧盯市主城区42个易渍水点、30条易渍水路段，2023年有效应对20次强降雨天气，尤其是6月17日30年一遇强降雨，没有出现长时间、大面积渍水内涝和人员伤亡情况。突出抓牢燃气安全整治。举行了全市城镇燃气安全专项整治新闻发布会，大力推进城镇燃气安全专项整治，排查整改隐患10314个，企业录入检查、隐患排查整改、执法处罚等重点指标在全省位居前列。突出抓牢中心城区禁炮。针对生产、销售、存储、运输、燃放5大环节，会同应急、市场监管、公安、交通等部门压实工作责任、注重宣传教育、加大巡逻查控、加快清扫保洁、加强舆情处置、强化执法处罚，基本实现了“零炮声、零事故”目标。突出抓牢地下管线。启动《岳阳市地下管线管理条例》立法前期工作，开展排水管网私接、混接和错接等问题专项整治，正与市住建、工信、电力等20余家单位通力协作，逐步改变管理多元、矛盾交织、协调低效的局面。</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七）狠抓综合执法，保障管理服务。落实“721”法，规范执法过程。全面转变以罚代管的传统执法导向，在主动服务上持续发力，变“末端执法”为“前端服务”；注重疏堵结合、打防兼顾，以“柔态度”取得“刚效果”。其中汨罗市城管局“劝导流动摊贩”工作方式、岳阳楼区城管局禁炮等工作获得广大市民和网民充分肯定。健全专业执法，完善执法体制。按照“条块结合、以块为主、日常和专业分离”的要求，市本级新成立建工、房产、燃禁、固废处置等8大专业执法队伍负责相应领域的专业执法、考评监督等，各区负责属地日常执法，确保了市区联动推进。我局全年执结综合行政处罚案件53起，完成罚没收入151.51万元。强化执法监督，确保执法效果。以行政执法“三项制度”、执法人员管理、案卷评查为重点，结合日常检查、专项督查、突出问题调查、日常考评等方式，强化对各县市区城管部门及执法人员履职情况进行监督检查。</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八）精准运用考核，提升管理水平。形成工作齐抓共管新局面。将过去只对“六区”政府（管委会）考核扩展至对市直相关部门、“六区”政府（管委会）、区直部门、街道办事处、社区“五级”考核，压实各方责任。以全市污染防治攻坚战、安全生产翻身仗考核市委、市政府主要领导每月约谈为契机，积极参与全市专项考核，促推各级各部门在垃圾分类、餐饮油烟等重点工作上尽责有为。形成经费持续投入新局面。2023年，全市城市管理和综合执法经费累计投入126430.39万元，同比增加10.4%，其中城管执法经费投入11244.3万元、生活垃圾分类经费投入4595.71万元。形成水平稳步提升新局面。强化考核奖惩督促整改提升，通过“一月一考核、一月一讲评、一月一通报、一月一奖惩、不断优化”机制，月均督促整改突出问题600余个，形成各县市区和有关市直部门“比、学、赶、超”浓厚氛围。</w:t>
            </w:r>
          </w:p>
        </w:tc>
      </w:tr>
      <w:tr>
        <w:tblPrEx>
          <w:tblCellMar>
            <w:top w:w="0" w:type="dxa"/>
            <w:left w:w="108" w:type="dxa"/>
            <w:bottom w:w="0" w:type="dxa"/>
            <w:right w:w="108" w:type="dxa"/>
          </w:tblCellMar>
        </w:tblPrEx>
        <w:trPr>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28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突出问题解决率</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立法调研数</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2条</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基础设施项目建设完成率</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按工期完成</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部分已</w:t>
            </w:r>
            <w:r>
              <w:rPr>
                <w:rFonts w:hint="default" w:ascii="仿宋_GB2312" w:hAnsi="宋体" w:eastAsia="仿宋_GB2312" w:cs="仿宋_GB2312"/>
                <w:i w:val="0"/>
                <w:iCs w:val="0"/>
                <w:color w:val="000000"/>
                <w:kern w:val="0"/>
                <w:sz w:val="20"/>
                <w:szCs w:val="20"/>
                <w:u w:val="none"/>
                <w:lang w:val="en-US" w:eastAsia="zh-CN" w:bidi="ar"/>
              </w:rPr>
              <w:t>按工期完成</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因资金原因，部分工程项目暂未完成。</w:t>
            </w: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市政管理工作完成率</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做好防涝排渍保障</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3个区</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较好的完成了3个区防涝排渍工作</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top w:val="single" w:color="auto" w:sz="4" w:space="0"/>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城管考评及讲评率</w:t>
            </w: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每月一次</w:t>
            </w: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按时开展了城管考评工作</w:t>
            </w:r>
          </w:p>
        </w:tc>
        <w:tc>
          <w:tcPr>
            <w:tcW w:w="7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专项整治工作次数</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7次</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8次</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春节氛围营造造型制作完成率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城市管理宣传资料发放数</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10万份以上</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10万份以上</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1.路灯完好率和亮灯率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98%</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98%</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9、宣传工作覆盖率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8、指标设置公平公正</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无考核违规投诉</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无考核违规投诉</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7、炮情处理率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6、宣传工作覆盖率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98%</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98%</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5、非税应收尽收率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4、依法行政审批比例</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3、12319城管热线办结率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2、执法合规合法性</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无违规违法行为</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无违规违法行为</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按计划时间完成任务</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24h</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24h</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控制在预算内</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控制在预算内。</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合理控制在预算内。</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4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无直接社会成本指标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14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27"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无直接生态环境成本指标</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14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无直接经济效益，但管理到位，节约财政资金，产生间接经济效益。</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无</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努力把岳阳管理成干干净净、整整齐齐、清清爽爽的城市，使其成为展现岳阳文明形象的一张靓丽名片和招商引资金字招牌。</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社会效益好</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有较好的社会效益</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宋体" w:eastAsia="仿宋_GB2312" w:cs="仿宋_GB2312"/>
                <w:i w:val="0"/>
                <w:iCs w:val="0"/>
                <w:color w:val="000000"/>
                <w:kern w:val="0"/>
                <w:sz w:val="20"/>
                <w:szCs w:val="20"/>
                <w:u w:val="none"/>
                <w:lang w:val="en-US" w:eastAsia="zh-CN" w:bidi="ar"/>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"美化城市环境，优化生态环境。 "</w:t>
            </w:r>
          </w:p>
        </w:tc>
        <w:tc>
          <w:tcPr>
            <w:tcW w:w="103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有所改善</w:t>
            </w:r>
          </w:p>
        </w:tc>
        <w:tc>
          <w:tcPr>
            <w:tcW w:w="126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城市环境得到改善</w:t>
            </w:r>
          </w:p>
        </w:tc>
        <w:tc>
          <w:tcPr>
            <w:tcW w:w="71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宋体" w:eastAsia="仿宋_GB2312" w:cs="仿宋_GB2312"/>
                <w:i w:val="0"/>
                <w:iCs w:val="0"/>
                <w:color w:val="000000"/>
                <w:kern w:val="0"/>
                <w:sz w:val="20"/>
                <w:szCs w:val="20"/>
                <w:u w:val="none"/>
                <w:lang w:val="en-US" w:eastAsia="zh-CN" w:bidi="ar"/>
              </w:rPr>
              <w:t>10</w:t>
            </w:r>
          </w:p>
        </w:tc>
        <w:tc>
          <w:tcPr>
            <w:tcW w:w="91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4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90" w:hRule="atLeast"/>
          <w:jc w:val="center"/>
        </w:trPr>
        <w:tc>
          <w:tcPr>
            <w:tcW w:w="1074"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深化全国文明城市、国家卫生城市、国家园林城市建设，顺利保牌</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确保全国文明城市、国家卫生城市、国家园林城市建设</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对全国文明城市、国家卫生城市、国家园林城市建设得到保障作用</w:t>
            </w:r>
          </w:p>
        </w:tc>
        <w:tc>
          <w:tcPr>
            <w:tcW w:w="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宋体" w:eastAsia="仿宋_GB2312" w:cs="仿宋_GB2312"/>
                <w:i w:val="0"/>
                <w:iCs w:val="0"/>
                <w:color w:val="000000"/>
                <w:kern w:val="0"/>
                <w:sz w:val="20"/>
                <w:szCs w:val="20"/>
                <w:u w:val="none"/>
                <w:lang w:val="en-US" w:eastAsia="zh-CN" w:bidi="ar"/>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30" w:hRule="atLeast"/>
          <w:jc w:val="center"/>
        </w:trPr>
        <w:tc>
          <w:tcPr>
            <w:tcW w:w="107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3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
                <w:i w:val="0"/>
                <w:iCs w:val="0"/>
                <w:color w:val="000000"/>
                <w:kern w:val="0"/>
                <w:sz w:val="20"/>
                <w:szCs w:val="20"/>
                <w:u w:val="none"/>
                <w:lang w:val="en-US" w:eastAsia="zh-CN" w:bidi="ar"/>
              </w:rPr>
              <w:t>市民满意度</w:t>
            </w:r>
          </w:p>
        </w:tc>
        <w:tc>
          <w:tcPr>
            <w:tcW w:w="103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≥95%</w:t>
            </w:r>
          </w:p>
        </w:tc>
        <w:tc>
          <w:tcPr>
            <w:tcW w:w="1265"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rPr>
            </w:pPr>
            <w:r>
              <w:rPr>
                <w:rFonts w:hint="eastAsia" w:ascii="仿宋_GB2312" w:hAnsi="宋体" w:eastAsia="仿宋_GB2312" w:cs="仿宋_GB2312"/>
                <w:i w:val="0"/>
                <w:iCs w:val="0"/>
                <w:color w:val="000000"/>
                <w:kern w:val="0"/>
                <w:sz w:val="20"/>
                <w:szCs w:val="20"/>
                <w:u w:val="none"/>
                <w:lang w:val="en-US" w:eastAsia="zh-CN" w:bidi="ar"/>
              </w:rPr>
              <w:t>98%</w:t>
            </w:r>
          </w:p>
        </w:tc>
        <w:tc>
          <w:tcPr>
            <w:tcW w:w="71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9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1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97.99</w:t>
            </w:r>
          </w:p>
        </w:tc>
        <w:tc>
          <w:tcPr>
            <w:tcW w:w="143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73"/>
        <w:gridCol w:w="1077"/>
        <w:gridCol w:w="1073"/>
        <w:gridCol w:w="1217"/>
        <w:gridCol w:w="1131"/>
        <w:gridCol w:w="1131"/>
        <w:gridCol w:w="825"/>
        <w:gridCol w:w="916"/>
        <w:gridCol w:w="1408"/>
      </w:tblGrid>
      <w:tr>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城管系统考评经费</w:t>
            </w:r>
          </w:p>
        </w:tc>
      </w:tr>
      <w:tr>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125.41</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125.41</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125.41</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125.41</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0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保障2023年度城市标准化管理考评季度和年度总结表彰、考核工作。</w:t>
            </w:r>
          </w:p>
        </w:tc>
        <w:tc>
          <w:tcPr>
            <w:tcW w:w="427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2023年度，城市标准化管理考评顺利实施，季度和年度总结表彰、考核工作如期完成。</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专项整治考核与督查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每年5-7项</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7项</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区县考评</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6县3区</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顺利完成各县区考核</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局属单位考核与督查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每月2-3次</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每月顺利完成3次考核与督查工作</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科学设置指标，把实事项目和市政府重点工作完成情况作为业绩考核的重要指标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无考核违规投诉</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无考核违规投诉</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按考核方案兑现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实现奖罚兑现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实现奖罚兑现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及时完成考核兑现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按月</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按月及时完成考核兑现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按奖励标准兑现奖金</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不超过标准</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未超过标准</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对生态环境可能造成的负面影响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无直接经济效益</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有效提高</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有效提高</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对生态效益的影响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市民满意度高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&gt;=95%</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被考核单位认可度高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&gt;=95%</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74"/>
        <w:gridCol w:w="1076"/>
        <w:gridCol w:w="1073"/>
        <w:gridCol w:w="1217"/>
        <w:gridCol w:w="1130"/>
        <w:gridCol w:w="1130"/>
        <w:gridCol w:w="824"/>
        <w:gridCol w:w="916"/>
        <w:gridCol w:w="1411"/>
      </w:tblGrid>
      <w:tr>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非税收入执收成本</w:t>
            </w:r>
          </w:p>
        </w:tc>
      </w:tr>
      <w:tr>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5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9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62</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126.91</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126.91</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62</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126.91</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126.91</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保障局机关中心工作（城管秩序、环境卫生、园林绿化、市政设施维护、路灯、燃气、停车管理及渣土运输等日常管理工作）和其他重大城市管理工作任务顺利开展完成。</w:t>
            </w:r>
          </w:p>
        </w:tc>
        <w:tc>
          <w:tcPr>
            <w:tcW w:w="42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较好的保障了局机关中心工作（城管秩序、环境卫生、园林绿化、市政设施维护、路灯、燃气、停车管理及渣土运输等日常管理工作）和其他重大城市管理工作任务的顺利开展完成。</w:t>
            </w:r>
          </w:p>
        </w:tc>
      </w:tr>
      <w:tr>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1.收取城市道路占用挖掘费、占道费  </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257.76万元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2.罚没收入</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超过40万元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3.上交非税收入</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按标准征收率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15" w:hRule="atLeast"/>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应收尽收率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及时完成收费任务。</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按月/按季度</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已按月/按季度完成收费任务</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对自然环境可能造成的负面影响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上交非税收入</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按照非税收入征收计划，及时完成征收任务保障城市管理工作日常开展维护良好社会秩序</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保障城市管理工作日常开展</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保障城市管理工作日常开展</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生态居住环境改善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保障非税收入上缴，保障城市管理工作任务顺利开展和完成。</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有可持续性</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有可持续性</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服务对象满意度高</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921" w:type="dxa"/>
        <w:jc w:val="center"/>
        <w:tblLayout w:type="autofit"/>
        <w:tblCellMar>
          <w:top w:w="0" w:type="dxa"/>
          <w:left w:w="108" w:type="dxa"/>
          <w:bottom w:w="0" w:type="dxa"/>
          <w:right w:w="108" w:type="dxa"/>
        </w:tblCellMar>
      </w:tblPr>
      <w:tblGrid>
        <w:gridCol w:w="1074"/>
        <w:gridCol w:w="1076"/>
        <w:gridCol w:w="1073"/>
        <w:gridCol w:w="1216"/>
        <w:gridCol w:w="1132"/>
        <w:gridCol w:w="1131"/>
        <w:gridCol w:w="825"/>
        <w:gridCol w:w="916"/>
        <w:gridCol w:w="1478"/>
      </w:tblGrid>
      <w:tr>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4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城管事务管理经费</w:t>
            </w:r>
          </w:p>
        </w:tc>
      </w:tr>
      <w:tr>
        <w:tblPrEx>
          <w:tblCellMar>
            <w:top w:w="0" w:type="dxa"/>
            <w:left w:w="108" w:type="dxa"/>
            <w:bottom w:w="0" w:type="dxa"/>
            <w:right w:w="108" w:type="dxa"/>
          </w:tblCellMar>
        </w:tblPrEx>
        <w:trPr>
          <w:jc w:val="center"/>
        </w:trPr>
        <w:tc>
          <w:tcPr>
            <w:tcW w:w="10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1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1363.80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1363.80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10.00</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1363.80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1363.80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加强燃气行业安全检查维护行业安全稳定。2、将安全生产和城市管理工作经费，加强教育、群防群治的原则，宣传学习新《湖南省安全生产条例》。3、根据岳阳市人民检察院向岳阳市人民政府提出的检察院建议中明确，建议推动出台专门的窨井盖管理办法。4、细化垃圾无害化处理工作的推进步骤，提高生活垃圾的利用率和无害化处理率，建立健全生活垃圾收转运体系，全市城乡生活垃圾无害化处理率达100%。5、对市中心城区未经审批设立的户外广告，破损、陈旧、存在安全隐患的户外广告的拆除整治。6、切实维护城市公共安全和市民人身财产安全，抓好日常城区禁炮督查考评工作。7、按照公安部门有关的法律、法规和有关政策，认真开展执法工作，积极配合协助城市管理及行政执法过程中对发生各类案件的处置。8、充分宣传城市管理的政策法规和各项工作，加强市民群众对城市管理部门的认知，增强市民群众对城市管理工作的理解和支持。9、坚持说防为主、防治结合，责任落实到位、管理措施到位，确保岳阳大道、湘北大道、南湖大道、巴陵路、求索路、云梦路等城区主要道路（含人行道）日常维护和管理工作到位。</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通过加强燃气行业安全检查，维护了行业安全稳定。2、完成了宣传学习新《湖南省安全生产条例》。3、推动出台了专门的窨井盖管理办法。4、细化了垃圾无害化处理工作的推进步骤，提高生活垃圾的利用率和无害化处理率，健全了生活垃圾收转运体系，全市城乡生活垃圾无害化处理率已达100%。5、完成了对市中心城区未经审批设立的户外广告，破损、陈旧、存在安全隐患的户外广告的拆除整治工作。6、保障了城市公共安全和市民人身财产安全，抓好日常城区禁炮督查考评工作。7、按照公安部门有关的法律、法规和有关政策，认真开展执法工作，积极配合协助城市管理及行政执法过程中对发生各类案件的处置。8、充分宣传城市管理的政策法规和各项工作，加强市民群众对城市管理部门的认知，获得了市民群众对城市管理工作的理解和支持。9、确保了岳阳大道、湘北大道、南湖大道、巴陵路、求索路、云梦路等城区主要道路（含人行道）日常维护和管理工作到位。</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90" w:hRule="atLeast"/>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市中心城区范围</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6个区、7条道路以上</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6个区、7条道路以上</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向市民群发短信宣传、秉公执法、文明执法、不出现安全事故、符合环保标准</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10万条、12期</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10万条、12期</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全城实行数字化监控、及时处置</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24小时</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24小时</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对社会发展可能造成的负面影响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对自然生态环境造成负面影响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切实维护良好社会秩序，确保城市管理支付工作顺利有序开展，营造干净、整洁、亮丽的市容市貌</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社会效益好</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社会效益好</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改善环境、文明执法、精细化规范化制度化管理</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25" w:hRule="atLeast"/>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提升人居环境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指标 受益对象满意度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＞=95%</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2023年度主城区防涝工作经费</w:t>
            </w:r>
          </w:p>
        </w:tc>
      </w:tr>
      <w:tr>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岳阳市城市管理和综合执法局本级</w:t>
            </w: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59.99</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59.99</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59.99</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59.99</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通过严密的组织和防涝措施，努力避免灾害的发生，确保主城区（含岳阳楼区、岳阳经开区和南湖风景区）人民群众生命财产安全　</w:t>
            </w:r>
          </w:p>
        </w:tc>
        <w:tc>
          <w:tcPr>
            <w:tcW w:w="435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避免了灾害的发生，确保了主城区（含岳阳楼区、岳阳经开区和南湖风景区）人民群众生命财产安全</w:t>
            </w: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做好岳阳楼区、岳阳经开区和南湖风景区防涝排渍保障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3个区的排渍保障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顺利完成了3个区的排渍保障</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防涝排渍组织协调排除内涝隐患</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完好率100%</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完好率100%</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发现问题处理问题</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处理率达100%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处理率达100%</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不超过项目预算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通过严密的组织和防涝措施，避免灾害的发生</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科学有序指挥抢险救灾，最大限度避免和减少人员伤亡，维持社会稳定。</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减少内涝，减少污染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维持了社会稳定，人民安居乐业，提高了人民群众的幸福指数。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具有可持续性</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具有可持续性</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pStyle w:val="2"/>
        <w:rPr>
          <w:rFonts w:hint="default"/>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3-5</w:t>
      </w:r>
    </w:p>
    <w:p>
      <w:pPr>
        <w:widowControl/>
        <w:spacing w:line="600" w:lineRule="exact"/>
        <w:jc w:val="center"/>
        <w:rPr>
          <w:rFonts w:hint="eastAsia"/>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3</w:t>
      </w:r>
      <w:r>
        <w:rPr>
          <w:rFonts w:hint="eastAsia" w:ascii="方正小标宋简体" w:hAnsi="方正小标宋简体" w:eastAsia="方正小标宋简体" w:cs="方正小标宋简体"/>
          <w:color w:val="000000"/>
          <w:sz w:val="36"/>
          <w:szCs w:val="36"/>
        </w:rPr>
        <w:t>年度项目支出绩效自评表</w:t>
      </w:r>
    </w:p>
    <w:tbl>
      <w:tblPr>
        <w:tblStyle w:val="6"/>
        <w:tblW w:w="9851" w:type="dxa"/>
        <w:jc w:val="center"/>
        <w:tblLayout w:type="fixed"/>
        <w:tblCellMar>
          <w:top w:w="0" w:type="dxa"/>
          <w:left w:w="108" w:type="dxa"/>
          <w:bottom w:w="0" w:type="dxa"/>
          <w:right w:w="108" w:type="dxa"/>
        </w:tblCellMar>
      </w:tblPr>
      <w:tblGrid>
        <w:gridCol w:w="1057"/>
        <w:gridCol w:w="1014"/>
        <w:gridCol w:w="966"/>
        <w:gridCol w:w="1105"/>
        <w:gridCol w:w="1091"/>
        <w:gridCol w:w="1396"/>
        <w:gridCol w:w="881"/>
        <w:gridCol w:w="845"/>
        <w:gridCol w:w="1496"/>
      </w:tblGrid>
      <w:tr>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sz w:val="20"/>
                <w:szCs w:val="20"/>
                <w:lang w:val="en-US" w:eastAsia="zh-CN"/>
              </w:rPr>
              <w:t>城市管理应急机动经费</w:t>
            </w:r>
          </w:p>
        </w:tc>
      </w:tr>
      <w:tr>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17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39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2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lang w:val="en-US" w:eastAsia="zh-CN"/>
              </w:rPr>
              <w:t>岳阳市城市管理和综合执法局本级</w:t>
            </w:r>
          </w:p>
        </w:tc>
      </w:tr>
      <w:tr>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19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16.50</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16.50</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56" w:hRule="atLeast"/>
          <w:jc w:val="center"/>
        </w:trPr>
        <w:tc>
          <w:tcPr>
            <w:tcW w:w="105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17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6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148"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417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完成迎接全国文明城市、全国绿化模范城市，市委市政府布置的中心工作和重大服务保障应急任务。</w:t>
            </w:r>
          </w:p>
        </w:tc>
        <w:tc>
          <w:tcPr>
            <w:tcW w:w="46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全国文明城市、全国绿化模范城市</w:t>
            </w:r>
            <w:r>
              <w:rPr>
                <w:rFonts w:hint="eastAsia" w:ascii="仿宋_GB2312" w:hAnsi="仿宋_GB2312" w:eastAsia="仿宋_GB2312" w:cs="仿宋_GB2312"/>
                <w:color w:val="000000"/>
                <w:sz w:val="20"/>
                <w:szCs w:val="20"/>
                <w:lang w:val="en-US" w:eastAsia="zh-CN"/>
              </w:rPr>
              <w:t>建设过程中</w:t>
            </w:r>
            <w:r>
              <w:rPr>
                <w:rFonts w:hint="eastAsia" w:ascii="仿宋_GB2312" w:hAnsi="仿宋_GB2312" w:eastAsia="仿宋_GB2312" w:cs="仿宋_GB2312"/>
                <w:color w:val="000000"/>
                <w:sz w:val="20"/>
                <w:szCs w:val="20"/>
              </w:rPr>
              <w:t>，市委市政府布置的中心工作和重大服务保障应急任务</w:t>
            </w:r>
            <w:r>
              <w:rPr>
                <w:rFonts w:hint="eastAsia" w:ascii="仿宋_GB2312" w:hAnsi="仿宋_GB2312" w:eastAsia="仿宋_GB2312" w:cs="仿宋_GB2312"/>
                <w:color w:val="000000"/>
                <w:sz w:val="20"/>
                <w:szCs w:val="20"/>
                <w:lang w:val="en-US" w:eastAsia="zh-CN"/>
              </w:rPr>
              <w:t>均高标准完成</w:t>
            </w:r>
            <w:r>
              <w:rPr>
                <w:rFonts w:hint="eastAsia" w:ascii="仿宋_GB2312" w:hAnsi="仿宋_GB2312" w:eastAsia="仿宋_GB2312" w:cs="仿宋_GB2312"/>
                <w:color w:val="000000"/>
                <w:sz w:val="20"/>
                <w:szCs w:val="20"/>
              </w:rPr>
              <w:t>。</w:t>
            </w:r>
          </w:p>
        </w:tc>
      </w:tr>
      <w:tr>
        <w:tblPrEx>
          <w:tblCellMar>
            <w:top w:w="0" w:type="dxa"/>
            <w:left w:w="108" w:type="dxa"/>
            <w:bottom w:w="0" w:type="dxa"/>
            <w:right w:w="108" w:type="dxa"/>
          </w:tblCellMar>
        </w:tblPrEx>
        <w:trPr>
          <w:jc w:val="center"/>
        </w:trPr>
        <w:tc>
          <w:tcPr>
            <w:tcW w:w="105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0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eastAsia="zh-CN"/>
              </w:rPr>
              <w:t>城市管理出现的突发性问题</w:t>
            </w:r>
            <w:r>
              <w:rPr>
                <w:rFonts w:hint="eastAsia" w:ascii="仿宋_GB2312" w:hAnsi="仿宋_GB2312" w:eastAsia="仿宋_GB2312" w:cs="仿宋_GB2312"/>
                <w:color w:val="000000"/>
                <w:sz w:val="20"/>
                <w:szCs w:val="20"/>
                <w:lang w:val="en-US" w:eastAsia="zh-CN"/>
              </w:rPr>
              <w:t>处置</w:t>
            </w:r>
          </w:p>
        </w:tc>
        <w:tc>
          <w:tcPr>
            <w:tcW w:w="1091"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突发性问题及时处置</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2个火车站广场设施维护</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9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市中医院前人行道路面改造工程</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主城区琵琶王立交桥过火后维修处治工程</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144" w:hRule="atLeast"/>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16条路段广告拆除整治工程</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城市运行安全应急指挥系统建设</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根据应急预案成立应急保障队伍</w:t>
            </w:r>
          </w:p>
        </w:tc>
        <w:tc>
          <w:tcPr>
            <w:tcW w:w="1091" w:type="dxa"/>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4支队伍</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4支队伍</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解决城市管理出现的突发性问题</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有效处置</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均有效处置</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年度内完成</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2023.12.31日前</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均如期完成</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年度预算金额16.5万元</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6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突发状况应急处理，减少群众损失。</w:t>
            </w:r>
          </w:p>
        </w:tc>
        <w:tc>
          <w:tcPr>
            <w:tcW w:w="10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有效控制</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有效控制</w:t>
            </w:r>
          </w:p>
        </w:tc>
        <w:tc>
          <w:tcPr>
            <w:tcW w:w="8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避免产生次生费用</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及时处置避免产生次生费用</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处置成本得到有效管控</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保障人民生活及生命安全</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保障人民生活及生命安全</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有效保障</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解决突发状况，提升市民生活质量。</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解决突发状况，提升市民生活质量。</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有效提升</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生态环境改善情况</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管控突发事件可能产生的污染</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有效管控</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p>
        </w:tc>
        <w:tc>
          <w:tcPr>
            <w:tcW w:w="1014"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966"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提升城市整体形象</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提升城市管理水平</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城市整体形象不断提升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5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09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97%</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11" w:hRule="atLeast"/>
          <w:jc w:val="center"/>
        </w:trPr>
        <w:tc>
          <w:tcPr>
            <w:tcW w:w="662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4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3-6</w:t>
      </w:r>
    </w:p>
    <w:p>
      <w:pPr>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972"/>
        <w:gridCol w:w="1176"/>
        <w:gridCol w:w="1197"/>
        <w:gridCol w:w="1065"/>
        <w:gridCol w:w="990"/>
        <w:gridCol w:w="873"/>
        <w:gridCol w:w="1418"/>
      </w:tblGrid>
      <w:tr>
        <w:tblPrEx>
          <w:tblCellMar>
            <w:top w:w="0" w:type="dxa"/>
            <w:left w:w="108" w:type="dxa"/>
            <w:bottom w:w="0" w:type="dxa"/>
            <w:right w:w="108" w:type="dxa"/>
          </w:tblCellMar>
        </w:tblPrEx>
        <w:trPr>
          <w:trHeight w:val="5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静脉产业园</w:t>
            </w:r>
          </w:p>
        </w:tc>
      </w:tr>
      <w:tr>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2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06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8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4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730.01</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730.01</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43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730.01</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730.01</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6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4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442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静脉产业园纵路(北段)及横一路(东段)道路项目，为静脉产业园园区西北至东南向的一条园区主要道路，建设意义巨大，能有效拉通生活垃圾焚烧发电项目、医疗废物集中处置项目、炉渣项目及餐厨垃圾项目之间的相互联系，便于各项目之间的交通互通。路线全长约743.1m,纵二路全长454.5米，红线宽15米，横一路全长288.6米，红线宽7.5米。岳阳市静脉产业园物流及垃圾运输通道项目是连接S208和垃圾焚烧发电项目必需通道，是岳阳市静脉产业园主要进出道路。路线全长约539.711m,规划红线宽24米，一期工程实施宽度为15米。</w:t>
            </w:r>
          </w:p>
        </w:tc>
        <w:tc>
          <w:tcPr>
            <w:tcW w:w="434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确保了岳阳市餐厨项目排污管道运行及园区内企业更高效的运营，项目建设部门和施工单位完成大量卓有成效的工作，保证了良好的施工外部环境，确保了项目进度。二是项目质量管控到位。该项目系挖填相间施工，施工地段地下情况相对复杂，地下水位回填后变较大，施工工序多施工单位严格按规范要求施工，基础处理扎实，经检测，路面和路基质量均达到了设计和使用规范要求。完成了纵二路建设项目施工，竣工检测监理，设计费及多测合一验收资料（结算完成)。物流和垃圾运输通道项目(结算完成)。完成全部施工项目并正式通车使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lang w:eastAsia="zh-CN"/>
              </w:rPr>
            </w:pPr>
            <w:r>
              <w:rPr>
                <w:rFonts w:hint="default" w:ascii="仿宋_GB2312" w:hAnsi="等线" w:eastAsia="仿宋_GB2312" w:cs="仿宋_GB2312"/>
                <w:i w:val="0"/>
                <w:iCs w:val="0"/>
                <w:color w:val="000000"/>
                <w:kern w:val="0"/>
                <w:sz w:val="18"/>
                <w:szCs w:val="18"/>
                <w:u w:val="none"/>
                <w:lang w:val="en-US" w:eastAsia="zh-CN" w:bidi="ar"/>
              </w:rPr>
              <w:t>纵路(北段)及横一路(东段)道路项目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rPr>
            </w:pPr>
            <w:r>
              <w:rPr>
                <w:rFonts w:hint="default" w:ascii="仿宋_GB2312" w:hAnsi="等线" w:eastAsia="仿宋_GB2312" w:cs="仿宋_GB2312"/>
                <w:i w:val="0"/>
                <w:iCs w:val="0"/>
                <w:color w:val="000000"/>
                <w:kern w:val="0"/>
                <w:sz w:val="18"/>
                <w:szCs w:val="18"/>
                <w:u w:val="none"/>
                <w:lang w:val="en-US" w:eastAsia="zh-CN" w:bidi="ar"/>
              </w:rPr>
              <w:t>路线全长约743.1m,纵二路全长454.5米，红线宽15米，横一路全长288.6米，红线宽7.5米。</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rPr>
            </w:pPr>
            <w:r>
              <w:rPr>
                <w:rFonts w:hint="default" w:ascii="仿宋_GB2312" w:hAnsi="等线" w:eastAsia="仿宋_GB2312" w:cs="仿宋_GB2312"/>
                <w:i w:val="0"/>
                <w:iCs w:val="0"/>
                <w:color w:val="000000"/>
                <w:kern w:val="0"/>
                <w:sz w:val="18"/>
                <w:szCs w:val="18"/>
                <w:u w:val="none"/>
                <w:lang w:val="en-US" w:eastAsia="zh-CN" w:bidi="ar"/>
              </w:rPr>
              <w:t>物流及垃圾运输通道项目是连接S208和垃圾焚烧发电项目必需通道</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rPr>
            </w:pPr>
            <w:r>
              <w:rPr>
                <w:rFonts w:hint="default" w:ascii="仿宋_GB2312" w:hAnsi="等线" w:eastAsia="仿宋_GB2312" w:cs="仿宋_GB2312"/>
                <w:i w:val="0"/>
                <w:iCs w:val="0"/>
                <w:color w:val="000000"/>
                <w:kern w:val="0"/>
                <w:sz w:val="18"/>
                <w:szCs w:val="18"/>
                <w:u w:val="none"/>
                <w:lang w:val="en-US" w:eastAsia="zh-CN" w:bidi="ar"/>
              </w:rPr>
              <w:t>路线全长约539.711m,规划红线宽24米，一期工程实施宽度为15米米。</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rPr>
            </w:pPr>
            <w:r>
              <w:rPr>
                <w:rFonts w:hint="default" w:ascii="仿宋_GB2312" w:hAnsi="等线" w:eastAsia="仿宋_GB2312" w:cs="仿宋_GB2312"/>
                <w:i w:val="0"/>
                <w:iCs w:val="0"/>
                <w:color w:val="000000"/>
                <w:kern w:val="0"/>
                <w:sz w:val="18"/>
                <w:szCs w:val="18"/>
                <w:u w:val="none"/>
                <w:lang w:val="en-US" w:eastAsia="zh-CN" w:bidi="ar"/>
              </w:rPr>
              <w:t>严格按规范要求施工，基础处理扎实，路面和路基质量达标。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sz w:val="20"/>
                <w:szCs w:val="20"/>
                <w:lang w:eastAsia="zh-CN"/>
              </w:rPr>
            </w:pPr>
            <w:r>
              <w:rPr>
                <w:rFonts w:hint="default" w:ascii="仿宋_GB2312" w:hAnsi="等线" w:eastAsia="仿宋_GB2312" w:cs="仿宋_GB2312"/>
                <w:i w:val="0"/>
                <w:iCs w:val="0"/>
                <w:color w:val="000000"/>
                <w:kern w:val="0"/>
                <w:sz w:val="18"/>
                <w:szCs w:val="18"/>
                <w:u w:val="none"/>
                <w:lang w:val="en-US" w:eastAsia="zh-CN" w:bidi="ar"/>
              </w:rPr>
              <w:t>严格按规范要求施工，基础处理扎实，经检测，路面和路基质量均达到了设计和使用规范要求</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按规定完工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20"/>
                <w:szCs w:val="20"/>
                <w:u w:val="none"/>
                <w:lang w:val="en-US" w:eastAsia="zh-CN" w:bidi="ar"/>
              </w:rPr>
              <w:t>按照年初计划时进度完成</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2023年1月-12月</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2023年1月-12月</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可能对社会发展造成的负面影响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可能对自然生态环境造成的负面影响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不适用</w:t>
            </w:r>
          </w:p>
        </w:tc>
        <w:tc>
          <w:tcPr>
            <w:tcW w:w="11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不适用</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不适用</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18"/>
                <w:szCs w:val="18"/>
                <w:u w:val="none"/>
                <w:lang w:val="en-US" w:eastAsia="zh-CN" w:bidi="ar"/>
              </w:rPr>
              <w:t>面向社会提供公益服务，确保市容卫生整洁</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20"/>
                <w:szCs w:val="20"/>
                <w:u w:val="none"/>
                <w:lang w:val="en-US" w:eastAsia="zh-CN" w:bidi="ar"/>
              </w:rPr>
              <w:t>社会效益较好</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color w:val="000000"/>
                <w:kern w:val="0"/>
                <w:sz w:val="20"/>
                <w:szCs w:val="20"/>
                <w:lang w:val="en-US" w:eastAsia="zh-CN" w:bidi="ar-SA"/>
              </w:rPr>
            </w:pPr>
            <w:r>
              <w:rPr>
                <w:rFonts w:hint="default" w:ascii="仿宋_GB2312" w:hAnsi="等线" w:eastAsia="仿宋_GB2312" w:cs="仿宋_GB2312"/>
                <w:i w:val="0"/>
                <w:iCs w:val="0"/>
                <w:color w:val="000000"/>
                <w:kern w:val="0"/>
                <w:sz w:val="20"/>
                <w:szCs w:val="20"/>
                <w:u w:val="none"/>
                <w:lang w:val="en-US" w:eastAsia="zh-CN" w:bidi="ar"/>
              </w:rPr>
              <w:t>社会效益较好</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按环保要求达标处理，降低环境污染，推动生态文明建设。</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有所改善</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有所改善</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提升人居环境</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具有可持续性影响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具有可持续性影响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08" w:hRule="atLeast"/>
          <w:jc w:val="center"/>
        </w:trPr>
        <w:tc>
          <w:tcPr>
            <w:tcW w:w="6570"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75"/>
        <w:gridCol w:w="1076"/>
        <w:gridCol w:w="1073"/>
        <w:gridCol w:w="1321"/>
        <w:gridCol w:w="1025"/>
        <w:gridCol w:w="1129"/>
        <w:gridCol w:w="824"/>
        <w:gridCol w:w="917"/>
        <w:gridCol w:w="1411"/>
      </w:tblGrid>
      <w:tr>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主城区桥梁加固维修工程经费</w:t>
            </w:r>
          </w:p>
        </w:tc>
      </w:tr>
      <w:tr>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9"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岳阳市城市管理和综合执法局本级</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496.4</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496.4</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10.00 </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496.4</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496.4</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确保主城区桥梁加固维修工程顺利实施。</w:t>
            </w:r>
          </w:p>
        </w:tc>
        <w:tc>
          <w:tcPr>
            <w:tcW w:w="428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确保了主城区桥梁加固维修工程的顺利实施。</w:t>
            </w:r>
          </w:p>
        </w:tc>
      </w:tr>
      <w:tr>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琵琶王立交桥、青年路立交桥、巴陵中路人行天桥3座桥梁</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3座桥梁</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3座桥梁</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桥梁加固维修完好率</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按合同期限完成</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90天</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90天</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项目年支出金额不超过预算金额</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施工尾款待财政拨款支付</w:t>
            </w: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对社会发展可能造成的负面影响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无负面影响</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对生态环境可能造成的负面影响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无负面影响</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对社会效益的影响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有效提高</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有效提高</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对生态环境的影响</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有所改善</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有所改善</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提升城市管理水平，保障了人民群众的生命财产安全</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可持续性影响</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可持续性影响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市民满意度</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69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3-8</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96"/>
        <w:gridCol w:w="766"/>
        <w:gridCol w:w="719"/>
        <w:gridCol w:w="1572"/>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中心城区消火栓改造经费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5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岳阳市城市管理和综合执法局本级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238.4</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238.4</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238.4</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238.4</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确保中心城区消火栓改造工作顺利完成。</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中心城区消火栓改造工作顺利完成。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市本级道路新增消防栓31处</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31处</w:t>
            </w:r>
          </w:p>
        </w:tc>
        <w:tc>
          <w:tcPr>
            <w:tcW w:w="11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31处</w:t>
            </w:r>
          </w:p>
        </w:tc>
        <w:tc>
          <w:tcPr>
            <w:tcW w:w="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5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市本级消防栓维修296座</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296座</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296座</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岳阳大道新增消防栓管线2034米</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2034米</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2034米</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武广火车站广场新增消防管线1038米</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1038米</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1038米</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维修更换54处街道消防栓151台</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151台</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151台</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消防栓完好率100%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100%</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100%</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按施工合同期限完工</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11年</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11年</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大道新增消防栓管线工程，以白石岭南路路口起至大桥河路路口，沿线新敷设DN300球墨管道并沿线均布消防栓，并与通海路DN500球管碰通，由于该施工现场位于经开区，岳阳大道又是市级形象工程，岳阳市城管局分管副局长多次召开协调会，申请经开区给出施工红线，但是始终都没有得到经开区的答复，一直到2021年初，在市政府的工作报告，“中心城区管网改造”三年行动推动下岳阳大道新增消防栓管线方得以恢复施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项目年支出金额不超过预算金额</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default"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不超过预算金额</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不超过预算金额</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至今还未完成工程竣工验收结算</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对社会发展可能造成的负面影响</w:t>
            </w:r>
          </w:p>
        </w:tc>
        <w:tc>
          <w:tcPr>
            <w:tcW w:w="113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无负面影响</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无负面影响</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对生态环境可能造成的负面影响</w:t>
            </w:r>
          </w:p>
        </w:tc>
        <w:tc>
          <w:tcPr>
            <w:tcW w:w="1134"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无负面影响</w:t>
            </w:r>
          </w:p>
        </w:tc>
        <w:tc>
          <w:tcPr>
            <w:tcW w:w="1196" w:type="dxa"/>
            <w:tcBorders>
              <w:top w:val="nil"/>
              <w:left w:val="nil"/>
              <w:bottom w:val="single" w:color="auto" w:sz="4" w:space="0"/>
              <w:right w:val="single" w:color="auto" w:sz="4" w:space="0"/>
            </w:tcBorders>
            <w:noWrap w:val="0"/>
            <w:vAlign w:val="bottom"/>
          </w:tcPr>
          <w:p>
            <w:pPr>
              <w:keepNext w:val="0"/>
              <w:keepLines w:val="0"/>
              <w:widowControl/>
              <w:suppressLineNumbers w:val="0"/>
              <w:jc w:val="both"/>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无负面影响</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不适用</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不适用</w:t>
            </w: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对社会效益的影响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有效提高</w:t>
            </w:r>
          </w:p>
        </w:tc>
        <w:tc>
          <w:tcPr>
            <w:tcW w:w="11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有效提高</w:t>
            </w:r>
          </w:p>
        </w:tc>
        <w:tc>
          <w:tcPr>
            <w:tcW w:w="7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对生态环境的影响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有所改善</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有所改善</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提升城市管理水平，保障了人民群众的生命财产安全。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可持续性影响</w:t>
            </w:r>
          </w:p>
        </w:tc>
        <w:tc>
          <w:tcPr>
            <w:tcW w:w="11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可持续性影响</w:t>
            </w:r>
          </w:p>
        </w:tc>
        <w:tc>
          <w:tcPr>
            <w:tcW w:w="7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10</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default" w:ascii="仿宋_GB2312" w:hAnsi="等线" w:eastAsia="仿宋_GB2312" w:cs="仿宋_GB2312"/>
                <w:i w:val="0"/>
                <w:iCs w:val="0"/>
                <w:color w:val="000000"/>
                <w:kern w:val="0"/>
                <w:sz w:val="18"/>
                <w:szCs w:val="18"/>
                <w:u w:val="none"/>
                <w:lang w:val="en-US" w:eastAsia="zh-CN" w:bidi="ar"/>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≥95%</w:t>
            </w:r>
          </w:p>
        </w:tc>
        <w:tc>
          <w:tcPr>
            <w:tcW w:w="119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仿宋_GB2312" w:hAnsi="等线" w:eastAsia="仿宋_GB2312" w:cs="仿宋_GB2312"/>
                <w:i w:val="0"/>
                <w:iCs w:val="0"/>
                <w:color w:val="000000"/>
                <w:kern w:val="0"/>
                <w:sz w:val="18"/>
                <w:szCs w:val="18"/>
                <w:u w:val="none"/>
                <w:lang w:val="en-US" w:eastAsia="zh-CN" w:bidi="ar"/>
              </w:rPr>
            </w:pPr>
            <w:r>
              <w:rPr>
                <w:rFonts w:hint="eastAsia" w:ascii="仿宋_GB2312" w:hAnsi="等线" w:eastAsia="仿宋_GB2312" w:cs="仿宋_GB2312"/>
                <w:i w:val="0"/>
                <w:iCs w:val="0"/>
                <w:color w:val="000000"/>
                <w:kern w:val="0"/>
                <w:sz w:val="18"/>
                <w:szCs w:val="18"/>
                <w:u w:val="none"/>
                <w:lang w:val="en-US" w:eastAsia="zh-CN" w:bidi="ar"/>
              </w:rPr>
              <w:t>≥95%</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9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仿宋_GB2312" w:cs="Times New Roman"/>
          <w:sz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3-9</w:t>
      </w:r>
    </w:p>
    <w:p>
      <w:pPr>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972"/>
        <w:gridCol w:w="1176"/>
        <w:gridCol w:w="1128"/>
        <w:gridCol w:w="1128"/>
        <w:gridCol w:w="996"/>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照明提质改造经费</w:t>
            </w:r>
          </w:p>
        </w:tc>
      </w:tr>
      <w:tr>
        <w:tblPrEx>
          <w:tblCellMar>
            <w:top w:w="0" w:type="dxa"/>
            <w:left w:w="108" w:type="dxa"/>
            <w:bottom w:w="0" w:type="dxa"/>
            <w:right w:w="108" w:type="dxa"/>
          </w:tblCellMar>
        </w:tblPrEx>
        <w:trPr>
          <w:trHeight w:val="55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1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5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714.97</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714.97</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50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714.97</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714.97</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43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对洞庭湖大桥及东西两岸37栋楼宇夜景照明提质改造，提升城市品质和形象，带动夜游经济发展，更好展示岳阳省域副中心城市现代化品质和魄力。</w:t>
            </w:r>
          </w:p>
        </w:tc>
        <w:tc>
          <w:tcPr>
            <w:tcW w:w="44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已经完成洞庭湖大桥及东西两岸37栋楼宇夜景照明提质改造。</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洞庭湖大桥夜景照明提质</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洞庭湖大桥5.6公里夜景照明改造</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洞庭湖东西两岸楼宇夜景照明提质</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洞庭湖大桥东西两岸37栋楼宇夜景照明改造</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洞庭湖大桥及东西两岸37栋楼宇夜景照明质量明显提升</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工程材料质量</w:t>
            </w:r>
          </w:p>
        </w:tc>
        <w:tc>
          <w:tcPr>
            <w:tcW w:w="11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工程材料质量符合相关标准</w:t>
            </w:r>
          </w:p>
        </w:tc>
        <w:tc>
          <w:tcPr>
            <w:tcW w:w="11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100%达标</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按规定时间完成</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2022.02</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如期完成</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及时处置，避免产生次生费用。</w:t>
            </w:r>
          </w:p>
        </w:tc>
        <w:tc>
          <w:tcPr>
            <w:tcW w:w="11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处置成本得到有效管控</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产生间接经济利益</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带动旅游业发展</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城市品质提升，展示城市</w:t>
            </w:r>
            <w:r>
              <w:rPr>
                <w:rFonts w:hint="eastAsia" w:ascii="仿宋_GB2312" w:hAnsi="仿宋_GB2312" w:eastAsia="仿宋_GB2312" w:cs="仿宋_GB2312"/>
                <w:color w:val="000000"/>
                <w:sz w:val="20"/>
                <w:szCs w:val="20"/>
                <w:lang w:val="en-US" w:eastAsia="zh-CN"/>
              </w:rPr>
              <w:t>魄力</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不出现光源污染</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6年</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1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4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pStyle w:val="2"/>
        <w:rPr>
          <w:rFonts w:hint="default"/>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3-10</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47"/>
        <w:gridCol w:w="1058"/>
        <w:gridCol w:w="1039"/>
        <w:gridCol w:w="1182"/>
        <w:gridCol w:w="1216"/>
        <w:gridCol w:w="1216"/>
        <w:gridCol w:w="806"/>
        <w:gridCol w:w="917"/>
        <w:gridCol w:w="1370"/>
      </w:tblGrid>
      <w:tr>
        <w:tblPrEx>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0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泵站双电源回路及智能化改造项目　</w:t>
            </w:r>
          </w:p>
        </w:tc>
      </w:tr>
      <w:tr>
        <w:tblPrEx>
          <w:tblCellMar>
            <w:top w:w="0" w:type="dxa"/>
            <w:left w:w="108" w:type="dxa"/>
            <w:bottom w:w="0" w:type="dxa"/>
            <w:right w:w="108" w:type="dxa"/>
          </w:tblCellMar>
        </w:tblPrEx>
        <w:trPr>
          <w:jc w:val="center"/>
        </w:trPr>
        <w:tc>
          <w:tcPr>
            <w:tcW w:w="10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9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w:t>
            </w:r>
          </w:p>
        </w:tc>
      </w:tr>
      <w:tr>
        <w:tblPrEx>
          <w:tblCellMar>
            <w:top w:w="0" w:type="dxa"/>
            <w:left w:w="108" w:type="dxa"/>
            <w:bottom w:w="0" w:type="dxa"/>
            <w:right w:w="108" w:type="dxa"/>
          </w:tblCellMar>
        </w:tblPrEx>
        <w:trPr>
          <w:jc w:val="center"/>
        </w:trPr>
        <w:tc>
          <w:tcPr>
            <w:tcW w:w="104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9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4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26.12</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26.12</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tblPrEx>
          <w:tblCellMar>
            <w:top w:w="0" w:type="dxa"/>
            <w:left w:w="108" w:type="dxa"/>
            <w:bottom w:w="0" w:type="dxa"/>
            <w:right w:w="108" w:type="dxa"/>
          </w:tblCellMar>
        </w:tblPrEx>
        <w:trPr>
          <w:jc w:val="center"/>
        </w:trPr>
        <w:tc>
          <w:tcPr>
            <w:tcW w:w="104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26.12</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26.12</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550" w:hRule="atLeast"/>
          <w:jc w:val="center"/>
        </w:trPr>
        <w:tc>
          <w:tcPr>
            <w:tcW w:w="104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对城区主要污水泵站进行双电源回路及智能化改造。　</w:t>
            </w:r>
          </w:p>
        </w:tc>
        <w:tc>
          <w:tcPr>
            <w:tcW w:w="43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已经完成主要污水泵站双电源回路及智能化改造。</w:t>
            </w:r>
          </w:p>
        </w:tc>
      </w:tr>
      <w:tr>
        <w:tblPrEx>
          <w:tblCellMar>
            <w:top w:w="0" w:type="dxa"/>
            <w:left w:w="108" w:type="dxa"/>
            <w:bottom w:w="0" w:type="dxa"/>
            <w:right w:w="108" w:type="dxa"/>
          </w:tblCellMar>
        </w:tblPrEx>
        <w:trPr>
          <w:jc w:val="center"/>
        </w:trPr>
        <w:tc>
          <w:tcPr>
            <w:tcW w:w="104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对污水泵站进行双电源回路改造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对郭镇、理工学院、长山路、桐子岭、南湖广场5座泵站双电源改造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对郭镇、理工学院、长山路、桐子岭、南湖广场5座泵站双电源改造</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对污水泵站进行智能化改造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对郭镇、理工学院、长山路、桐子岭、南湖广场、城陵矶6座泵站智能化改造</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对郭镇、理工学院、长山路、桐子岭、南湖广场、城陵矶6座泵站智能化改造</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泵站实现双电源供电可靠保障</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实现5座泵站非特殊情况下供电保障</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实现5座泵站非特殊情况下供电保障</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能运程智能化控制设备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实现6座泵站现场自动化控制和远程监控目标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实现6座泵站现场自动化控制和远程监控目标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按规定时间完成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2023.12.31日前完成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2023.12.31日前完成</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不超过预算金额</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未超过预算金额</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可能对社会造成的负面影响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可能对自然生态环境造成的负面影响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减少污染，降低环境治理成本。</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有效控制</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得到有效控制</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提升城市生活污水处理保障</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有所提升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改善市居民生活环境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有所改善</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提升人居环境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具有可持续影响</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市民满意度</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≥95%</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75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73"/>
        <w:gridCol w:w="1019"/>
        <w:gridCol w:w="1241"/>
        <w:gridCol w:w="1284"/>
        <w:gridCol w:w="919"/>
        <w:gridCol w:w="985"/>
        <w:gridCol w:w="867"/>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83"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渍水整治经费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6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4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1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3.54</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3.54</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3.54</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3.54</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6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461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r>
              <w:rPr>
                <w:rFonts w:hint="eastAsia" w:ascii="仿宋_GB2312" w:hAnsi="仿宋_GB2312" w:eastAsia="仿宋_GB2312" w:cs="仿宋_GB2312"/>
                <w:color w:val="000000"/>
                <w:sz w:val="20"/>
                <w:szCs w:val="20"/>
              </w:rPr>
              <w:t>尚书山路尚书汀湾段有两处管网垮塌管内积水严重，造成</w:t>
            </w:r>
            <w:r>
              <w:rPr>
                <w:rFonts w:hint="eastAsia" w:ascii="仿宋_GB2312" w:hAnsi="仿宋_GB2312" w:eastAsia="仿宋_GB2312" w:cs="仿宋_GB2312"/>
                <w:color w:val="000000"/>
                <w:sz w:val="20"/>
                <w:szCs w:val="20"/>
                <w:lang w:val="en-US" w:eastAsia="zh-CN"/>
              </w:rPr>
              <w:t>溢流</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主要任务是解决排水管网</w:t>
            </w:r>
            <w:r>
              <w:rPr>
                <w:rFonts w:hint="eastAsia" w:ascii="仿宋_GB2312" w:hAnsi="仿宋_GB2312" w:eastAsia="仿宋_GB2312" w:cs="仿宋_GB2312"/>
                <w:color w:val="000000"/>
                <w:sz w:val="20"/>
                <w:szCs w:val="20"/>
              </w:rPr>
              <w:t>垮塌</w:t>
            </w:r>
            <w:r>
              <w:rPr>
                <w:rFonts w:hint="eastAsia" w:ascii="仿宋_GB2312" w:hAnsi="仿宋_GB2312" w:eastAsia="仿宋_GB2312" w:cs="仿宋_GB2312"/>
                <w:color w:val="000000"/>
                <w:sz w:val="20"/>
                <w:szCs w:val="20"/>
                <w:lang w:val="en-US" w:eastAsia="zh-CN"/>
              </w:rPr>
              <w:t>现象，确保排水主涵畅通。</w:t>
            </w:r>
          </w:p>
          <w:p>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2.枫树岭社区万家垅管涵淤堵，造成周边低洼地段居民房屋积水，主要任务是清除淤泥，管涵通畅，周边不积水。</w:t>
            </w:r>
          </w:p>
        </w:tc>
        <w:tc>
          <w:tcPr>
            <w:tcW w:w="416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已经完成</w:t>
            </w:r>
            <w:r>
              <w:rPr>
                <w:rFonts w:hint="eastAsia" w:ascii="仿宋_GB2312" w:hAnsi="仿宋_GB2312" w:eastAsia="仿宋_GB2312" w:cs="仿宋_GB2312"/>
                <w:color w:val="000000"/>
                <w:sz w:val="20"/>
                <w:szCs w:val="20"/>
              </w:rPr>
              <w:t>尚书山路尚书汀湾段有两处管网垮塌</w:t>
            </w:r>
            <w:r>
              <w:rPr>
                <w:rFonts w:hint="eastAsia" w:ascii="仿宋_GB2312" w:hAnsi="仿宋_GB2312" w:eastAsia="仿宋_GB2312" w:cs="仿宋_GB2312"/>
                <w:color w:val="000000"/>
                <w:sz w:val="20"/>
                <w:szCs w:val="20"/>
                <w:lang w:val="en-US" w:eastAsia="zh-CN"/>
              </w:rPr>
              <w:t>修复和枫树岭社区万家垅管涵清淤，解决了污水溢流和周边低洼地段积水问题。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1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新建DN1500排水管道</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管道223米</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制作工作井、接收井</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工作井2座接收井3座</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双重高压管旋喷桩</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旋喷桩4977米</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管涵清淤</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管涵清淤3458米</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管道建成后不积水和溢流</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建设地段不再发生溢流和积水</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管涵清淤后不积水</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管涵清淤后不积水</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按规定时间完成</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2023.12.31日前</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避免产生次生费用</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及时处置避免产生次生费用</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处置成本得到有效管控</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解决周边居民积水问题</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改变周边居民生活环境，提高生活质量</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7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长久性</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4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8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98%</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604"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41"/>
        <w:gridCol w:w="1200"/>
        <w:gridCol w:w="1132"/>
        <w:gridCol w:w="1031"/>
        <w:gridCol w:w="1082"/>
        <w:gridCol w:w="859"/>
        <w:gridCol w:w="13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蛇皮套和三大湖整治</w:t>
            </w:r>
          </w:p>
        </w:tc>
      </w:tr>
      <w:tr>
        <w:tblPrEx>
          <w:tblCellMar>
            <w:top w:w="0" w:type="dxa"/>
            <w:left w:w="108" w:type="dxa"/>
            <w:bottom w:w="0" w:type="dxa"/>
            <w:right w:w="108" w:type="dxa"/>
          </w:tblCellMar>
        </w:tblPrEx>
        <w:trPr>
          <w:trHeight w:val="369"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0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trHeight w:val="38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3244.20</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3244.20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trHeight w:val="4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3244.20</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3244.20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5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27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45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蛇皮套和三大湖绿化维护养护、保洁；道路维护养护、保洁；栏杆维护；水域保洁；广场维护、保洁；其他市政维护；蛇皮套泵站一座维护，</w:t>
            </w:r>
            <w:r>
              <w:rPr>
                <w:rFonts w:hint="eastAsia" w:ascii="仿宋_GB2312" w:hAnsi="仿宋_GB2312" w:eastAsia="仿宋_GB2312" w:cs="仿宋_GB2312"/>
                <w:color w:val="000000"/>
                <w:sz w:val="20"/>
                <w:szCs w:val="20"/>
                <w:lang w:val="en-US" w:eastAsia="zh-CN"/>
              </w:rPr>
              <w:t>维护保洁率100%并达到绩效考核要求。</w:t>
            </w:r>
          </w:p>
        </w:tc>
        <w:tc>
          <w:tcPr>
            <w:tcW w:w="43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维护保洁完成率100%，已达到绩效考核要求。</w:t>
            </w:r>
          </w:p>
        </w:tc>
      </w:tr>
      <w:tr>
        <w:tblPrEx>
          <w:tblCellMar>
            <w:top w:w="0" w:type="dxa"/>
            <w:left w:w="108" w:type="dxa"/>
            <w:bottom w:w="0" w:type="dxa"/>
            <w:right w:w="108" w:type="dxa"/>
          </w:tblCellMar>
        </w:tblPrEx>
        <w:trPr>
          <w:trHeight w:val="762"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4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完成绿化维护养护、保洁</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40" w:lineRule="exact"/>
              <w:ind w:leftChars="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面积60406.46㎡</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完成道路维护养护、保洁</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面积26766.76㎡</w:t>
            </w:r>
          </w:p>
        </w:tc>
        <w:tc>
          <w:tcPr>
            <w:tcW w:w="1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完成栏杆维护</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长度2521.93m</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完成水域保洁</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面积307179.59㎡</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完成广场维护、保洁</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面积13572.23㎡</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完成其他市政维护</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面积1881.31㎡</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完成蛇皮套泵站一座维护</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处理污水6.05万m³/天</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完成生态滤池芦苇收割清理及滤砂疏松</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面积21121㎡</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42" w:hRule="atLeast"/>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cs="Times New Roman"/>
                <w:kern w:val="0"/>
                <w:sz w:val="20"/>
                <w:szCs w:val="20"/>
                <w:lang w:val="en-US" w:eastAsia="zh-CN" w:bidi="ar-SA"/>
              </w:rPr>
              <w:t>绿化部分杂草率</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不超过5%</w:t>
            </w:r>
          </w:p>
        </w:tc>
        <w:tc>
          <w:tcPr>
            <w:tcW w:w="1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cs="Times New Roman"/>
                <w:kern w:val="0"/>
                <w:sz w:val="20"/>
                <w:szCs w:val="20"/>
                <w:lang w:val="en-US" w:eastAsia="zh-CN" w:bidi="ar-SA"/>
              </w:rPr>
              <w:t>草皮缺或死株面积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不超过2㎡</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cs="Times New Roman"/>
                <w:kern w:val="0"/>
                <w:sz w:val="20"/>
                <w:szCs w:val="20"/>
                <w:lang w:val="en-US" w:eastAsia="zh-CN" w:bidi="ar-SA"/>
              </w:rPr>
              <w:t>道路累计网裂、龟裂面积</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不超过20平方米，累计线裂长度不超过100米。</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39"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eastAsia="仿宋_GB2312" w:cs="Times New Roman"/>
                <w:kern w:val="0"/>
                <w:sz w:val="20"/>
                <w:szCs w:val="20"/>
                <w:lang w:val="en-US" w:eastAsia="zh-CN" w:bidi="ar-SA"/>
              </w:rPr>
              <w:t>人行道拱起处高差</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不超过50mm</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_GB2312" w:cs="Times New Roman"/>
                <w:kern w:val="0"/>
                <w:sz w:val="20"/>
                <w:szCs w:val="20"/>
                <w:lang w:val="en-US" w:eastAsia="zh-CN" w:bidi="ar-SA"/>
              </w:rPr>
              <w:t>排水部分设施设备达标率</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eastAsia="仿宋_GB2312" w:cs="Times New Roman"/>
                <w:kern w:val="0"/>
                <w:sz w:val="20"/>
                <w:szCs w:val="20"/>
                <w:lang w:val="en-US" w:eastAsia="zh-CN" w:bidi="ar-SA"/>
              </w:rPr>
              <w:t>生态滤池芦苇清理及滤砂疏松达标率</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4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季度考核</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每季度考核一次</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按成本费用包干，自负盈亏</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由黑臭水体变成了湿地公园</w:t>
            </w:r>
          </w:p>
        </w:tc>
        <w:tc>
          <w:tcPr>
            <w:tcW w:w="11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3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消除了黑臭水体的影响</w:t>
            </w:r>
          </w:p>
        </w:tc>
        <w:tc>
          <w:tcPr>
            <w:tcW w:w="11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4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lang w:eastAsia="zh-CN"/>
              </w:rPr>
              <w:t>长久性</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3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12"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10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highlight w:val="none"/>
        </w:rPr>
      </w:pPr>
    </w:p>
    <w:p>
      <w:pPr>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60"/>
        <w:gridCol w:w="1128"/>
        <w:gridCol w:w="1162"/>
        <w:gridCol w:w="1130"/>
        <w:gridCol w:w="1020"/>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垃圾站建设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3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311"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岳阳市城市管理和综合执法局本级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102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41.41</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41.41</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41.41</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41.41</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0</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04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3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4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4330"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完成王家河、湖滨大道、赶山西路三座垃圾站建设</w:t>
            </w:r>
          </w:p>
        </w:tc>
        <w:tc>
          <w:tcPr>
            <w:tcW w:w="4441"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全部</w:t>
            </w:r>
            <w:r>
              <w:rPr>
                <w:rFonts w:hint="eastAsia" w:ascii="仿宋_GB2312" w:hAnsi="仿宋_GB2312" w:eastAsia="仿宋_GB2312" w:cs="仿宋_GB2312"/>
                <w:color w:val="000000"/>
                <w:sz w:val="20"/>
                <w:szCs w:val="20"/>
                <w:lang w:val="en-US" w:eastAsia="zh-CN"/>
              </w:rPr>
              <w:t>竣</w:t>
            </w:r>
            <w:r>
              <w:rPr>
                <w:rFonts w:hint="eastAsia" w:ascii="仿宋_GB2312" w:hAnsi="仿宋_GB2312" w:eastAsia="仿宋_GB2312" w:cs="仿宋_GB2312"/>
                <w:color w:val="000000"/>
                <w:sz w:val="20"/>
                <w:szCs w:val="20"/>
                <w:lang w:eastAsia="zh-CN"/>
              </w:rPr>
              <w:t>工，</w:t>
            </w:r>
            <w:r>
              <w:rPr>
                <w:rFonts w:hint="eastAsia" w:ascii="仿宋_GB2312" w:hAnsi="仿宋_GB2312" w:eastAsia="仿宋_GB2312" w:cs="仿宋_GB2312"/>
                <w:color w:val="000000"/>
                <w:sz w:val="20"/>
                <w:szCs w:val="20"/>
                <w:lang w:val="en-US" w:eastAsia="zh-CN"/>
              </w:rPr>
              <w:t>验收合格，</w:t>
            </w:r>
            <w:r>
              <w:rPr>
                <w:rFonts w:hint="eastAsia" w:ascii="仿宋_GB2312" w:hAnsi="仿宋_GB2312" w:eastAsia="仿宋_GB2312" w:cs="仿宋_GB2312"/>
                <w:color w:val="000000"/>
                <w:sz w:val="20"/>
                <w:szCs w:val="20"/>
                <w:lang w:eastAsia="zh-CN"/>
              </w:rPr>
              <w:t>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完成王家河垃圾站建设</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1座</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1座</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完成湖滨大道垃圾站建设</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1座</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1座</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完成赶山西路垃圾站建设</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1座</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1座</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符合建筑行业要求</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符合建筑行业要求</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符合要求</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符合工程设计要求</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符合工程设计要求</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符合要求</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按计划实施</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按计划实施</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均按工作计划实施</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按合同约定交付使用</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按合同时间交付</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如期交付</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招标合同价</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不超招标合同金额</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未出现超招标合同价现象</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产生间接经济效益，降低垃圾转运成本。</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产生间接经济效益，降低了垃圾转运成本。</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垃圾资源化利用</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垃圾发电提供源料</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解决垃圾难以收集问题</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解决垃圾难以收集问题</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解决了垃圾难以收集问题</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垃圾收集转运速度</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加快垃圾收集转运速度</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收集转运速度有效提升</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减少空气污染</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加快垃圾收集转运速度、避免垃圾发酵产生异味</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有效管控</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产生持久影响</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长期</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长期</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6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6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540"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102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65"/>
        <w:gridCol w:w="1083"/>
        <w:gridCol w:w="1128"/>
        <w:gridCol w:w="1128"/>
        <w:gridCol w:w="996"/>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船舶垃圾收集经费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35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87"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4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2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9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14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256.93</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256.93</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14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256.93</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256.93</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14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2145"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35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1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4356"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完成一座洞庭湖环卫趸船码头建设和两个中转站建设</w:t>
            </w:r>
          </w:p>
        </w:tc>
        <w:tc>
          <w:tcPr>
            <w:tcW w:w="4415"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已经竣</w:t>
            </w:r>
            <w:r>
              <w:rPr>
                <w:rFonts w:hint="eastAsia" w:ascii="仿宋_GB2312" w:hAnsi="仿宋_GB2312" w:eastAsia="仿宋_GB2312" w:cs="仿宋_GB2312"/>
                <w:color w:val="000000"/>
                <w:sz w:val="20"/>
                <w:szCs w:val="20"/>
                <w:lang w:eastAsia="zh-CN"/>
              </w:rPr>
              <w:t>工，</w:t>
            </w:r>
            <w:r>
              <w:rPr>
                <w:rFonts w:hint="eastAsia" w:ascii="仿宋_GB2312" w:hAnsi="仿宋_GB2312" w:eastAsia="仿宋_GB2312" w:cs="仿宋_GB2312"/>
                <w:color w:val="000000"/>
                <w:sz w:val="20"/>
                <w:szCs w:val="20"/>
                <w:lang w:val="en-US" w:eastAsia="zh-CN"/>
              </w:rPr>
              <w:t>验收合格，</w:t>
            </w:r>
            <w:r>
              <w:rPr>
                <w:rFonts w:hint="eastAsia" w:ascii="仿宋_GB2312" w:hAnsi="仿宋_GB2312" w:eastAsia="仿宋_GB2312" w:cs="仿宋_GB2312"/>
                <w:color w:val="000000"/>
                <w:sz w:val="20"/>
                <w:szCs w:val="20"/>
                <w:lang w:eastAsia="zh-CN"/>
              </w:rPr>
              <w:t>并交付使用。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趸船码头建设</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1个趸船码头建设</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w:t>
            </w:r>
            <w:r>
              <w:rPr>
                <w:rFonts w:hint="eastAsia" w:ascii="仿宋_GB2312" w:hAnsi="仿宋_GB2312" w:eastAsia="仿宋_GB2312" w:cs="仿宋_GB2312"/>
                <w:color w:val="000000"/>
                <w:sz w:val="20"/>
                <w:szCs w:val="20"/>
                <w:lang w:eastAsia="zh-CN"/>
              </w:rPr>
              <w:t>完成</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中转站建设</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2个中转站建设</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w:t>
            </w:r>
            <w:r>
              <w:rPr>
                <w:rFonts w:hint="eastAsia" w:ascii="仿宋_GB2312" w:hAnsi="仿宋_GB2312" w:eastAsia="仿宋_GB2312" w:cs="仿宋_GB2312"/>
                <w:color w:val="000000"/>
                <w:sz w:val="20"/>
                <w:szCs w:val="20"/>
                <w:lang w:eastAsia="zh-CN"/>
              </w:rPr>
              <w:t>完成</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符合建筑行业要求</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符合建筑行业要求</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符合要求</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符合工程设计要求</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符合工程设计要求</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符合要求</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按合同约定交付使用</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按合同时间交付</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如期交付</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按计划实施</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按计划实施</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均按工作计划实施</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招标合同价</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不超招标合同金额</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未出现超招标合同价现象</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产生间接经济效益</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减少水体环境治理费用</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垃圾资源化利用</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垃圾资源化利用</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有效利用</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改善洞庭湖域居民环境</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改善洞庭湖域居民环境</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有效改善</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xml:space="preserve">改善环境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 xml:space="preserve">改善洞庭湖水环境 </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有效改善</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长效性</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长效</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长效性</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0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64" w:type="dxa"/>
            <w:gridSpan w:val="6"/>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9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68"/>
        <w:gridCol w:w="1023"/>
        <w:gridCol w:w="1295"/>
        <w:gridCol w:w="1018"/>
        <w:gridCol w:w="996"/>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市中心</w:t>
            </w:r>
            <w:r>
              <w:rPr>
                <w:rFonts w:hint="eastAsia" w:ascii="仿宋_GB2312" w:hAnsi="仿宋_GB2312" w:eastAsia="仿宋_GB2312" w:cs="仿宋_GB2312"/>
                <w:color w:val="000000"/>
                <w:sz w:val="20"/>
                <w:szCs w:val="20"/>
                <w:lang w:val="en-US" w:eastAsia="zh-CN"/>
              </w:rPr>
              <w:t>城区</w:t>
            </w:r>
            <w:r>
              <w:rPr>
                <w:rFonts w:hint="eastAsia" w:ascii="仿宋_GB2312" w:hAnsi="仿宋_GB2312" w:eastAsia="仿宋_GB2312" w:cs="仿宋_GB2312"/>
                <w:color w:val="000000"/>
                <w:sz w:val="20"/>
                <w:szCs w:val="20"/>
              </w:rPr>
              <w:t>春节氛围营造经费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46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p>
        </w:tc>
        <w:tc>
          <w:tcPr>
            <w:tcW w:w="101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169.64</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169.64</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169.64</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169.64</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56"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46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46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春节期间，在南湖广场、巴陵广场、岳阳大道等地制作地面造型。在城区主要路口悬挂灯笼。在湘北大道路灯杆上设置道旗造型等装饰元素，营造喜庆祥和的节目氛围。</w:t>
            </w:r>
          </w:p>
        </w:tc>
        <w:tc>
          <w:tcPr>
            <w:tcW w:w="430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已经完成春节期间节日氛围营造工作。</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589"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春节前氛围营造</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1次</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02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符合设计要求</w:t>
            </w:r>
          </w:p>
        </w:tc>
        <w:tc>
          <w:tcPr>
            <w:tcW w:w="12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建设地点符合设计要求</w:t>
            </w:r>
          </w:p>
        </w:tc>
        <w:tc>
          <w:tcPr>
            <w:tcW w:w="10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02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春节前完成</w:t>
            </w:r>
          </w:p>
        </w:tc>
        <w:tc>
          <w:tcPr>
            <w:tcW w:w="129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2023.1.30</w:t>
            </w:r>
          </w:p>
        </w:tc>
        <w:tc>
          <w:tcPr>
            <w:tcW w:w="101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控制在预算内</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年度预算金额</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未完成结算评审，资金未支付完成。</w:t>
            </w:r>
          </w:p>
        </w:tc>
      </w:tr>
      <w:tr>
        <w:tblPrEx>
          <w:tblCellMar>
            <w:top w:w="0" w:type="dxa"/>
            <w:left w:w="108" w:type="dxa"/>
            <w:bottom w:w="0" w:type="dxa"/>
            <w:right w:w="108" w:type="dxa"/>
          </w:tblCellMar>
        </w:tblPrEx>
        <w:trPr>
          <w:trHeight w:val="591"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2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间接助力旅游业发展</w:t>
            </w:r>
          </w:p>
        </w:tc>
        <w:tc>
          <w:tcPr>
            <w:tcW w:w="10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间接助力发展</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营造节日氛围</w:t>
            </w:r>
          </w:p>
        </w:tc>
        <w:tc>
          <w:tcPr>
            <w:tcW w:w="12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2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提升市民幸福感、获得感</w:t>
            </w:r>
          </w:p>
        </w:tc>
        <w:tc>
          <w:tcPr>
            <w:tcW w:w="12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kern w:val="0"/>
                <w:sz w:val="20"/>
                <w:szCs w:val="20"/>
                <w:lang w:val="en-US" w:eastAsia="zh-CN" w:bidi="ar-SA"/>
              </w:rPr>
              <w:t>提升市民幸福感、获得感</w:t>
            </w:r>
          </w:p>
        </w:tc>
        <w:tc>
          <w:tcPr>
            <w:tcW w:w="1018"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有效提升</w:t>
            </w:r>
          </w:p>
        </w:tc>
        <w:tc>
          <w:tcPr>
            <w:tcW w:w="99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02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美化城市居民生活环境</w:t>
            </w:r>
          </w:p>
        </w:tc>
        <w:tc>
          <w:tcPr>
            <w:tcW w:w="12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1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68"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春节期间</w:t>
            </w:r>
          </w:p>
        </w:tc>
        <w:tc>
          <w:tcPr>
            <w:tcW w:w="12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0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≥95</w:t>
            </w:r>
            <w:r>
              <w:rPr>
                <w:rFonts w:hint="eastAsia" w:ascii="仿宋_GB2312" w:hAnsi="仿宋_GB2312" w:eastAsia="仿宋_GB2312" w:cs="仿宋_GB2312"/>
                <w:color w:val="000000"/>
                <w:sz w:val="20"/>
                <w:szCs w:val="20"/>
                <w:lang w:val="en-US" w:eastAsia="zh-CN"/>
              </w:rPr>
              <w:t>%</w:t>
            </w:r>
          </w:p>
        </w:tc>
        <w:tc>
          <w:tcPr>
            <w:tcW w:w="10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3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pStyle w:val="3"/>
        <w:ind w:left="0" w:leftChars="0" w:firstLine="0" w:firstLineChars="0"/>
        <w:rPr>
          <w:rFonts w:hint="default"/>
        </w:rPr>
        <w:sectPr>
          <w:pgSz w:w="11906" w:h="16838"/>
          <w:pgMar w:top="1440" w:right="1800" w:bottom="1440" w:left="1800" w:header="851" w:footer="992" w:gutter="0"/>
          <w:cols w:space="425" w:num="1"/>
          <w:docGrid w:type="lines" w:linePitch="312" w:charSpace="0"/>
        </w:sect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2023年市城区生活垃圾分类工作经费　</w:t>
            </w:r>
          </w:p>
        </w:tc>
      </w:tr>
      <w:tr>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岳阳市城市管理和综合执法局本级</w:t>
            </w: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90.69</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90.69</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90.69</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90.69</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1.初步建成生活垃圾分类收运体系、可回收物回收利用体系，有害垃圾规范运输、储存、处理体系。</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2.建设一批生活垃圾分类示范创建街道。　　</w:t>
            </w:r>
          </w:p>
        </w:tc>
        <w:tc>
          <w:tcPr>
            <w:tcW w:w="435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1.已初步建成生活垃圾分类收运体系、可回收物回收利用体系，有害垃圾规范运输、储存、处理体系。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2.生活垃圾分类示范创建街道初见雏形。</w:t>
            </w:r>
          </w:p>
        </w:tc>
      </w:tr>
      <w:tr>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公共机构全覆盖，创建10个示范街道。公共机构全覆盖，创建10个示范街道。</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1个　</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1个　</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准确率达100%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100%</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100%</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未超过全年预算数</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对生态环境可能造成的负面影响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减少垃圾处理成本，提高再生资源回收利用率。</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有效提高再生资源回收利用率</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有效提高再生资源回收利用率</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践行绿色发展理念，提倡低碳生活，减少环境污染，提高资源利用效率。</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社会效益好</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减少垃圾对空气、土壤、地下水的污染。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环境效益良好</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环境效益良好</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绿色环保可持续发展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具有可持续影响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&gt;=95%</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2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Tg5OWJmY2I1OTkzODRmZGNkZTkzMjU2ZTZjOWEifQ=="/>
  </w:docVars>
  <w:rsids>
    <w:rsidRoot w:val="59886344"/>
    <w:rsid w:val="004843A0"/>
    <w:rsid w:val="01E062DA"/>
    <w:rsid w:val="028C3AA3"/>
    <w:rsid w:val="099346C1"/>
    <w:rsid w:val="0B970E43"/>
    <w:rsid w:val="103402F9"/>
    <w:rsid w:val="11280B74"/>
    <w:rsid w:val="14B71D49"/>
    <w:rsid w:val="1A2B5928"/>
    <w:rsid w:val="1F1C2D38"/>
    <w:rsid w:val="246E099D"/>
    <w:rsid w:val="25E36393"/>
    <w:rsid w:val="2C2220D9"/>
    <w:rsid w:val="2C8F3E83"/>
    <w:rsid w:val="2DEF36C3"/>
    <w:rsid w:val="2E1754AB"/>
    <w:rsid w:val="2F417A9F"/>
    <w:rsid w:val="34B2310F"/>
    <w:rsid w:val="34CA6229"/>
    <w:rsid w:val="360D3C98"/>
    <w:rsid w:val="36E61C42"/>
    <w:rsid w:val="3A322B13"/>
    <w:rsid w:val="3A3F58E4"/>
    <w:rsid w:val="3A681A18"/>
    <w:rsid w:val="44D6566A"/>
    <w:rsid w:val="48405867"/>
    <w:rsid w:val="4A671B3D"/>
    <w:rsid w:val="4C43492C"/>
    <w:rsid w:val="4CC77104"/>
    <w:rsid w:val="4EB12771"/>
    <w:rsid w:val="50BB1603"/>
    <w:rsid w:val="50F30FF7"/>
    <w:rsid w:val="56B51B9C"/>
    <w:rsid w:val="571721EB"/>
    <w:rsid w:val="59210F4F"/>
    <w:rsid w:val="5978114C"/>
    <w:rsid w:val="59886344"/>
    <w:rsid w:val="5CFB3129"/>
    <w:rsid w:val="5ECA2CA9"/>
    <w:rsid w:val="60911078"/>
    <w:rsid w:val="61351248"/>
    <w:rsid w:val="62594E7D"/>
    <w:rsid w:val="64F63D41"/>
    <w:rsid w:val="670539F6"/>
    <w:rsid w:val="69B3371F"/>
    <w:rsid w:val="6A4D4AF3"/>
    <w:rsid w:val="6A6F154C"/>
    <w:rsid w:val="6FC270BB"/>
    <w:rsid w:val="70883D3D"/>
    <w:rsid w:val="71B216C2"/>
    <w:rsid w:val="728C6641"/>
    <w:rsid w:val="74FC57F0"/>
    <w:rsid w:val="76C05DC3"/>
    <w:rsid w:val="79FB12E1"/>
    <w:rsid w:val="7AB674B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5965</Words>
  <Characters>6358</Characters>
  <Lines>0</Lines>
  <Paragraphs>0</Paragraphs>
  <TotalTime>324</TotalTime>
  <ScaleCrop>false</ScaleCrop>
  <LinksUpToDate>false</LinksUpToDate>
  <CharactersWithSpaces>6374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王木木</cp:lastModifiedBy>
  <cp:lastPrinted>2024-06-28T02:56:00Z</cp:lastPrinted>
  <dcterms:modified xsi:type="dcterms:W3CDTF">2024-09-24T01:54:38Z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D08FE10DAF1146F49C4F45C707538BF8</vt:lpwstr>
  </property>
</Properties>
</file>