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年度岳阳市美术馆整体支出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岳阳市</w:t>
      </w:r>
      <w:r>
        <w:rPr>
          <w:rFonts w:hint="eastAsia" w:ascii="仿宋_GB2312" w:hAnsi="仿宋_GB2312" w:eastAsia="仿宋_GB2312" w:cs="仿宋_GB2312"/>
          <w:bCs/>
          <w:sz w:val="28"/>
          <w:szCs w:val="28"/>
          <w:lang w:val="en-US" w:eastAsia="zh-CN"/>
        </w:rPr>
        <w:t>美术馆于2017年元月纳入财政独立核算单位。</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年</w:t>
      </w:r>
      <w:r>
        <w:rPr>
          <w:rFonts w:ascii="仿宋_GB2312" w:hAnsi="仿宋_GB2312" w:eastAsia="仿宋_GB2312" w:cs="仿宋_GB2312"/>
          <w:bCs/>
          <w:sz w:val="28"/>
          <w:szCs w:val="28"/>
        </w:rPr>
        <w:t>12</w:t>
      </w:r>
      <w:r>
        <w:rPr>
          <w:rFonts w:hint="eastAsia" w:ascii="仿宋_GB2312" w:hAnsi="仿宋_GB2312" w:eastAsia="仿宋_GB2312" w:cs="仿宋_GB2312"/>
          <w:bCs/>
          <w:sz w:val="28"/>
          <w:szCs w:val="28"/>
        </w:rPr>
        <w:t>月</w:t>
      </w:r>
      <w:r>
        <w:rPr>
          <w:rFonts w:ascii="仿宋_GB2312" w:hAnsi="仿宋_GB2312" w:eastAsia="仿宋_GB2312" w:cs="仿宋_GB2312"/>
          <w:bCs/>
          <w:sz w:val="28"/>
          <w:szCs w:val="28"/>
        </w:rPr>
        <w:t>31</w:t>
      </w:r>
      <w:r>
        <w:rPr>
          <w:rFonts w:hint="eastAsia" w:ascii="仿宋_GB2312" w:hAnsi="仿宋_GB2312" w:eastAsia="仿宋_GB2312" w:cs="仿宋_GB2312"/>
          <w:bCs/>
          <w:sz w:val="28"/>
          <w:szCs w:val="28"/>
        </w:rPr>
        <w:t>日，实际在编在岗干部职工共有</w:t>
      </w:r>
      <w:r>
        <w:rPr>
          <w:rFonts w:hint="eastAsia" w:ascii="仿宋_GB2312" w:hAnsi="仿宋_GB2312" w:eastAsia="仿宋_GB2312" w:cs="仿宋_GB2312"/>
          <w:bCs/>
          <w:sz w:val="28"/>
          <w:szCs w:val="28"/>
          <w:lang w:val="en-US" w:eastAsia="zh-CN"/>
        </w:rPr>
        <w:t>15</w:t>
      </w:r>
      <w:r>
        <w:rPr>
          <w:rFonts w:hint="eastAsia" w:ascii="仿宋_GB2312" w:hAnsi="仿宋_GB2312" w:eastAsia="仿宋_GB2312" w:cs="仿宋_GB2312"/>
          <w:bCs/>
          <w:sz w:val="28"/>
          <w:szCs w:val="28"/>
        </w:rPr>
        <w:t>人，其中：事业编</w:t>
      </w:r>
      <w:r>
        <w:rPr>
          <w:rFonts w:hint="eastAsia" w:ascii="仿宋_GB2312" w:hAnsi="仿宋_GB2312" w:eastAsia="仿宋_GB2312" w:cs="仿宋_GB2312"/>
          <w:bCs/>
          <w:sz w:val="28"/>
          <w:szCs w:val="28"/>
          <w:lang w:val="en-US" w:eastAsia="zh-CN"/>
        </w:rPr>
        <w:t>11</w:t>
      </w:r>
      <w:r>
        <w:rPr>
          <w:rFonts w:hint="eastAsia" w:ascii="仿宋_GB2312" w:hAnsi="仿宋_GB2312" w:eastAsia="仿宋_GB2312" w:cs="仿宋_GB2312"/>
          <w:bCs/>
          <w:sz w:val="28"/>
          <w:szCs w:val="28"/>
        </w:rPr>
        <w:t>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工勤编3人</w:t>
      </w:r>
      <w:r>
        <w:rPr>
          <w:rFonts w:hint="eastAsia" w:ascii="仿宋_GB2312" w:hAnsi="仿宋_GB2312" w:eastAsia="仿宋_GB2312" w:cs="仿宋_GB2312"/>
          <w:bCs/>
          <w:sz w:val="28"/>
          <w:szCs w:val="28"/>
        </w:rPr>
        <w:t>。</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highlight w:val="none"/>
        </w:rPr>
        <w:t>（二）部门（单位）整体支出规模、使用方向和主要内容、涉及范围等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1、根据</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年市本级部门预算批复</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本单位预算收入</w:t>
      </w:r>
      <w:r>
        <w:rPr>
          <w:rFonts w:hint="eastAsia" w:ascii="仿宋_GB2312" w:hAnsi="仿宋_GB2312" w:eastAsia="仿宋_GB2312" w:cs="仿宋_GB2312"/>
          <w:bCs/>
          <w:sz w:val="28"/>
          <w:szCs w:val="28"/>
          <w:lang w:val="en-US" w:eastAsia="zh-CN"/>
        </w:rPr>
        <w:t>243.82</w:t>
      </w:r>
      <w:r>
        <w:rPr>
          <w:rFonts w:ascii="仿宋_GB2312" w:hAnsi="仿宋_GB2312" w:eastAsia="仿宋_GB2312" w:cs="仿宋_GB2312"/>
          <w:bCs/>
          <w:sz w:val="28"/>
          <w:szCs w:val="28"/>
        </w:rPr>
        <w:t>万元，其中</w:t>
      </w:r>
      <w:r>
        <w:rPr>
          <w:rFonts w:hint="eastAsia" w:ascii="仿宋_GB2312" w:hAnsi="仿宋_GB2312" w:eastAsia="仿宋_GB2312" w:cs="仿宋_GB2312"/>
          <w:bCs/>
          <w:sz w:val="28"/>
          <w:szCs w:val="28"/>
        </w:rPr>
        <w:t>公共财政拨款</w:t>
      </w:r>
      <w:r>
        <w:rPr>
          <w:rFonts w:hint="eastAsia" w:ascii="仿宋_GB2312" w:hAnsi="仿宋_GB2312" w:eastAsia="仿宋_GB2312" w:cs="仿宋_GB2312"/>
          <w:bCs/>
          <w:sz w:val="28"/>
          <w:szCs w:val="28"/>
          <w:lang w:val="en-US" w:eastAsia="zh-CN"/>
        </w:rPr>
        <w:t>199.32</w:t>
      </w:r>
      <w:r>
        <w:rPr>
          <w:rFonts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其他收入44.5万元</w:t>
      </w:r>
      <w:r>
        <w:rPr>
          <w:rFonts w:hint="eastAsia" w:ascii="仿宋_GB2312" w:hAnsi="仿宋_GB2312" w:eastAsia="仿宋_GB2312" w:cs="仿宋_GB2312"/>
          <w:bCs/>
          <w:sz w:val="28"/>
          <w:szCs w:val="28"/>
        </w:rPr>
        <w:t>，政府性基金预算拨款0万元，国有资本经营预算拨款0万元，纳入专户管理的非税收入0万元，上级补助收入0万元，事业单位经营收入0万元。</w:t>
      </w:r>
    </w:p>
    <w:p>
      <w:pPr>
        <w:spacing w:line="560" w:lineRule="exact"/>
        <w:ind w:firstLine="560" w:firstLineChars="200"/>
        <w:rPr>
          <w:rFonts w:hint="default" w:ascii="Times New Roman" w:hAnsi="Times New Roman" w:eastAsia="黑体" w:cs="Times New Roman"/>
          <w:sz w:val="32"/>
          <w:szCs w:val="32"/>
        </w:rPr>
      </w:pPr>
      <w:r>
        <w:rPr>
          <w:rFonts w:hint="eastAsia" w:ascii="仿宋_GB2312" w:hAnsi="仿宋_GB2312" w:eastAsia="仿宋_GB2312" w:cs="仿宋_GB2312"/>
          <w:bCs/>
          <w:sz w:val="28"/>
          <w:szCs w:val="28"/>
        </w:rPr>
        <w:t>2、</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年支出</w:t>
      </w:r>
      <w:r>
        <w:rPr>
          <w:rFonts w:hint="eastAsia" w:ascii="仿宋_GB2312" w:hAnsi="仿宋_GB2312" w:eastAsia="仿宋_GB2312" w:cs="仿宋_GB2312"/>
          <w:bCs/>
          <w:sz w:val="28"/>
          <w:szCs w:val="28"/>
          <w:lang w:val="en-US" w:eastAsia="zh-CN"/>
        </w:rPr>
        <w:t>243.82</w:t>
      </w:r>
      <w:r>
        <w:rPr>
          <w:rFonts w:hint="eastAsia" w:ascii="仿宋_GB2312" w:hAnsi="仿宋_GB2312" w:eastAsia="仿宋_GB2312" w:cs="仿宋_GB2312"/>
          <w:bCs/>
          <w:sz w:val="28"/>
          <w:szCs w:val="28"/>
        </w:rPr>
        <w:t>万元，其中，一般公共服务</w:t>
      </w:r>
      <w:r>
        <w:rPr>
          <w:rFonts w:hint="eastAsia" w:ascii="仿宋_GB2312" w:hAnsi="仿宋_GB2312" w:eastAsia="仿宋_GB2312" w:cs="仿宋_GB2312"/>
          <w:bCs/>
          <w:sz w:val="28"/>
          <w:szCs w:val="28"/>
          <w:lang w:val="en-US" w:eastAsia="zh-CN"/>
        </w:rPr>
        <w:t>支出0</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val="en-US" w:eastAsia="zh-CN"/>
        </w:rPr>
        <w:t>文化旅游体育与传媒支出243.82万元，社会保障和就业支出0万元，其他支出0.01万元，结余0万元。</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根据</w:t>
      </w:r>
      <w:r>
        <w:rPr>
          <w:rFonts w:hint="eastAsia" w:ascii="仿宋_GB2312" w:hAnsi="仿宋_GB2312" w:eastAsia="仿宋_GB2312" w:cs="仿宋_GB2312"/>
          <w:bCs/>
          <w:sz w:val="28"/>
          <w:szCs w:val="28"/>
          <w:lang w:eastAsia="zh-CN"/>
        </w:rPr>
        <w:t>2022</w:t>
      </w:r>
      <w:r>
        <w:rPr>
          <w:rFonts w:hint="eastAsia" w:ascii="仿宋_GB2312" w:hAnsi="仿宋_GB2312" w:eastAsia="仿宋_GB2312" w:cs="仿宋_GB2312"/>
          <w:bCs/>
          <w:sz w:val="28"/>
          <w:szCs w:val="28"/>
        </w:rPr>
        <w:t>年市本级部门预算批复</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highlight w:val="none"/>
          <w:lang w:val="en-US" w:eastAsia="zh-CN"/>
        </w:rPr>
        <w:t>基本支出198.77万元，</w:t>
      </w:r>
      <w:r>
        <w:rPr>
          <w:rFonts w:hint="eastAsia" w:ascii="仿宋_GB2312" w:hAnsi="仿宋_GB2312" w:eastAsia="仿宋_GB2312" w:cs="仿宋_GB2312"/>
          <w:bCs/>
          <w:sz w:val="28"/>
          <w:szCs w:val="28"/>
        </w:rPr>
        <w:t>基本支出是为保障单位机构正常运转、完成日常工作任务而发生的各项支出，包括用于基本工资、津贴补贴等人员经费以及办公费、印刷费、水电费、差旅费等日常公用经费。</w:t>
      </w:r>
    </w:p>
    <w:p>
      <w:pPr>
        <w:numPr>
          <w:ilvl w:val="0"/>
          <w:numId w:val="2"/>
        </w:numPr>
        <w:spacing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项目</w:t>
      </w:r>
      <w:r>
        <w:rPr>
          <w:rFonts w:hint="eastAsia" w:ascii="仿宋_GB2312" w:hAnsi="仿宋_GB2312" w:eastAsia="仿宋_GB2312" w:cs="仿宋_GB2312"/>
          <w:bCs/>
          <w:sz w:val="28"/>
          <w:szCs w:val="28"/>
          <w:highlight w:val="none"/>
        </w:rPr>
        <w:t>支出</w:t>
      </w:r>
    </w:p>
    <w:p>
      <w:pPr>
        <w:spacing w:line="560" w:lineRule="exact"/>
        <w:ind w:firstLine="560" w:firstLineChars="200"/>
        <w:rPr>
          <w:rFonts w:hint="default"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eastAsia="zh-CN"/>
        </w:rPr>
        <w:t>2022</w:t>
      </w:r>
      <w:r>
        <w:rPr>
          <w:rFonts w:hint="eastAsia" w:ascii="仿宋_GB2312" w:hAnsi="仿宋_GB2312" w:eastAsia="仿宋_GB2312" w:cs="仿宋_GB2312"/>
          <w:bCs/>
          <w:sz w:val="28"/>
          <w:szCs w:val="28"/>
          <w:highlight w:val="none"/>
        </w:rPr>
        <w:t>年项目</w:t>
      </w:r>
      <w:r>
        <w:rPr>
          <w:rFonts w:hint="eastAsia" w:ascii="仿宋_GB2312" w:hAnsi="仿宋_GB2312" w:eastAsia="仿宋_GB2312" w:cs="仿宋_GB2312"/>
          <w:bCs/>
          <w:sz w:val="28"/>
          <w:szCs w:val="28"/>
          <w:highlight w:val="none"/>
          <w:lang w:eastAsia="zh-CN"/>
        </w:rPr>
        <w:t>支出</w:t>
      </w:r>
      <w:r>
        <w:rPr>
          <w:rFonts w:hint="eastAsia" w:ascii="仿宋_GB2312" w:hAnsi="仿宋_GB2312" w:eastAsia="仿宋_GB2312" w:cs="仿宋_GB2312"/>
          <w:bCs/>
          <w:sz w:val="28"/>
          <w:szCs w:val="28"/>
          <w:highlight w:val="none"/>
          <w:lang w:val="en-US" w:eastAsia="zh-CN"/>
        </w:rPr>
        <w:t>45.04万元，</w:t>
      </w:r>
      <w:r>
        <w:rPr>
          <w:rFonts w:hint="eastAsia" w:ascii="仿宋_GB2312" w:hAnsi="仿宋_GB2312" w:eastAsia="仿宋_GB2312" w:cs="仿宋_GB2312"/>
          <w:bCs/>
          <w:sz w:val="28"/>
          <w:szCs w:val="28"/>
          <w:lang w:val="en-US" w:eastAsia="zh-CN"/>
        </w:rPr>
        <w:t>主要用于岳阳市美术、书法、摄影作品展、巡展，馆藏作品研究、流动展厅、公共教育板块活动等费用。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、部门整体支出绩效情况</w:t>
      </w:r>
    </w:p>
    <w:p>
      <w:pPr>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2022年</w:t>
      </w:r>
      <w:r>
        <w:rPr>
          <w:rFonts w:hint="eastAsia" w:ascii="仿宋_GB2312" w:hAnsi="仿宋_GB2312" w:eastAsia="仿宋_GB2312" w:cs="仿宋_GB2312"/>
          <w:bCs/>
          <w:sz w:val="28"/>
          <w:szCs w:val="28"/>
        </w:rPr>
        <w:t>我馆深入贯彻党的</w:t>
      </w:r>
      <w:r>
        <w:rPr>
          <w:rFonts w:hint="eastAsia" w:ascii="仿宋_GB2312" w:hAnsi="仿宋_GB2312" w:eastAsia="仿宋_GB2312" w:cs="仿宋_GB2312"/>
          <w:bCs/>
          <w:sz w:val="28"/>
          <w:szCs w:val="28"/>
          <w:lang w:val="en-US" w:eastAsia="zh-CN"/>
        </w:rPr>
        <w:t>方针政策</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逐步扩大美术馆在行业的影响力，获得“全国百佳公共文化空间奖”和文化和旅游部“优秀公共教育获奖提名”，全国仅有10家，湖南省尚属首次，在美术馆业内形成了良好的反响。</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一是规范党建</w:t>
      </w:r>
      <w:r>
        <w:rPr>
          <w:rFonts w:hint="eastAsia" w:ascii="仿宋" w:hAnsi="仿宋" w:eastAsia="仿宋" w:cs="仿宋"/>
          <w:i w:val="0"/>
          <w:iCs w:val="0"/>
          <w:caps w:val="0"/>
          <w:color w:val="222222"/>
          <w:spacing w:val="8"/>
          <w:sz w:val="32"/>
          <w:szCs w:val="32"/>
          <w:shd w:val="clear" w:color="auto" w:fill="FFFFFF"/>
          <w:lang w:val="en-US" w:eastAsia="zh-CN"/>
        </w:rPr>
        <w:t>学习</w:t>
      </w:r>
      <w:r>
        <w:rPr>
          <w:rFonts w:hint="eastAsia" w:ascii="仿宋_GB2312" w:hAnsi="仿宋_GB2312" w:eastAsia="仿宋_GB2312" w:cs="仿宋_GB2312"/>
          <w:bCs/>
          <w:sz w:val="28"/>
          <w:szCs w:val="28"/>
          <w:lang w:val="en-US" w:eastAsia="zh-CN"/>
        </w:rPr>
        <w:t>，加强廉政建设。以学习为重点加强思想建设，以落实各项制度为抓手加强党风廉政建设，今年我馆正式成立党支部，党建逐步走向规范化。组织党员干部深入开展党的二十大精神学习、主题教育和讨论活动，观看教育影片、微党课等，集中学习会16次，把全体党员干部的思想统一到党的二十大精神上来，为全面落实各项中心工作提供思想保障，认真贯彻落实中央八项规定、省委九项规定、市委十项规定精神，切实加强党风廉政建设，加强氛围宣传、LED屏播放主题标语，推送专题《绘画作品中的清廉题材》，加强法制建设和学习。万琴在第二届岳阳市“诗与远方·与法同行”演讲比赛中荣获三等奖。谈汩在“礼赞党的二十大，再创文旅新辉煌”微党课竞赛荣获优胜奖。</w:t>
      </w:r>
    </w:p>
    <w:p>
      <w:pPr>
        <w:keepNext w:val="0"/>
        <w:keepLines w:val="0"/>
        <w:pageBreakBefore w:val="0"/>
        <w:kinsoku/>
        <w:wordWrap/>
        <w:overflowPunct/>
        <w:topLinePunct w:val="0"/>
        <w:autoSpaceDE/>
        <w:autoSpaceDN/>
        <w:bidi w:val="0"/>
        <w:adjustRightInd/>
        <w:snapToGrid/>
        <w:spacing w:line="64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二是把握时代脉搏，紧扣地域文化展览。策划部2022年的策展理念以“把握时代脉搏，紧扣地域文化”为主题，由此开展了一系列的展览策划活动。岳阳具有深厚的湖湘文化历史底蕴，随着时代的发展，如何有效地深耕洞庭湖元素，一直以来都是我们思考的主题，把地域性与当代性有效结合，我们的展览才能更好地呈现湖湘地域文明的独特性和时代性。我们策划举办了 2022“镜与境” 岳阳市美术馆摄影作品提名展，用摄影的手法展现生态环境。以洞庭元素、湖湘文化通过当代性的有效转换，形成了极强的展览效应和学术价值。举办“绿色洞庭”首届岳阳市美术馆少儿双年展通过孩子的视角，以“人文岳阳”、“绿水青山”、“人生百态”、“自由畅想”、“无限空间”5个版块呈现，两个月的展览时长，3000多个孩子的参与，吸引10余万人走进美术馆参观打卡，创造了我馆开馆以来单个展览参观人数最多的观展记录。此次展览将展览的美育功能立体化，开展了近30场导览、亲子美育、馆校联动、征文征稿及线上交流活动，将美术馆的影响力辐射到社会、家庭和学校，已成为湖南省三大少儿美术展览品牌之一。</w:t>
      </w:r>
    </w:p>
    <w:p>
      <w:pPr>
        <w:keepNext w:val="0"/>
        <w:keepLines w:val="0"/>
        <w:pageBreakBefore w:val="0"/>
        <w:kinsoku/>
        <w:wordWrap/>
        <w:overflowPunct/>
        <w:topLinePunct w:val="0"/>
        <w:autoSpaceDE/>
        <w:autoSpaceDN/>
        <w:bidi w:val="0"/>
        <w:adjustRightInd/>
        <w:snapToGrid/>
        <w:spacing w:line="640" w:lineRule="exact"/>
        <w:ind w:firstLine="560" w:firstLineChars="200"/>
        <w:textAlignment w:val="auto"/>
        <w:rPr>
          <w:rFonts w:hint="eastAsia" w:ascii="仿宋_GB2312" w:hAnsi="仿宋_GB2312" w:eastAsia="仿宋_GB2312" w:cs="仿宋_GB2312"/>
          <w:bCs/>
          <w:sz w:val="28"/>
          <w:szCs w:val="28"/>
          <w:lang w:val="en-US" w:eastAsia="zh-Hans"/>
        </w:rPr>
      </w:pPr>
      <w:r>
        <w:rPr>
          <w:rFonts w:hint="eastAsia" w:ascii="仿宋_GB2312" w:hAnsi="仿宋_GB2312" w:eastAsia="仿宋_GB2312" w:cs="仿宋_GB2312"/>
          <w:bCs/>
          <w:sz w:val="28"/>
          <w:szCs w:val="28"/>
          <w:lang w:val="en-US" w:eastAsia="zh-CN"/>
        </w:rPr>
        <w:t xml:space="preserve"> 三是搭建美育平台，分享美育套餐。一年来，公共教育部一直积极挖掘本土人文资源，邀请艺术家和艺术爱好者进行经验分享和学术交流，让更多的市民走进美术馆，获得了广泛的社会赞誉。在常规导览活动正常开展的同时，今年公教部新开展了</w:t>
      </w:r>
      <w:r>
        <w:rPr>
          <w:rFonts w:hint="eastAsia" w:ascii="仿宋_GB2312" w:hAnsi="仿宋_GB2312" w:eastAsia="仿宋_GB2312" w:cs="仿宋_GB2312"/>
          <w:bCs/>
          <w:sz w:val="28"/>
          <w:szCs w:val="28"/>
          <w:lang w:val="en-US" w:eastAsia="zh-Hans"/>
        </w:rPr>
        <w:t>小小志愿者讲解活动</w:t>
      </w:r>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lang w:val="en-US" w:eastAsia="zh-Hans"/>
        </w:rPr>
        <w:t>小</w:t>
      </w:r>
      <w:r>
        <w:rPr>
          <w:rFonts w:hint="eastAsia" w:ascii="仿宋_GB2312" w:hAnsi="仿宋_GB2312" w:eastAsia="仿宋_GB2312" w:cs="仿宋_GB2312"/>
          <w:bCs/>
          <w:sz w:val="28"/>
          <w:szCs w:val="28"/>
          <w:lang w:val="en-US" w:eastAsia="zh-CN"/>
        </w:rPr>
        <w:t>讲解员们</w:t>
      </w:r>
      <w:r>
        <w:rPr>
          <w:rFonts w:hint="eastAsia" w:ascii="仿宋_GB2312" w:hAnsi="仿宋_GB2312" w:eastAsia="仿宋_GB2312" w:cs="仿宋_GB2312"/>
          <w:bCs/>
          <w:sz w:val="28"/>
          <w:szCs w:val="28"/>
          <w:lang w:val="en-US" w:eastAsia="zh-Hans"/>
        </w:rPr>
        <w:t>从自己独特的视角尝试解读展览作品，他们的讲解不怯场，能从细节出发，运用逻辑思维和丰富的想象力将自己的理解分享给了大家，赢得了家长和小朋友的点赞。</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四是馆校合作双赢，暖心志愿服务。我馆志愿者团队</w:t>
      </w:r>
      <w:r>
        <w:rPr>
          <w:rFonts w:hint="eastAsia" w:ascii="仿宋_GB2312" w:hAnsi="仿宋_GB2312" w:eastAsia="仿宋_GB2312" w:cs="仿宋_GB2312"/>
          <w:bCs/>
          <w:sz w:val="28"/>
          <w:szCs w:val="28"/>
          <w:lang w:val="en-US" w:eastAsia="zh-Hans"/>
        </w:rPr>
        <w:t>在2021年已有153人的基础上，</w:t>
      </w:r>
      <w:r>
        <w:rPr>
          <w:rFonts w:hint="eastAsia" w:ascii="仿宋_GB2312" w:hAnsi="仿宋_GB2312" w:eastAsia="仿宋_GB2312" w:cs="仿宋_GB2312"/>
          <w:bCs/>
          <w:sz w:val="28"/>
          <w:szCs w:val="28"/>
          <w:lang w:val="en-US" w:eastAsia="zh-CN"/>
        </w:rPr>
        <w:t>新</w:t>
      </w:r>
      <w:r>
        <w:rPr>
          <w:rFonts w:hint="eastAsia" w:ascii="仿宋_GB2312" w:hAnsi="仿宋_GB2312" w:eastAsia="仿宋_GB2312" w:cs="仿宋_GB2312"/>
          <w:bCs/>
          <w:sz w:val="28"/>
          <w:szCs w:val="28"/>
          <w:lang w:val="en-US" w:eastAsia="zh-Hans"/>
        </w:rPr>
        <w:t>发展了</w:t>
      </w:r>
      <w:r>
        <w:rPr>
          <w:rFonts w:hint="eastAsia" w:ascii="仿宋_GB2312" w:hAnsi="仿宋_GB2312" w:eastAsia="仿宋_GB2312" w:cs="仿宋_GB2312"/>
          <w:bCs/>
          <w:sz w:val="28"/>
          <w:szCs w:val="28"/>
          <w:lang w:val="en-US" w:eastAsia="zh-CN"/>
        </w:rPr>
        <w:t>180</w:t>
      </w:r>
      <w:r>
        <w:rPr>
          <w:rFonts w:hint="eastAsia" w:ascii="仿宋_GB2312" w:hAnsi="仿宋_GB2312" w:eastAsia="仿宋_GB2312" w:cs="仿宋_GB2312"/>
          <w:bCs/>
          <w:sz w:val="28"/>
          <w:szCs w:val="28"/>
          <w:lang w:val="en-US" w:eastAsia="zh-Hans"/>
        </w:rPr>
        <w:t>人，现有</w:t>
      </w:r>
      <w:r>
        <w:rPr>
          <w:rFonts w:hint="eastAsia" w:ascii="仿宋_GB2312" w:hAnsi="仿宋_GB2312" w:eastAsia="仿宋_GB2312" w:cs="仿宋_GB2312"/>
          <w:bCs/>
          <w:sz w:val="28"/>
          <w:szCs w:val="28"/>
          <w:lang w:val="en-US" w:eastAsia="zh-CN"/>
        </w:rPr>
        <w:t>志愿者330</w:t>
      </w:r>
      <w:r>
        <w:rPr>
          <w:rFonts w:hint="eastAsia" w:ascii="仿宋_GB2312" w:hAnsi="仿宋_GB2312" w:eastAsia="仿宋_GB2312" w:cs="仿宋_GB2312"/>
          <w:bCs/>
          <w:sz w:val="28"/>
          <w:szCs w:val="28"/>
          <w:lang w:val="en-US" w:eastAsia="zh-Hans"/>
        </w:rPr>
        <w:t>余</w:t>
      </w:r>
      <w:r>
        <w:rPr>
          <w:rFonts w:hint="eastAsia" w:ascii="仿宋_GB2312" w:hAnsi="仿宋_GB2312" w:eastAsia="仿宋_GB2312" w:cs="仿宋_GB2312"/>
          <w:bCs/>
          <w:sz w:val="28"/>
          <w:szCs w:val="28"/>
          <w:lang w:val="en-US" w:eastAsia="zh-CN"/>
        </w:rPr>
        <w:t>人，其中以</w:t>
      </w:r>
      <w:r>
        <w:rPr>
          <w:rFonts w:hint="eastAsia" w:ascii="仿宋_GB2312" w:hAnsi="仿宋_GB2312" w:eastAsia="仿宋_GB2312" w:cs="仿宋_GB2312"/>
          <w:bCs/>
          <w:sz w:val="28"/>
          <w:szCs w:val="28"/>
          <w:lang w:val="en-US" w:eastAsia="zh-Hans"/>
        </w:rPr>
        <w:t>湖南理工学院、湖南民族职业学院、湖南石油化工职业技术学院、岳阳职业技术学院等高校的</w:t>
      </w:r>
      <w:r>
        <w:rPr>
          <w:rFonts w:hint="eastAsia" w:ascii="仿宋_GB2312" w:hAnsi="仿宋_GB2312" w:eastAsia="仿宋_GB2312" w:cs="仿宋_GB2312"/>
          <w:bCs/>
          <w:sz w:val="28"/>
          <w:szCs w:val="28"/>
          <w:lang w:val="en-US" w:eastAsia="zh-CN"/>
        </w:rPr>
        <w:t>大学生为主，兼有中学生和社会各行业的从业人员。 志愿者团队在美术馆的日常工作和公共教育活动中起到了很大的积极作用，他们的工作内容包括：前台接待、展厅秩序维护、</w:t>
      </w:r>
      <w:r>
        <w:rPr>
          <w:rFonts w:hint="eastAsia" w:ascii="仿宋_GB2312" w:hAnsi="仿宋_GB2312" w:eastAsia="仿宋_GB2312" w:cs="仿宋_GB2312"/>
          <w:bCs/>
          <w:sz w:val="28"/>
          <w:szCs w:val="28"/>
          <w:lang w:val="en-US" w:eastAsia="zh-Hans"/>
        </w:rPr>
        <w:t>展览作品收件协助、</w:t>
      </w:r>
      <w:r>
        <w:rPr>
          <w:rFonts w:hint="eastAsia" w:ascii="仿宋_GB2312" w:hAnsi="仿宋_GB2312" w:eastAsia="仿宋_GB2312" w:cs="仿宋_GB2312"/>
          <w:bCs/>
          <w:sz w:val="28"/>
          <w:szCs w:val="28"/>
          <w:lang w:val="en-US" w:eastAsia="zh-CN"/>
        </w:rPr>
        <w:t>导览讲解、公教活动助教等。</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lang w:val="en-US" w:eastAsia="zh-Hans"/>
        </w:rPr>
      </w:pPr>
      <w:r>
        <w:rPr>
          <w:rFonts w:hint="eastAsia" w:ascii="仿宋_GB2312" w:hAnsi="仿宋_GB2312" w:eastAsia="仿宋_GB2312" w:cs="仿宋_GB2312"/>
          <w:bCs/>
          <w:sz w:val="28"/>
          <w:szCs w:val="28"/>
          <w:lang w:val="en-US" w:eastAsia="zh-CN"/>
        </w:rPr>
        <w:t>五是由省委宣传部指导、省文联联合会主办的“大美潇湘”大型系列山水画展在湖南美术馆开幕，由艺术家刘云、戴剑、王翔、张雯、陈稳、黄龙历时两个月合作完成的18米《天下洞庭》山水画长卷亮相，作品以洞庭为主线向周边扩散，展现了岳阳洞庭雄伟壮阔，生机盎然的时代盛状。我馆标识设计荣获第十九届“中南星奖”设计艺术大赛专业组等级奖——银奖。</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我馆的基本职能中有一项工作是美术馆工作的核心和灵魂——典藏研究。一座城市的美的记忆主要由艺术品以及艺术馆来承载，世界上主要的发达国家和我国中心城市和沿海发达城市美术馆事业蓬勃发展，“典藏研究”在这些城市普遍受到重视，他们的美术馆小心翼翼地收藏保护着每个时代的经典艺术品，这个城市因此有了“灵魂”。环顾我们周边，长沙、湘潭、常德、衡阳、株洲美术馆每年的收藏经费最低都有120万元，湖南美术馆收藏经费达到了800万元，而岳阳市美术馆收藏经费为零。新馆地下藏品库因设计施工技术因素无法实现防潮恒温，完全不能使用；暂存在老馆的藏品需要搬运到新馆来，拟将二楼周转仓库如改为藏品库，但需要重新改造，要解决太阳暴晒、防潮除湿、门禁防盗三项基础设施，需要专项资金。</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如以上问题不能得到有效解决，将成为岳阳市美术馆评省重点美术馆和国家重点美术馆的硬伤和瓶颈。因此，我们的工作存在重大不足，还需要多方呼吁和努力，争取打开新局面，更上一层楼！</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lang w:val="en-US" w:eastAsia="zh-CN"/>
        </w:rPr>
      </w:pPr>
      <w:r>
        <w:rPr>
          <w:rFonts w:hint="eastAsia" w:ascii="仿宋_GB2312" w:hAnsi="仿宋_GB2312" w:eastAsia="仿宋_GB2312" w:cs="仿宋_GB2312"/>
          <w:bCs/>
          <w:sz w:val="28"/>
          <w:szCs w:val="28"/>
          <w:lang w:val="en-US" w:eastAsia="zh-CN"/>
        </w:rPr>
        <w:t>进一步加强我馆内部机构各科室的预算管理意识，严格按照预算编制的相关制度和要求，公用经费根据单位的年度工作重点和项目专项工作规划，本着“勤俭节约、保障运转”的原则进行预算的编制；编制范围尽可能的全面，不漏项；在预算编制时首先需满足固定性的、相对刚性的费用支出项目，尽量压缩变动性的、有控制空间的费用项目；杜绝预算编制粗放、拍脑袋现象的发生，进一步提高预算编制的科学性、合理性、严谨性和可控性。</w:t>
      </w:r>
      <w:bookmarkStart w:id="0" w:name="_GoBack"/>
      <w:bookmarkEnd w:id="0"/>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部门整体支出绩效自评结果拟应用和公开情况</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lang w:val="en-US" w:eastAsia="zh-CN" w:bidi="ar-SA"/>
        </w:rPr>
        <w:t>2022年我馆整体支出绩效自评结果得分98分，拟定7月中下旬在本部门、单位的门户网站公开，接受社会监督。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B32E2"/>
    <w:multiLevelType w:val="singleLevel"/>
    <w:tmpl w:val="8F0B32E2"/>
    <w:lvl w:ilvl="0" w:tentative="0">
      <w:start w:val="1"/>
      <w:numFmt w:val="chineseCounting"/>
      <w:suff w:val="nothing"/>
      <w:lvlText w:val="%1、"/>
      <w:lvlJc w:val="left"/>
      <w:rPr>
        <w:rFonts w:hint="eastAsia"/>
      </w:rPr>
    </w:lvl>
  </w:abstractNum>
  <w:abstractNum w:abstractNumId="1">
    <w:nsid w:val="97BE699C"/>
    <w:multiLevelType w:val="singleLevel"/>
    <w:tmpl w:val="97BE699C"/>
    <w:lvl w:ilvl="0" w:tentative="0">
      <w:start w:val="8"/>
      <w:numFmt w:val="chineseCounting"/>
      <w:suff w:val="nothing"/>
      <w:lvlText w:val="%1、"/>
      <w:lvlJc w:val="left"/>
      <w:rPr>
        <w:rFonts w:hint="eastAsia"/>
      </w:rPr>
    </w:lvl>
  </w:abstractNum>
  <w:abstractNum w:abstractNumId="2">
    <w:nsid w:val="58EEF73E"/>
    <w:multiLevelType w:val="singleLevel"/>
    <w:tmpl w:val="58EEF73E"/>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OTA1MWE0OGE2NmRiY2UxNzAxMjhhM2JjZjZiOGEifQ=="/>
  </w:docVars>
  <w:rsids>
    <w:rsidRoot w:val="264F78B3"/>
    <w:rsid w:val="264F7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28"/>
      <w:szCs w:val="24"/>
      <w:lang w:val="en-US" w:eastAsia="zh-CN" w:bidi="ar-SA"/>
    </w:rPr>
  </w:style>
  <w:style w:type="paragraph" w:styleId="3">
    <w:name w:val="toc 5"/>
    <w:basedOn w:val="1"/>
    <w:next w:val="1"/>
    <w:qFormat/>
    <w:uiPriority w:val="0"/>
    <w:pPr>
      <w:ind w:left="1680" w:leftChars="800"/>
    </w:p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2023-07-14T06:08:00Z</dcterms:created>
  <dc:creator>芬 芬  </dc:creator>
  <cp:lastModifiedBy>芬 芬  </cp:lastModifiedBy>
  <dcterms:modified xsi:type="dcterms:W3CDTF">2023-07-14T06:09:40Z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39D563C1AB274F8497E10254AE501C0E_11</vt:lpwstr>
  </property>
</Properties>
</file>