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C8DA5">
      <w:pPr>
        <w:pStyle w:val="6"/>
        <w:jc w:val="center"/>
        <w:rPr>
          <w:rFonts w:hint="eastAsia" w:eastAsia="黑体"/>
          <w:sz w:val="56"/>
          <w:szCs w:val="56"/>
          <w:lang w:val="en-US" w:eastAsia="zh-CN"/>
        </w:rPr>
      </w:pPr>
    </w:p>
    <w:p w14:paraId="1A38D747">
      <w:pPr>
        <w:pStyle w:val="6"/>
        <w:jc w:val="center"/>
        <w:rPr>
          <w:sz w:val="56"/>
          <w:szCs w:val="56"/>
        </w:rPr>
      </w:pPr>
    </w:p>
    <w:p w14:paraId="2816E3BF">
      <w:pPr>
        <w:pStyle w:val="6"/>
        <w:jc w:val="center"/>
        <w:rPr>
          <w:sz w:val="84"/>
          <w:szCs w:val="84"/>
        </w:rPr>
      </w:pPr>
    </w:p>
    <w:p w14:paraId="4FD67494">
      <w:pPr>
        <w:pStyle w:val="6"/>
        <w:jc w:val="center"/>
        <w:rPr>
          <w:sz w:val="84"/>
          <w:szCs w:val="84"/>
        </w:rPr>
      </w:pPr>
    </w:p>
    <w:p w14:paraId="5D8BA7D4">
      <w:pPr>
        <w:pStyle w:val="6"/>
        <w:jc w:val="center"/>
        <w:rPr>
          <w:sz w:val="84"/>
          <w:szCs w:val="84"/>
        </w:rPr>
      </w:pPr>
      <w:r>
        <w:rPr>
          <w:rFonts w:hint="eastAsia"/>
          <w:sz w:val="84"/>
          <w:szCs w:val="84"/>
        </w:rPr>
        <w:t>202</w:t>
      </w:r>
      <w:r>
        <w:rPr>
          <w:rFonts w:hint="eastAsia"/>
          <w:sz w:val="84"/>
          <w:szCs w:val="84"/>
          <w:lang w:val="en-US" w:eastAsia="zh-CN"/>
        </w:rPr>
        <w:t>2</w:t>
      </w:r>
      <w:r>
        <w:rPr>
          <w:rFonts w:hint="eastAsia"/>
          <w:sz w:val="84"/>
          <w:szCs w:val="84"/>
        </w:rPr>
        <w:t>年度</w:t>
      </w:r>
    </w:p>
    <w:p w14:paraId="744BA72A">
      <w:pPr>
        <w:pStyle w:val="6"/>
        <w:jc w:val="center"/>
        <w:rPr>
          <w:rFonts w:hint="eastAsia"/>
          <w:sz w:val="84"/>
          <w:szCs w:val="84"/>
          <w:lang w:eastAsia="zh-CN"/>
        </w:rPr>
      </w:pPr>
      <w:r>
        <w:rPr>
          <w:rFonts w:hint="eastAsia"/>
          <w:sz w:val="84"/>
          <w:szCs w:val="84"/>
          <w:lang w:eastAsia="zh-CN"/>
        </w:rPr>
        <w:t>岳阳市巴陵戏传承研究院</w:t>
      </w:r>
    </w:p>
    <w:p w14:paraId="14B6B99A">
      <w:pPr>
        <w:pStyle w:val="6"/>
        <w:jc w:val="center"/>
        <w:rPr>
          <w:sz w:val="84"/>
          <w:szCs w:val="84"/>
        </w:rPr>
      </w:pPr>
      <w:r>
        <w:rPr>
          <w:rFonts w:hint="eastAsia"/>
          <w:sz w:val="84"/>
          <w:szCs w:val="84"/>
        </w:rPr>
        <w:t>部门决算</w:t>
      </w:r>
    </w:p>
    <w:p w14:paraId="1C19642D">
      <w:pPr>
        <w:pStyle w:val="6"/>
        <w:jc w:val="center"/>
        <w:rPr>
          <w:sz w:val="56"/>
          <w:szCs w:val="56"/>
        </w:rPr>
      </w:pPr>
    </w:p>
    <w:p w14:paraId="120A5D5F">
      <w:pPr>
        <w:pStyle w:val="6"/>
        <w:jc w:val="center"/>
        <w:rPr>
          <w:sz w:val="56"/>
          <w:szCs w:val="56"/>
        </w:rPr>
      </w:pPr>
    </w:p>
    <w:p w14:paraId="004CB054">
      <w:pPr>
        <w:pStyle w:val="6"/>
        <w:jc w:val="center"/>
        <w:rPr>
          <w:sz w:val="56"/>
          <w:szCs w:val="56"/>
        </w:rPr>
      </w:pPr>
    </w:p>
    <w:p w14:paraId="254B4A2E">
      <w:pPr>
        <w:pStyle w:val="6"/>
        <w:jc w:val="center"/>
        <w:rPr>
          <w:sz w:val="56"/>
          <w:szCs w:val="56"/>
        </w:rPr>
      </w:pPr>
    </w:p>
    <w:p w14:paraId="0FF88426">
      <w:pPr>
        <w:pStyle w:val="6"/>
        <w:jc w:val="center"/>
        <w:rPr>
          <w:sz w:val="32"/>
          <w:szCs w:val="32"/>
        </w:rPr>
      </w:pPr>
    </w:p>
    <w:p w14:paraId="5C5CF849">
      <w:pPr>
        <w:pStyle w:val="6"/>
        <w:jc w:val="center"/>
        <w:rPr>
          <w:sz w:val="32"/>
          <w:szCs w:val="32"/>
        </w:rPr>
      </w:pPr>
    </w:p>
    <w:p w14:paraId="193D8EC4">
      <w:pPr>
        <w:pStyle w:val="6"/>
        <w:jc w:val="center"/>
        <w:rPr>
          <w:sz w:val="32"/>
          <w:szCs w:val="32"/>
        </w:rPr>
      </w:pPr>
    </w:p>
    <w:p w14:paraId="3F593F13">
      <w:pPr>
        <w:pStyle w:val="6"/>
        <w:jc w:val="center"/>
        <w:rPr>
          <w:sz w:val="32"/>
          <w:szCs w:val="32"/>
        </w:rPr>
      </w:pPr>
    </w:p>
    <w:p w14:paraId="6E5066E1">
      <w:pPr>
        <w:pStyle w:val="6"/>
        <w:jc w:val="center"/>
        <w:rPr>
          <w:sz w:val="32"/>
          <w:szCs w:val="32"/>
        </w:rPr>
      </w:pPr>
    </w:p>
    <w:p w14:paraId="5D4D4BDB">
      <w:pPr>
        <w:pStyle w:val="6"/>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14:paraId="67847D56">
      <w:pPr>
        <w:pStyle w:val="6"/>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岳阳市巴陵戏传承研究院</w:t>
      </w:r>
      <w:r>
        <w:rPr>
          <w:rFonts w:hint="eastAsia"/>
          <w:b/>
          <w:sz w:val="28"/>
          <w:szCs w:val="28"/>
        </w:rPr>
        <w:t>单位概况</w:t>
      </w:r>
    </w:p>
    <w:p w14:paraId="51A91881">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6250BC19">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lang w:val="en-US"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lang w:eastAsia="zh-CN"/>
        </w:rPr>
        <w:t>及决算单位构成</w:t>
      </w:r>
    </w:p>
    <w:p w14:paraId="5BD0E0A8">
      <w:pPr>
        <w:pStyle w:val="6"/>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int="eastAsia" w:hAnsi="仿宋_GB2312"/>
          <w:b/>
          <w:sz w:val="28"/>
          <w:szCs w:val="28"/>
        </w:rPr>
        <w:t>部门决算表</w:t>
      </w:r>
    </w:p>
    <w:p w14:paraId="764C9698">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788367D4">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33E63F4A">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58FB502">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78DB2D8C">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7B0B1E0">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3A49B85F">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七</w:t>
      </w:r>
      <w:r>
        <w:rPr>
          <w:rFonts w:cs="仿宋_GB2312" w:asciiTheme="minorEastAsia" w:hAnsiTheme="minorEastAsia" w:eastAsiaTheme="minorEastAsia"/>
          <w:sz w:val="28"/>
          <w:szCs w:val="28"/>
        </w:rPr>
        <w:t>、政府性基金预算财政拨款收入支出决算表</w:t>
      </w:r>
    </w:p>
    <w:p w14:paraId="146929DB">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八</w:t>
      </w:r>
      <w:r>
        <w:rPr>
          <w:rFonts w:hint="eastAsia" w:cs="仿宋_GB2312" w:asciiTheme="minorEastAsia" w:hAnsiTheme="minorEastAsia" w:eastAsiaTheme="minorEastAsia"/>
          <w:sz w:val="28"/>
          <w:szCs w:val="28"/>
        </w:rPr>
        <w:t>、国有资本经营预算财政拨款支出决算表</w:t>
      </w:r>
    </w:p>
    <w:p w14:paraId="3A8AFCEC">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九</w:t>
      </w:r>
      <w:r>
        <w:rPr>
          <w:rFonts w:cs="仿宋_GB2312" w:asciiTheme="minorEastAsia" w:hAnsiTheme="minorEastAsia" w:eastAsiaTheme="minorEastAsia"/>
          <w:sz w:val="28"/>
          <w:szCs w:val="28"/>
        </w:rPr>
        <w:t>、财政拨款“三公”经费支出决算表</w:t>
      </w:r>
    </w:p>
    <w:p w14:paraId="01F59FFB">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p>
    <w:p w14:paraId="167294E7">
      <w:pPr>
        <w:pStyle w:val="6"/>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int="eastAsia" w:hAnsi="仿宋_GB2312"/>
          <w:b/>
          <w:sz w:val="28"/>
          <w:szCs w:val="28"/>
        </w:rPr>
        <w:t>部门决算情况说明</w:t>
      </w:r>
    </w:p>
    <w:p w14:paraId="6942AB00">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073E3E06">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14:paraId="7E5F40C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4FDBE3B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720F8E8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A12FAA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54EBFF1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rPr>
      </w:pPr>
      <w:r>
        <w:rPr>
          <w:rFonts w:ascii="仿宋_GB2312" w:hAnsi="仿宋_GB2312" w:cs="仿宋_GB2312"/>
          <w:color w:val="000000"/>
          <w:kern w:val="0"/>
          <w:sz w:val="28"/>
          <w:szCs w:val="28"/>
        </w:rPr>
        <w:t>七、</w:t>
      </w:r>
      <w:r>
        <w:rPr>
          <w:rFonts w:hint="eastAsia" w:ascii="仿宋_GB2312" w:hAnsi="仿宋_GB2312" w:cs="仿宋_GB2312"/>
          <w:color w:val="000000"/>
          <w:kern w:val="0"/>
          <w:sz w:val="28"/>
          <w:szCs w:val="28"/>
        </w:rPr>
        <w:t>政府性基金预算收入支出决算情况</w:t>
      </w:r>
    </w:p>
    <w:p w14:paraId="7172488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14:paraId="7CC6CC9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、政拨款</w:t>
      </w:r>
      <w:r>
        <w:rPr>
          <w:rFonts w:hint="eastAsia" w:ascii="仿宋_GB2312" w:hAnsi="仿宋_GB2312" w:cs="仿宋_GB2312"/>
          <w:color w:val="000000"/>
          <w:kern w:val="0"/>
          <w:sz w:val="28"/>
          <w:szCs w:val="28"/>
          <w:lang w:eastAsia="zh-CN"/>
        </w:rPr>
        <w:t>款</w:t>
      </w:r>
      <w:r>
        <w:rPr>
          <w:rFonts w:ascii="仿宋_GB2312" w:hAnsi="仿宋_GB2312" w:cs="仿宋_GB2312"/>
          <w:color w:val="000000"/>
          <w:kern w:val="0"/>
          <w:sz w:val="28"/>
          <w:szCs w:val="28"/>
        </w:rPr>
        <w:t>三公经费支出决算情况说明</w:t>
      </w:r>
    </w:p>
    <w:p w14:paraId="5C33F0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关于</w:t>
      </w:r>
      <w:r>
        <w:rPr>
          <w:rFonts w:hint="eastAsia" w:ascii="仿宋_GB2312" w:hAnsi="仿宋_GB2312" w:cs="仿宋_GB2312"/>
          <w:color w:val="000000"/>
          <w:kern w:val="0"/>
          <w:sz w:val="28"/>
          <w:szCs w:val="28"/>
        </w:rPr>
        <w:t>机关运行经费支出说明</w:t>
      </w:r>
    </w:p>
    <w:p w14:paraId="7568F1A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14:paraId="7986A98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sz w:val="28"/>
          <w:szCs w:val="28"/>
          <w:lang w:eastAsia="zh-CN"/>
        </w:rPr>
        <w:t>关于</w:t>
      </w:r>
      <w:r>
        <w:rPr>
          <w:rFonts w:hint="eastAsia" w:ascii="仿宋_GB2312" w:hAnsi="仿宋_GB2312" w:cs="仿宋_GB2312"/>
          <w:color w:val="000000"/>
          <w:kern w:val="0"/>
          <w:sz w:val="28"/>
          <w:szCs w:val="28"/>
        </w:rPr>
        <w:t>政府采购支出说明</w:t>
      </w:r>
    </w:p>
    <w:p w14:paraId="06201EE4">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ascii="仿宋_GB2312" w:hAnsi="仿宋_GB2312" w:cs="仿宋_GB2312" w:eastAsiaTheme="minorEastAsia"/>
          <w:sz w:val="28"/>
          <w:szCs w:val="28"/>
          <w:lang w:eastAsia="zh-CN"/>
        </w:rPr>
        <w:t>关于</w:t>
      </w:r>
      <w:r>
        <w:rPr>
          <w:rFonts w:hint="eastAsia" w:ascii="仿宋_GB2312" w:hAnsi="仿宋_GB2312" w:cs="仿宋_GB2312" w:eastAsiaTheme="minorEastAsia"/>
          <w:sz w:val="28"/>
          <w:szCs w:val="28"/>
        </w:rPr>
        <w:t>国有资产占用情况说明</w:t>
      </w:r>
    </w:p>
    <w:p w14:paraId="160BD3B4">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十四、关于</w:t>
      </w:r>
      <w:r>
        <w:rPr>
          <w:rFonts w:hint="eastAsia" w:ascii="仿宋_GB2312" w:hAnsi="仿宋_GB2312" w:cs="仿宋_GB2312" w:eastAsiaTheme="minorEastAsia"/>
          <w:sz w:val="28"/>
          <w:szCs w:val="28"/>
        </w:rPr>
        <w:t>预算绩效情况</w:t>
      </w:r>
      <w:r>
        <w:rPr>
          <w:rFonts w:hint="eastAsia" w:ascii="仿宋_GB2312" w:hAnsi="仿宋_GB2312" w:cs="仿宋_GB2312" w:eastAsiaTheme="minorEastAsia"/>
          <w:sz w:val="28"/>
          <w:szCs w:val="28"/>
          <w:lang w:eastAsia="zh-CN"/>
        </w:rPr>
        <w:t>的</w:t>
      </w:r>
      <w:r>
        <w:rPr>
          <w:rFonts w:hint="eastAsia" w:ascii="仿宋_GB2312" w:hAnsi="仿宋_GB2312" w:cs="仿宋_GB2312" w:eastAsiaTheme="minorEastAsia"/>
          <w:sz w:val="28"/>
          <w:szCs w:val="28"/>
        </w:rPr>
        <w:t>说明</w:t>
      </w:r>
    </w:p>
    <w:p w14:paraId="49533922">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14:paraId="0144EEFF">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14:paraId="2721A8CC">
      <w:pPr>
        <w:keepNext w:val="0"/>
        <w:keepLines w:val="0"/>
        <w:pageBreakBefore w:val="0"/>
        <w:widowControl w:val="0"/>
        <w:kinsoku/>
        <w:wordWrap/>
        <w:overflowPunct/>
        <w:topLinePunct w:val="0"/>
        <w:bidi w:val="0"/>
        <w:snapToGrid/>
        <w:spacing w:line="620" w:lineRule="exact"/>
        <w:jc w:val="center"/>
        <w:textAlignment w:val="auto"/>
        <w:rPr>
          <w:sz w:val="72"/>
          <w:szCs w:val="72"/>
        </w:rPr>
      </w:pPr>
    </w:p>
    <w:p w14:paraId="31DC1F42">
      <w:pPr>
        <w:jc w:val="center"/>
        <w:rPr>
          <w:sz w:val="72"/>
          <w:szCs w:val="72"/>
        </w:rPr>
      </w:pPr>
    </w:p>
    <w:p w14:paraId="0EE87F02">
      <w:pPr>
        <w:jc w:val="center"/>
        <w:rPr>
          <w:sz w:val="72"/>
          <w:szCs w:val="72"/>
        </w:rPr>
      </w:pPr>
    </w:p>
    <w:p w14:paraId="20B7070D">
      <w:pPr>
        <w:jc w:val="center"/>
        <w:rPr>
          <w:sz w:val="72"/>
          <w:szCs w:val="72"/>
        </w:rPr>
      </w:pPr>
    </w:p>
    <w:p w14:paraId="4FDEAADA">
      <w:pPr>
        <w:rPr>
          <w:sz w:val="72"/>
          <w:szCs w:val="72"/>
        </w:rPr>
      </w:pPr>
    </w:p>
    <w:p w14:paraId="6752E4F9">
      <w:pPr>
        <w:pStyle w:val="6"/>
        <w:jc w:val="center"/>
        <w:rPr>
          <w:sz w:val="84"/>
          <w:szCs w:val="84"/>
        </w:rPr>
      </w:pPr>
      <w:r>
        <w:rPr>
          <w:rFonts w:hint="eastAsia"/>
          <w:sz w:val="84"/>
          <w:szCs w:val="84"/>
        </w:rPr>
        <w:t>第一部分</w:t>
      </w:r>
      <w:r>
        <w:rPr>
          <w:sz w:val="84"/>
          <w:szCs w:val="84"/>
        </w:rPr>
        <w:t xml:space="preserve"> </w:t>
      </w:r>
    </w:p>
    <w:p w14:paraId="2731DC28">
      <w:pPr>
        <w:pStyle w:val="6"/>
        <w:jc w:val="center"/>
        <w:rPr>
          <w:sz w:val="84"/>
          <w:szCs w:val="84"/>
        </w:rPr>
      </w:pPr>
    </w:p>
    <w:p w14:paraId="310AD269">
      <w:pPr>
        <w:pStyle w:val="6"/>
        <w:jc w:val="center"/>
        <w:rPr>
          <w:rFonts w:hint="eastAsia"/>
          <w:sz w:val="84"/>
          <w:szCs w:val="84"/>
          <w:lang w:eastAsia="zh-CN"/>
        </w:rPr>
      </w:pPr>
      <w:r>
        <w:rPr>
          <w:rFonts w:hint="eastAsia"/>
          <w:sz w:val="84"/>
          <w:szCs w:val="84"/>
          <w:lang w:eastAsia="zh-CN"/>
        </w:rPr>
        <w:t>岳阳市巴陵戏传承研究院</w:t>
      </w:r>
    </w:p>
    <w:p w14:paraId="759D90ED">
      <w:pPr>
        <w:pStyle w:val="6"/>
        <w:jc w:val="center"/>
        <w:rPr>
          <w:sz w:val="84"/>
          <w:szCs w:val="84"/>
        </w:rPr>
      </w:pPr>
      <w:r>
        <w:rPr>
          <w:rFonts w:hint="eastAsia"/>
          <w:sz w:val="84"/>
          <w:szCs w:val="84"/>
        </w:rPr>
        <w:t>单位概况</w:t>
      </w:r>
    </w:p>
    <w:p w14:paraId="6EB6E44A">
      <w:pPr>
        <w:jc w:val="center"/>
        <w:rPr>
          <w:sz w:val="72"/>
          <w:szCs w:val="72"/>
        </w:rPr>
      </w:pPr>
    </w:p>
    <w:p w14:paraId="2F7ED384">
      <w:pPr>
        <w:jc w:val="center"/>
        <w:rPr>
          <w:sz w:val="72"/>
          <w:szCs w:val="72"/>
        </w:rPr>
      </w:pPr>
    </w:p>
    <w:p w14:paraId="5FEC552B">
      <w:pPr>
        <w:jc w:val="center"/>
        <w:rPr>
          <w:sz w:val="72"/>
          <w:szCs w:val="72"/>
        </w:rPr>
      </w:pPr>
    </w:p>
    <w:p w14:paraId="69D37D7F">
      <w:pPr>
        <w:jc w:val="center"/>
        <w:rPr>
          <w:sz w:val="72"/>
          <w:szCs w:val="72"/>
        </w:rPr>
      </w:pPr>
    </w:p>
    <w:p w14:paraId="35DD93EC">
      <w:pPr>
        <w:jc w:val="center"/>
        <w:rPr>
          <w:sz w:val="72"/>
          <w:szCs w:val="72"/>
        </w:rPr>
      </w:pPr>
    </w:p>
    <w:p w14:paraId="5A7BE32F">
      <w:pPr>
        <w:jc w:val="center"/>
        <w:rPr>
          <w:sz w:val="72"/>
          <w:szCs w:val="72"/>
        </w:rPr>
      </w:pPr>
    </w:p>
    <w:p w14:paraId="1D1D1895">
      <w:pPr>
        <w:pStyle w:val="7"/>
        <w:ind w:left="720" w:firstLine="0" w:firstLineChars="0"/>
        <w:jc w:val="left"/>
        <w:rPr>
          <w:rFonts w:ascii="黑体" w:hAnsi="黑体" w:eastAsia="黑体"/>
          <w:sz w:val="32"/>
          <w:szCs w:val="32"/>
        </w:rPr>
      </w:pPr>
    </w:p>
    <w:p w14:paraId="395B780C">
      <w:pPr>
        <w:pStyle w:val="7"/>
        <w:ind w:left="720" w:firstLine="0" w:firstLineChars="0"/>
        <w:jc w:val="left"/>
        <w:rPr>
          <w:rFonts w:ascii="黑体" w:hAnsi="黑体" w:eastAsia="黑体"/>
          <w:sz w:val="32"/>
          <w:szCs w:val="32"/>
        </w:rPr>
      </w:pPr>
    </w:p>
    <w:p w14:paraId="637820FC">
      <w:pPr>
        <w:pStyle w:val="7"/>
        <w:ind w:left="720" w:firstLine="0" w:firstLineChars="0"/>
        <w:jc w:val="left"/>
        <w:rPr>
          <w:rFonts w:ascii="黑体" w:hAnsi="黑体" w:eastAsia="黑体"/>
          <w:sz w:val="32"/>
          <w:szCs w:val="32"/>
        </w:rPr>
      </w:pPr>
    </w:p>
    <w:p w14:paraId="76E8E6CB">
      <w:pPr>
        <w:pStyle w:val="7"/>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7D5A5FFE">
      <w:pPr>
        <w:ind w:firstLine="800" w:firstLineChars="250"/>
        <w:jc w:val="left"/>
        <w:rPr>
          <w:rFonts w:asciiTheme="minorEastAsia" w:hAnsiTheme="minorEastAsia"/>
          <w:sz w:val="32"/>
          <w:szCs w:val="32"/>
        </w:rPr>
      </w:pPr>
      <w:r>
        <w:rPr>
          <w:rFonts w:hint="eastAsia" w:asciiTheme="minorEastAsia" w:hAnsiTheme="minorEastAsia"/>
          <w:sz w:val="32"/>
          <w:szCs w:val="32"/>
        </w:rPr>
        <w:t>（一）宣传党的文艺方针政策。</w:t>
      </w:r>
    </w:p>
    <w:p w14:paraId="00CEF46F">
      <w:pPr>
        <w:ind w:firstLine="800" w:firstLineChars="250"/>
        <w:jc w:val="left"/>
        <w:rPr>
          <w:rFonts w:asciiTheme="minorEastAsia" w:hAnsiTheme="minorEastAsia"/>
          <w:sz w:val="32"/>
          <w:szCs w:val="32"/>
        </w:rPr>
      </w:pPr>
      <w:r>
        <w:rPr>
          <w:rFonts w:hint="eastAsia" w:asciiTheme="minorEastAsia" w:hAnsiTheme="minorEastAsia"/>
          <w:sz w:val="32"/>
          <w:szCs w:val="32"/>
        </w:rPr>
        <w:t>（二）传承和保护国家非遗物质文化遗产</w:t>
      </w:r>
      <w:r>
        <w:rPr>
          <w:rFonts w:asciiTheme="minorEastAsia" w:hAnsiTheme="minorEastAsia"/>
          <w:sz w:val="32"/>
          <w:szCs w:val="32"/>
        </w:rPr>
        <w:t>—</w:t>
      </w:r>
      <w:r>
        <w:rPr>
          <w:rFonts w:hint="eastAsia" w:asciiTheme="minorEastAsia" w:hAnsiTheme="minorEastAsia"/>
          <w:sz w:val="32"/>
          <w:szCs w:val="32"/>
        </w:rPr>
        <w:t>巴陵戏。</w:t>
      </w:r>
    </w:p>
    <w:p w14:paraId="760DBE46">
      <w:pPr>
        <w:ind w:firstLine="800" w:firstLineChars="250"/>
        <w:jc w:val="left"/>
        <w:rPr>
          <w:rFonts w:asciiTheme="minorEastAsia" w:hAnsiTheme="minorEastAsia"/>
          <w:sz w:val="32"/>
          <w:szCs w:val="32"/>
        </w:rPr>
      </w:pPr>
      <w:r>
        <w:rPr>
          <w:rFonts w:hint="eastAsia" w:asciiTheme="minorEastAsia" w:hAnsiTheme="minorEastAsia"/>
          <w:sz w:val="32"/>
          <w:szCs w:val="32"/>
        </w:rPr>
        <w:t>（三）从事各类公益性演出、“文化惠民”、“送戏下乡”活动。</w:t>
      </w:r>
    </w:p>
    <w:p w14:paraId="4E925009">
      <w:pPr>
        <w:ind w:firstLine="800" w:firstLineChars="250"/>
        <w:jc w:val="left"/>
        <w:rPr>
          <w:rFonts w:asciiTheme="minorEastAsia" w:hAnsiTheme="minorEastAsia"/>
          <w:sz w:val="32"/>
          <w:szCs w:val="32"/>
        </w:rPr>
      </w:pPr>
      <w:r>
        <w:rPr>
          <w:rFonts w:hint="eastAsia" w:asciiTheme="minorEastAsia" w:hAnsiTheme="minorEastAsia"/>
          <w:sz w:val="32"/>
          <w:szCs w:val="32"/>
        </w:rPr>
        <w:t>（四）对外开展文化交流活动。</w:t>
      </w:r>
    </w:p>
    <w:p w14:paraId="699CD4E4">
      <w:pPr>
        <w:ind w:firstLine="800" w:firstLineChars="250"/>
        <w:jc w:val="left"/>
        <w:rPr>
          <w:rFonts w:asciiTheme="minorEastAsia" w:hAnsiTheme="minorEastAsia"/>
          <w:sz w:val="32"/>
          <w:szCs w:val="32"/>
        </w:rPr>
      </w:pPr>
      <w:r>
        <w:rPr>
          <w:rFonts w:hint="eastAsia" w:asciiTheme="minorEastAsia" w:hAnsiTheme="minorEastAsia"/>
          <w:sz w:val="32"/>
          <w:szCs w:val="32"/>
        </w:rPr>
        <w:t>（五）负责完成上级部门交办的其他工作。</w:t>
      </w:r>
    </w:p>
    <w:p w14:paraId="3C5A187C">
      <w:pPr>
        <w:jc w:val="left"/>
        <w:rPr>
          <w:rFonts w:ascii="仿宋_GB2312" w:eastAsia="仿宋_GB2312" w:hAnsiTheme="minorEastAsia"/>
          <w:sz w:val="28"/>
          <w:szCs w:val="32"/>
        </w:rPr>
      </w:pPr>
    </w:p>
    <w:p w14:paraId="0B16F35B">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607E3B26">
      <w:pPr>
        <w:ind w:firstLine="800" w:firstLineChars="250"/>
        <w:jc w:val="left"/>
        <w:rPr>
          <w:rFonts w:hint="eastAsia" w:asciiTheme="minorEastAsia" w:hAnsiTheme="minorEastAsia"/>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巴陵戏传承研究院</w:t>
      </w:r>
      <w:r>
        <w:rPr>
          <w:rFonts w:hint="eastAsia" w:asciiTheme="minorEastAsia" w:hAnsiTheme="minorEastAsia"/>
          <w:sz w:val="32"/>
          <w:szCs w:val="32"/>
        </w:rPr>
        <w:t>内设</w:t>
      </w:r>
      <w:r>
        <w:rPr>
          <w:rFonts w:hint="eastAsia" w:asciiTheme="minorEastAsia" w:hAnsiTheme="minorEastAsia"/>
          <w:sz w:val="32"/>
          <w:szCs w:val="32"/>
          <w:lang w:eastAsia="zh-CN"/>
        </w:rPr>
        <w:t>机构包括</w:t>
      </w:r>
      <w:r>
        <w:rPr>
          <w:rFonts w:hint="eastAsia" w:asciiTheme="minorEastAsia" w:hAnsiTheme="minorEastAsia"/>
          <w:sz w:val="32"/>
          <w:szCs w:val="32"/>
        </w:rPr>
        <w:t>：综合部、巴陵戏剧室、花鼓戏剧室、民乐队、歌舞工作室、舞美工作室、宣传普教室、艺术研究室、后勤保障部</w:t>
      </w:r>
      <w:r>
        <w:rPr>
          <w:rFonts w:hint="eastAsia" w:asciiTheme="minorEastAsia" w:hAnsiTheme="minorEastAsia"/>
          <w:sz w:val="32"/>
          <w:szCs w:val="32"/>
          <w:lang w:val="en-US" w:eastAsia="zh-CN"/>
        </w:rPr>
        <w:t>9个部室</w:t>
      </w:r>
      <w:r>
        <w:rPr>
          <w:rFonts w:hint="eastAsia" w:asciiTheme="minorEastAsia" w:hAnsiTheme="minorEastAsia"/>
          <w:sz w:val="32"/>
          <w:szCs w:val="32"/>
        </w:rPr>
        <w:t>。</w:t>
      </w:r>
    </w:p>
    <w:p w14:paraId="5818F9A6">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本单位无独立核算的下属单位，</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2</w:t>
      </w:r>
      <w:r>
        <w:rPr>
          <w:rFonts w:hint="eastAsia" w:asciiTheme="minorEastAsia" w:hAnsiTheme="minorEastAsia"/>
          <w:bCs/>
          <w:kern w:val="0"/>
          <w:sz w:val="32"/>
          <w:szCs w:val="32"/>
        </w:rPr>
        <w:t>年部门决算汇总公开单位</w:t>
      </w:r>
      <w:r>
        <w:rPr>
          <w:rFonts w:hint="eastAsia" w:asciiTheme="minorEastAsia" w:hAnsiTheme="minorEastAsia"/>
          <w:bCs/>
          <w:kern w:val="0"/>
          <w:sz w:val="32"/>
          <w:szCs w:val="32"/>
          <w:lang w:eastAsia="zh-CN"/>
        </w:rPr>
        <w:t>仅</w:t>
      </w:r>
      <w:r>
        <w:rPr>
          <w:rFonts w:hint="eastAsia" w:asciiTheme="minorEastAsia" w:hAnsiTheme="minorEastAsia"/>
          <w:bCs/>
          <w:kern w:val="0"/>
          <w:sz w:val="32"/>
          <w:szCs w:val="32"/>
        </w:rPr>
        <w:t>包括岳阳市巴陵戏传承研究院</w:t>
      </w:r>
      <w:r>
        <w:rPr>
          <w:rFonts w:hint="eastAsia" w:asciiTheme="minorEastAsia" w:hAnsiTheme="minorEastAsia"/>
          <w:bCs/>
          <w:kern w:val="0"/>
          <w:sz w:val="32"/>
          <w:szCs w:val="32"/>
          <w:lang w:eastAsia="zh-CN"/>
        </w:rPr>
        <w:t>本级</w:t>
      </w:r>
      <w:r>
        <w:rPr>
          <w:rFonts w:hint="eastAsia" w:asciiTheme="minorEastAsia" w:hAnsiTheme="minorEastAsia"/>
          <w:bCs/>
          <w:kern w:val="0"/>
          <w:sz w:val="32"/>
          <w:szCs w:val="32"/>
        </w:rPr>
        <w:t>。</w:t>
      </w:r>
    </w:p>
    <w:p w14:paraId="452D7AB3">
      <w:pPr>
        <w:jc w:val="left"/>
        <w:rPr>
          <w:rFonts w:ascii="仿宋_GB2312" w:eastAsia="仿宋_GB2312" w:hAnsiTheme="minorEastAsia"/>
          <w:sz w:val="28"/>
          <w:szCs w:val="32"/>
        </w:rPr>
      </w:pPr>
    </w:p>
    <w:p w14:paraId="77116662">
      <w:pPr>
        <w:widowControl/>
        <w:numPr>
          <w:ilvl w:val="0"/>
          <w:numId w:val="0"/>
        </w:numPr>
        <w:spacing w:line="600" w:lineRule="exact"/>
        <w:ind w:firstLine="640" w:firstLineChars="200"/>
        <w:rPr>
          <w:rFonts w:asciiTheme="minorEastAsia" w:hAnsiTheme="minorEastAsia"/>
          <w:bCs/>
          <w:i/>
          <w:iCs/>
          <w:kern w:val="0"/>
          <w:sz w:val="32"/>
          <w:szCs w:val="32"/>
        </w:rPr>
      </w:pPr>
    </w:p>
    <w:p w14:paraId="141D14F4">
      <w:pPr>
        <w:jc w:val="left"/>
        <w:rPr>
          <w:rFonts w:ascii="仿宋_GB2312" w:eastAsia="仿宋_GB2312" w:hAnsiTheme="minorEastAsia"/>
          <w:sz w:val="28"/>
          <w:szCs w:val="32"/>
        </w:rPr>
      </w:pPr>
    </w:p>
    <w:p w14:paraId="63D0904A">
      <w:pPr>
        <w:jc w:val="center"/>
        <w:rPr>
          <w:rFonts w:ascii="黑体" w:hAnsi="黑体" w:eastAsia="黑体"/>
          <w:sz w:val="28"/>
          <w:szCs w:val="28"/>
        </w:rPr>
      </w:pPr>
    </w:p>
    <w:p w14:paraId="658C5817">
      <w:pPr>
        <w:jc w:val="center"/>
        <w:rPr>
          <w:rFonts w:ascii="黑体" w:hAnsi="黑体" w:eastAsia="黑体"/>
          <w:sz w:val="28"/>
          <w:szCs w:val="28"/>
        </w:rPr>
      </w:pPr>
    </w:p>
    <w:p w14:paraId="0E19BF2A">
      <w:pPr>
        <w:jc w:val="center"/>
        <w:rPr>
          <w:rFonts w:ascii="黑体" w:hAnsi="黑体" w:eastAsia="黑体"/>
          <w:sz w:val="28"/>
          <w:szCs w:val="28"/>
        </w:rPr>
      </w:pPr>
    </w:p>
    <w:p w14:paraId="3A518B3A">
      <w:pPr>
        <w:jc w:val="center"/>
        <w:rPr>
          <w:rFonts w:ascii="黑体" w:hAnsi="黑体" w:eastAsia="黑体"/>
          <w:sz w:val="28"/>
          <w:szCs w:val="28"/>
        </w:rPr>
      </w:pPr>
    </w:p>
    <w:p w14:paraId="0B42BE44">
      <w:pPr>
        <w:jc w:val="center"/>
        <w:rPr>
          <w:rFonts w:ascii="黑体" w:hAnsi="黑体" w:eastAsia="黑体"/>
          <w:sz w:val="28"/>
          <w:szCs w:val="28"/>
        </w:rPr>
      </w:pPr>
    </w:p>
    <w:p w14:paraId="40656C39">
      <w:pPr>
        <w:jc w:val="center"/>
        <w:rPr>
          <w:rFonts w:ascii="黑体" w:hAnsi="黑体" w:eastAsia="黑体"/>
          <w:sz w:val="28"/>
          <w:szCs w:val="28"/>
        </w:rPr>
      </w:pPr>
    </w:p>
    <w:p w14:paraId="323E4ED3">
      <w:pPr>
        <w:jc w:val="center"/>
        <w:rPr>
          <w:rFonts w:ascii="黑体" w:hAnsi="黑体" w:eastAsia="黑体"/>
          <w:sz w:val="28"/>
          <w:szCs w:val="28"/>
        </w:rPr>
      </w:pPr>
    </w:p>
    <w:p w14:paraId="45FEB300">
      <w:pPr>
        <w:jc w:val="center"/>
        <w:rPr>
          <w:rFonts w:ascii="黑体" w:hAnsi="黑体" w:eastAsia="黑体"/>
          <w:sz w:val="28"/>
          <w:szCs w:val="28"/>
        </w:rPr>
      </w:pPr>
    </w:p>
    <w:p w14:paraId="04EDDE68">
      <w:pPr>
        <w:jc w:val="center"/>
        <w:rPr>
          <w:rFonts w:ascii="黑体" w:hAnsi="黑体" w:eastAsia="黑体"/>
          <w:sz w:val="28"/>
          <w:szCs w:val="28"/>
        </w:rPr>
      </w:pPr>
    </w:p>
    <w:p w14:paraId="76201DCE">
      <w:pPr>
        <w:jc w:val="center"/>
        <w:rPr>
          <w:rFonts w:ascii="黑体" w:hAnsi="黑体" w:eastAsia="黑体"/>
          <w:sz w:val="28"/>
          <w:szCs w:val="28"/>
        </w:rPr>
      </w:pPr>
    </w:p>
    <w:p w14:paraId="1AA26603">
      <w:pPr>
        <w:jc w:val="center"/>
        <w:rPr>
          <w:rFonts w:ascii="黑体" w:hAnsi="黑体" w:eastAsia="黑体"/>
          <w:sz w:val="28"/>
          <w:szCs w:val="28"/>
        </w:rPr>
      </w:pPr>
    </w:p>
    <w:p w14:paraId="712BD932">
      <w:pPr>
        <w:jc w:val="center"/>
        <w:rPr>
          <w:rFonts w:ascii="黑体" w:hAnsi="黑体" w:eastAsia="黑体"/>
          <w:sz w:val="28"/>
          <w:szCs w:val="28"/>
        </w:rPr>
      </w:pPr>
    </w:p>
    <w:p w14:paraId="25A76BF0">
      <w:pPr>
        <w:jc w:val="center"/>
        <w:rPr>
          <w:sz w:val="72"/>
          <w:szCs w:val="72"/>
        </w:rPr>
      </w:pPr>
    </w:p>
    <w:p w14:paraId="155A2220">
      <w:pPr>
        <w:jc w:val="center"/>
        <w:rPr>
          <w:sz w:val="72"/>
          <w:szCs w:val="72"/>
        </w:rPr>
      </w:pPr>
    </w:p>
    <w:p w14:paraId="22017DE8">
      <w:pPr>
        <w:ind w:firstLine="3600" w:firstLineChars="500"/>
        <w:jc w:val="both"/>
        <w:rPr>
          <w:sz w:val="72"/>
          <w:szCs w:val="72"/>
        </w:rPr>
      </w:pPr>
      <w:r>
        <w:rPr>
          <w:rFonts w:hint="eastAsia"/>
          <w:sz w:val="72"/>
          <w:szCs w:val="72"/>
        </w:rPr>
        <w:t>第二部分</w:t>
      </w:r>
    </w:p>
    <w:p w14:paraId="32ECD641">
      <w:pPr>
        <w:jc w:val="center"/>
        <w:rPr>
          <w:sz w:val="72"/>
          <w:szCs w:val="72"/>
        </w:rPr>
      </w:pPr>
    </w:p>
    <w:p w14:paraId="233EAC76">
      <w:pPr>
        <w:jc w:val="center"/>
        <w:rPr>
          <w:rFonts w:hint="eastAsia"/>
          <w:sz w:val="72"/>
          <w:szCs w:val="72"/>
        </w:rPr>
      </w:pPr>
      <w:r>
        <w:rPr>
          <w:rFonts w:hint="eastAsia"/>
          <w:sz w:val="72"/>
          <w:szCs w:val="72"/>
        </w:rPr>
        <w:t>部门决算表</w:t>
      </w:r>
    </w:p>
    <w:p w14:paraId="3EFD07F9">
      <w:pPr>
        <w:jc w:val="center"/>
        <w:rPr>
          <w:rFonts w:hint="eastAsia" w:eastAsiaTheme="minorEastAsia"/>
          <w:sz w:val="72"/>
          <w:szCs w:val="72"/>
          <w:lang w:eastAsia="zh-CN"/>
        </w:rPr>
      </w:pPr>
      <w:r>
        <w:rPr>
          <w:rFonts w:hint="eastAsia"/>
          <w:sz w:val="72"/>
          <w:szCs w:val="72"/>
          <w:lang w:eastAsia="zh-CN"/>
        </w:rPr>
        <w:t>（见附件）</w:t>
      </w:r>
    </w:p>
    <w:p w14:paraId="5250CD5C">
      <w:pPr>
        <w:jc w:val="center"/>
        <w:rPr>
          <w:sz w:val="72"/>
          <w:szCs w:val="72"/>
        </w:rPr>
      </w:pPr>
    </w:p>
    <w:p w14:paraId="3E91E362">
      <w:pPr>
        <w:jc w:val="center"/>
        <w:rPr>
          <w:sz w:val="72"/>
          <w:szCs w:val="72"/>
        </w:rPr>
      </w:pPr>
    </w:p>
    <w:p w14:paraId="5F1B3DB6">
      <w:pPr>
        <w:jc w:val="center"/>
        <w:rPr>
          <w:sz w:val="72"/>
          <w:szCs w:val="72"/>
        </w:rPr>
      </w:pPr>
    </w:p>
    <w:p w14:paraId="38F6450C">
      <w:pPr>
        <w:jc w:val="center"/>
        <w:rPr>
          <w:sz w:val="72"/>
          <w:szCs w:val="72"/>
        </w:rPr>
      </w:pPr>
    </w:p>
    <w:p w14:paraId="2D9B8ECC">
      <w:pPr>
        <w:jc w:val="center"/>
        <w:rPr>
          <w:sz w:val="72"/>
          <w:szCs w:val="72"/>
        </w:rPr>
      </w:pPr>
    </w:p>
    <w:p w14:paraId="3B7A35D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54DF19EA">
      <w:pPr>
        <w:pStyle w:val="6"/>
        <w:jc w:val="both"/>
        <w:rPr>
          <w:sz w:val="72"/>
          <w:szCs w:val="72"/>
        </w:rPr>
      </w:pPr>
    </w:p>
    <w:p w14:paraId="6D9DA2CF">
      <w:pPr>
        <w:pStyle w:val="6"/>
        <w:jc w:val="center"/>
        <w:rPr>
          <w:sz w:val="72"/>
          <w:szCs w:val="72"/>
        </w:rPr>
      </w:pPr>
    </w:p>
    <w:p w14:paraId="724CF270">
      <w:pPr>
        <w:pStyle w:val="6"/>
        <w:jc w:val="center"/>
        <w:rPr>
          <w:sz w:val="72"/>
          <w:szCs w:val="72"/>
        </w:rPr>
      </w:pPr>
      <w:r>
        <w:rPr>
          <w:rFonts w:hint="eastAsia"/>
          <w:sz w:val="72"/>
          <w:szCs w:val="72"/>
        </w:rPr>
        <w:t>第三部分</w:t>
      </w:r>
    </w:p>
    <w:p w14:paraId="5C8C7A9E">
      <w:pPr>
        <w:pStyle w:val="6"/>
        <w:jc w:val="center"/>
        <w:rPr>
          <w:sz w:val="70"/>
          <w:szCs w:val="70"/>
        </w:rPr>
      </w:pPr>
    </w:p>
    <w:p w14:paraId="6C00C76B">
      <w:pPr>
        <w:pStyle w:val="6"/>
        <w:jc w:val="center"/>
        <w:rPr>
          <w:sz w:val="70"/>
          <w:szCs w:val="70"/>
        </w:rPr>
      </w:pPr>
      <w:r>
        <w:rPr>
          <w:sz w:val="70"/>
          <w:szCs w:val="70"/>
        </w:rPr>
        <w:t>20</w:t>
      </w:r>
      <w:r>
        <w:rPr>
          <w:rFonts w:hint="eastAsia"/>
          <w:sz w:val="70"/>
          <w:szCs w:val="70"/>
        </w:rPr>
        <w:t>2</w:t>
      </w:r>
      <w:r>
        <w:rPr>
          <w:rFonts w:hint="eastAsia"/>
          <w:sz w:val="70"/>
          <w:szCs w:val="70"/>
          <w:lang w:val="en-US" w:eastAsia="zh-CN"/>
        </w:rPr>
        <w:t>2</w:t>
      </w:r>
      <w:r>
        <w:rPr>
          <w:rFonts w:hint="eastAsia"/>
          <w:sz w:val="70"/>
          <w:szCs w:val="70"/>
        </w:rPr>
        <w:t>年度部门决算情况说明</w:t>
      </w:r>
    </w:p>
    <w:p w14:paraId="3A781E30">
      <w:pPr>
        <w:widowControl/>
        <w:jc w:val="left"/>
        <w:rPr>
          <w:rFonts w:ascii="黑体" w:eastAsia="黑体" w:cs="黑体"/>
          <w:color w:val="000000"/>
          <w:kern w:val="0"/>
          <w:sz w:val="70"/>
          <w:szCs w:val="70"/>
        </w:rPr>
      </w:pPr>
      <w:r>
        <w:rPr>
          <w:sz w:val="70"/>
          <w:szCs w:val="70"/>
        </w:rPr>
        <w:br w:type="page"/>
      </w:r>
    </w:p>
    <w:p w14:paraId="5EDCED20">
      <w:pPr>
        <w:pStyle w:val="6"/>
        <w:rPr>
          <w:rFonts w:asciiTheme="minorEastAsia" w:hAnsiTheme="minorEastAsia" w:eastAsiaTheme="minorEastAsia"/>
          <w:sz w:val="32"/>
          <w:szCs w:val="32"/>
        </w:rPr>
      </w:pPr>
    </w:p>
    <w:p w14:paraId="640AD326">
      <w:pPr>
        <w:pStyle w:val="6"/>
        <w:rPr>
          <w:rFonts w:hAnsi="黑体"/>
          <w:b/>
          <w:sz w:val="32"/>
          <w:szCs w:val="32"/>
        </w:rPr>
      </w:pPr>
      <w:r>
        <w:rPr>
          <w:rFonts w:hint="eastAsia" w:hAnsi="黑体"/>
          <w:b/>
          <w:sz w:val="32"/>
          <w:szCs w:val="32"/>
        </w:rPr>
        <w:t>一、收入支出决算总体情况说明</w:t>
      </w:r>
    </w:p>
    <w:p w14:paraId="34B8C631">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年度收、支总计</w:t>
      </w:r>
      <w:r>
        <w:rPr>
          <w:rFonts w:hint="eastAsia" w:asciiTheme="minorEastAsia" w:hAnsiTheme="minorEastAsia" w:eastAsiaTheme="minorEastAsia"/>
          <w:sz w:val="32"/>
          <w:szCs w:val="32"/>
          <w:lang w:val="en-US" w:eastAsia="zh-CN"/>
        </w:rPr>
        <w:t>4745</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1499.82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46.22</w:t>
      </w:r>
      <w:r>
        <w:rPr>
          <w:rFonts w:hint="eastAsia" w:asciiTheme="minorEastAsia" w:hAnsiTheme="minorEastAsia" w:eastAsiaTheme="minorEastAsia"/>
          <w:sz w:val="32"/>
          <w:szCs w:val="32"/>
        </w:rPr>
        <w:t>%，主要是因</w:t>
      </w:r>
      <w:r>
        <w:rPr>
          <w:rFonts w:hint="eastAsia" w:asciiTheme="minorEastAsia" w:hAnsiTheme="minorEastAsia" w:eastAsiaTheme="minorEastAsia"/>
          <w:sz w:val="32"/>
          <w:szCs w:val="32"/>
          <w:lang w:eastAsia="zh-CN"/>
        </w:rPr>
        <w:t>为应政府体制改革要求将文学艺术研究所</w:t>
      </w:r>
      <w:r>
        <w:rPr>
          <w:rFonts w:hint="eastAsia" w:asciiTheme="minorEastAsia" w:hAnsiTheme="minorEastAsia" w:eastAsiaTheme="minorEastAsia"/>
          <w:sz w:val="32"/>
          <w:szCs w:val="32"/>
          <w:lang w:val="en-US" w:eastAsia="zh-CN"/>
        </w:rPr>
        <w:t>并入市巴陵戏传承研究院。</w:t>
      </w:r>
    </w:p>
    <w:p w14:paraId="69CF53B0">
      <w:pPr>
        <w:pStyle w:val="6"/>
        <w:rPr>
          <w:rFonts w:hAnsi="黑体"/>
          <w:b/>
          <w:sz w:val="32"/>
          <w:szCs w:val="32"/>
        </w:rPr>
      </w:pPr>
      <w:r>
        <w:rPr>
          <w:rFonts w:hint="eastAsia" w:hAnsi="黑体"/>
          <w:b/>
          <w:sz w:val="32"/>
          <w:szCs w:val="32"/>
        </w:rPr>
        <w:t>二、收入决算情况说明</w:t>
      </w:r>
    </w:p>
    <w:p w14:paraId="60DD1BBF">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年度收入合计</w:t>
      </w:r>
      <w:r>
        <w:rPr>
          <w:rFonts w:hint="eastAsia" w:asciiTheme="minorEastAsia" w:hAnsiTheme="minorEastAsia" w:eastAsiaTheme="minorEastAsia"/>
          <w:sz w:val="32"/>
          <w:szCs w:val="32"/>
          <w:lang w:val="en-US" w:eastAsia="zh-CN"/>
        </w:rPr>
        <w:t>4505.29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4376.69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97.15</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128.60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2.85</w:t>
      </w:r>
      <w:r>
        <w:rPr>
          <w:rFonts w:hint="eastAsia" w:asciiTheme="minorEastAsia" w:hAnsiTheme="minorEastAsia" w:eastAsiaTheme="minorEastAsia"/>
          <w:sz w:val="32"/>
          <w:szCs w:val="32"/>
        </w:rPr>
        <w:t>%。</w:t>
      </w:r>
    </w:p>
    <w:p w14:paraId="72CAE2AF">
      <w:pPr>
        <w:pStyle w:val="6"/>
        <w:rPr>
          <w:rFonts w:hAnsi="黑体"/>
          <w:b/>
          <w:sz w:val="32"/>
          <w:szCs w:val="32"/>
        </w:rPr>
      </w:pPr>
      <w:r>
        <w:rPr>
          <w:rFonts w:hint="eastAsia" w:hAnsi="黑体"/>
          <w:b/>
          <w:sz w:val="32"/>
          <w:szCs w:val="32"/>
        </w:rPr>
        <w:t>三、支出决算情况说明</w:t>
      </w:r>
    </w:p>
    <w:p w14:paraId="4626E477">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4745.02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1799.21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37.92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2945.81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62.08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01530D69">
      <w:pPr>
        <w:pStyle w:val="6"/>
        <w:rPr>
          <w:rFonts w:hAnsi="黑体"/>
          <w:b/>
          <w:sz w:val="32"/>
          <w:szCs w:val="32"/>
        </w:rPr>
      </w:pPr>
      <w:r>
        <w:rPr>
          <w:rFonts w:hint="eastAsia" w:hAnsi="黑体"/>
          <w:b/>
          <w:sz w:val="32"/>
          <w:szCs w:val="32"/>
        </w:rPr>
        <w:t>四、财政拨款收入支出决算总体情况说明</w:t>
      </w:r>
    </w:p>
    <w:p w14:paraId="516DEC92">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4376.69</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2318.83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112.68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应政府体制改革要求将文学艺术研究所</w:t>
      </w:r>
      <w:r>
        <w:rPr>
          <w:rFonts w:hint="eastAsia" w:asciiTheme="minorEastAsia" w:hAnsiTheme="minorEastAsia" w:eastAsiaTheme="minorEastAsia"/>
          <w:sz w:val="32"/>
          <w:szCs w:val="32"/>
          <w:lang w:val="en-US" w:eastAsia="zh-CN"/>
        </w:rPr>
        <w:t>并入市巴陵戏传承研究院。</w:t>
      </w:r>
    </w:p>
    <w:p w14:paraId="399482FE">
      <w:pPr>
        <w:pStyle w:val="6"/>
        <w:rPr>
          <w:rFonts w:hAnsi="黑体"/>
          <w:b/>
          <w:sz w:val="32"/>
          <w:szCs w:val="32"/>
        </w:rPr>
      </w:pPr>
      <w:r>
        <w:rPr>
          <w:rFonts w:hint="eastAsia" w:hAnsi="黑体"/>
          <w:b/>
          <w:sz w:val="32"/>
          <w:szCs w:val="32"/>
        </w:rPr>
        <w:t>五、一般公共预算财政拨款支出决算情况说明</w:t>
      </w:r>
    </w:p>
    <w:p w14:paraId="056D868C">
      <w:pPr>
        <w:pStyle w:val="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1C98D89F">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3112.27</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65.59</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1054.41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51.24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应政府体制改革要求将文学艺术研究所</w:t>
      </w:r>
      <w:r>
        <w:rPr>
          <w:rFonts w:hint="eastAsia" w:asciiTheme="minorEastAsia" w:hAnsiTheme="minorEastAsia" w:eastAsiaTheme="minorEastAsia"/>
          <w:sz w:val="32"/>
          <w:szCs w:val="32"/>
          <w:lang w:val="en-US" w:eastAsia="zh-CN"/>
        </w:rPr>
        <w:t>并入市巴陵戏传承研究院。</w:t>
      </w:r>
    </w:p>
    <w:p w14:paraId="08D01F5C">
      <w:pPr>
        <w:pStyle w:val="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EDF1BA3">
      <w:pPr>
        <w:pStyle w:val="6"/>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3112.27</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文化旅游体育与传媒支出</w:t>
      </w:r>
      <w:r>
        <w:rPr>
          <w:rFonts w:hint="eastAsia" w:asciiTheme="minorEastAsia" w:hAnsiTheme="minorEastAsia" w:eastAsiaTheme="minorEastAsia"/>
          <w:sz w:val="32"/>
          <w:szCs w:val="32"/>
          <w:lang w:val="en-US" w:eastAsia="zh-CN"/>
        </w:rPr>
        <w:t>2921.91万元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93.88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，其中：一般行政管理事务支出</w:t>
      </w:r>
      <w:r>
        <w:rPr>
          <w:rFonts w:hint="eastAsia" w:asciiTheme="minorEastAsia" w:hAnsiTheme="minorEastAsia" w:eastAsiaTheme="minorEastAsia"/>
          <w:sz w:val="32"/>
          <w:szCs w:val="32"/>
          <w:lang w:val="en-US" w:eastAsia="zh-CN"/>
        </w:rPr>
        <w:t>82.05万元，艺术表演团体支出1319.12万元，文化创作与保护支出530万元，其他文化和旅游支出990.74万元；</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133.13万元，占4.28%；其中：机关事业单位养老保险缴费支出116.15万元，其他优抚支出16.98万元；卫生健康支出57.24万元，占1.84%，其中：事业单位医疗支出57.24万元。</w:t>
      </w:r>
    </w:p>
    <w:p w14:paraId="576FC5F2">
      <w:pPr>
        <w:pStyle w:val="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5594A6E9">
      <w:pPr>
        <w:pStyle w:val="6"/>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1586.20</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3112.27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196.21</w:t>
      </w:r>
      <w:r>
        <w:rPr>
          <w:rFonts w:hint="eastAsia" w:asciiTheme="minorEastAsia" w:hAnsiTheme="minorEastAsia" w:eastAsiaTheme="minorEastAsia"/>
          <w:sz w:val="32"/>
          <w:szCs w:val="32"/>
        </w:rPr>
        <w:t>%，其中：</w:t>
      </w:r>
    </w:p>
    <w:p w14:paraId="6BDF732C">
      <w:pPr>
        <w:pStyle w:val="6"/>
        <w:ind w:firstLine="640" w:firstLineChars="200"/>
        <w:rPr>
          <w:rFonts w:hint="eastAsia" w:asciiTheme="minorEastAsia" w:hAnsiTheme="minorEastAsia" w:eastAsiaTheme="minorEastAsia"/>
          <w:sz w:val="32"/>
          <w:szCs w:val="32"/>
          <w:lang w:val="en-US" w:eastAsia="zh-CN"/>
        </w:rPr>
      </w:pPr>
      <w:r>
        <w:rPr>
          <w:rFonts w:hint="eastAsia" w:ascii="Times New Roman" w:hAnsi="Times New Roman" w:eastAsia="仿宋_GB2312"/>
          <w:sz w:val="32"/>
          <w:szCs w:val="32"/>
        </w:rPr>
        <w:t>1、</w:t>
      </w:r>
      <w:r>
        <w:rPr>
          <w:rFonts w:hint="eastAsia" w:asciiTheme="minorEastAsia" w:hAnsiTheme="minorEastAsia" w:eastAsiaTheme="minorEastAsia"/>
          <w:sz w:val="32"/>
          <w:szCs w:val="32"/>
          <w:lang w:val="en-US" w:eastAsia="zh-CN"/>
        </w:rPr>
        <w:t>文化旅游体育与传媒支出（类）文化和旅游（款）一般行政管理事务（项）。</w:t>
      </w:r>
    </w:p>
    <w:p w14:paraId="42469B72">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年初预算为0万元，支出决算为82.05万元，由于预算数为0，无法计算百分比。决算数大于年初预算数的主要原因是：上年结余收入弥补了日常公用经费。</w:t>
      </w:r>
    </w:p>
    <w:p w14:paraId="67F06E36">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2、文化旅游体育与传媒支出（类）文化和旅游（款）艺术表演团体（项）。</w:t>
      </w:r>
    </w:p>
    <w:p w14:paraId="5928B668">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年初预算为1323.44万元，支出决算为1319.12万元，完成年初预算的99.67%，决算数小于年初预算数的原因是根据财政要求一般商品和服务支出要缩减。</w:t>
      </w:r>
    </w:p>
    <w:p w14:paraId="24E64D95">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3、文化旅游体育与传媒支出（类）文化和旅游（款）文化创作与保护（项）。</w:t>
      </w:r>
    </w:p>
    <w:p w14:paraId="2F4CCE58">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年初预算为0万元，支出决算为530万元，由于预算数为0，无法计算百分比。决算数大于年初预算数的主要原因是今年新排了大型现代巴陵戏《共饮一江水》。</w:t>
      </w:r>
    </w:p>
    <w:p w14:paraId="4AC869DF">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4、文化旅游体育与传媒支出（类）文化和旅游（款）其他文化和旅游支出（项）。</w:t>
      </w:r>
    </w:p>
    <w:p w14:paraId="23FFBCD7">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年初预算为0万元，支出决算为990.74万元，由于预算数为0，无法计算百分比。决算数大于年初预算数的主要原因是：上年结转收入弥补了日常公用经费。</w:t>
      </w:r>
    </w:p>
    <w:p w14:paraId="4E8F5988">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5、社会保障和就业支出（类）行政事业单位养老支出（款）机关事业单位基本养老保险缴费支出（项）。</w:t>
      </w:r>
    </w:p>
    <w:p w14:paraId="28121BB6">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年初预算为116.15万元，支出决算为116.15万元，完成年初预算的100%，决算数等于年初预算数。决算数等于年初预算数的主要原因是单位用其他资金弥补了异动人员的单位基本养老保险缴费支出。</w:t>
      </w:r>
    </w:p>
    <w:p w14:paraId="1C2EFA4F">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6、社会保障和就业支出（类）抚恤（款）其他优抚支出（项）。</w:t>
      </w:r>
    </w:p>
    <w:p w14:paraId="1E636352">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年初预算为0万元，支出决算为16.98万元，由于预算数为0，无法计算百分比。决算数大于年初预算数的原因是财政无法将此项支出列入预算。</w:t>
      </w:r>
    </w:p>
    <w:p w14:paraId="1B02BA25">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7、卫生健康支出（类）行政事业单位医疗（款）事业单位医疗（项）。</w:t>
      </w:r>
    </w:p>
    <w:p w14:paraId="0BDD3ED4">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年初预算为59.5万元，支出决算为57.24万元，完成年初预算的96.20%，决算数小于年初预算数的主要原因是：生育保险未支出。</w:t>
      </w:r>
    </w:p>
    <w:p w14:paraId="5B4570D9">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8、住房保障支出（类）住房改革支出（款）住房公积金（项）。</w:t>
      </w:r>
    </w:p>
    <w:p w14:paraId="3DED557F">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年初预算为87.11万元，支出决算为0万元，完成年初预算的0%，决算数小于年初预算数的主要原因是：单位部分的住房公积金直接由财政代扣代缴到岳阳市住房公积金管理中心了，不由单位支付。</w:t>
      </w:r>
    </w:p>
    <w:p w14:paraId="144AE819">
      <w:pPr>
        <w:pStyle w:val="6"/>
        <w:numPr>
          <w:ilvl w:val="0"/>
          <w:numId w:val="0"/>
        </w:numPr>
        <w:ind w:firstLine="640" w:firstLineChars="200"/>
        <w:rPr>
          <w:rFonts w:hint="eastAsia" w:hAnsi="黑体"/>
          <w:b/>
          <w:sz w:val="32"/>
          <w:szCs w:val="32"/>
        </w:rPr>
      </w:pPr>
      <w:r>
        <w:rPr>
          <w:rFonts w:hint="eastAsia" w:hAnsi="黑体"/>
          <w:b/>
          <w:sz w:val="32"/>
          <w:szCs w:val="32"/>
          <w:lang w:eastAsia="zh-CN"/>
        </w:rPr>
        <w:t>六、</w:t>
      </w:r>
      <w:r>
        <w:rPr>
          <w:rFonts w:hint="eastAsia" w:hAnsi="黑体"/>
          <w:b/>
          <w:sz w:val="32"/>
          <w:szCs w:val="32"/>
        </w:rPr>
        <w:t>一般公共预算财政拨款基本支出决算情况说明</w:t>
      </w:r>
    </w:p>
    <w:p w14:paraId="48618E36">
      <w:pPr>
        <w:pStyle w:val="6"/>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1657.91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1538.31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92.79</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eastAsia="zh-CN"/>
        </w:rPr>
        <w:t>津贴补贴、</w:t>
      </w:r>
      <w:r>
        <w:rPr>
          <w:rFonts w:hint="eastAsia" w:asciiTheme="minorEastAsia" w:hAnsiTheme="minorEastAsia" w:eastAsiaTheme="minorEastAsia"/>
          <w:sz w:val="32"/>
          <w:szCs w:val="32"/>
        </w:rPr>
        <w:t>奖金、伙食补助费、绩效工资、机关事业单位基本养老保险缴费、职工基本医疗保险</w:t>
      </w:r>
      <w:r>
        <w:rPr>
          <w:rFonts w:hint="eastAsia" w:asciiTheme="minorEastAsia" w:hAnsiTheme="minorEastAsia" w:eastAsiaTheme="minorEastAsia"/>
          <w:sz w:val="32"/>
          <w:szCs w:val="32"/>
          <w:lang w:eastAsia="zh-CN"/>
        </w:rPr>
        <w:t>缴费</w:t>
      </w:r>
      <w:r>
        <w:rPr>
          <w:rFonts w:hint="eastAsia" w:asciiTheme="minorEastAsia" w:hAnsiTheme="minorEastAsia" w:eastAsiaTheme="minorEastAsia"/>
          <w:sz w:val="32"/>
          <w:szCs w:val="32"/>
        </w:rPr>
        <w:t>、其他社会保障缴费、</w:t>
      </w:r>
      <w:r>
        <w:rPr>
          <w:rFonts w:hint="eastAsia" w:asciiTheme="minorEastAsia" w:hAnsiTheme="minorEastAsia" w:eastAsiaTheme="minorEastAsia"/>
          <w:sz w:val="32"/>
          <w:szCs w:val="32"/>
          <w:lang w:eastAsia="zh-CN"/>
        </w:rPr>
        <w:t>医疗费、其他工资福利支出、</w:t>
      </w:r>
      <w:r>
        <w:rPr>
          <w:rFonts w:hint="eastAsia" w:asciiTheme="minorEastAsia" w:hAnsiTheme="minorEastAsia" w:eastAsiaTheme="minorEastAsia"/>
          <w:sz w:val="32"/>
          <w:szCs w:val="32"/>
        </w:rPr>
        <w:t>退休费、抚恤金、奖励金、其他对个人和家庭的补助；公用经费</w:t>
      </w:r>
      <w:r>
        <w:rPr>
          <w:rFonts w:hint="eastAsia" w:asciiTheme="minorEastAsia" w:hAnsiTheme="minorEastAsia" w:eastAsiaTheme="minorEastAsia"/>
          <w:sz w:val="32"/>
          <w:szCs w:val="32"/>
          <w:lang w:val="en-US" w:eastAsia="zh-CN"/>
        </w:rPr>
        <w:t>119.6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7.21</w:t>
      </w:r>
      <w:r>
        <w:rPr>
          <w:rFonts w:hint="eastAsia" w:asciiTheme="minorEastAsia" w:hAnsiTheme="minorEastAsia" w:eastAsiaTheme="minorEastAsia"/>
          <w:sz w:val="32"/>
          <w:szCs w:val="32"/>
        </w:rPr>
        <w:t>%，主要包括办公费、印刷费、水费、电费、邮电费、差旅费、维修（护）费、</w:t>
      </w:r>
      <w:r>
        <w:rPr>
          <w:rFonts w:hint="eastAsia" w:asciiTheme="minorEastAsia" w:hAnsiTheme="minorEastAsia" w:eastAsiaTheme="minorEastAsia"/>
          <w:sz w:val="32"/>
          <w:szCs w:val="32"/>
          <w:lang w:eastAsia="zh-CN"/>
        </w:rPr>
        <w:t>培训费、</w:t>
      </w:r>
      <w:r>
        <w:rPr>
          <w:rFonts w:hint="eastAsia" w:asciiTheme="minorEastAsia" w:hAnsiTheme="minorEastAsia" w:eastAsiaTheme="minorEastAsia"/>
          <w:sz w:val="32"/>
          <w:szCs w:val="32"/>
        </w:rPr>
        <w:t>公务接待费、</w:t>
      </w:r>
      <w:r>
        <w:rPr>
          <w:rFonts w:hint="eastAsia" w:asciiTheme="minorEastAsia" w:hAnsiTheme="minorEastAsia" w:eastAsiaTheme="minorEastAsia"/>
          <w:sz w:val="32"/>
          <w:szCs w:val="32"/>
          <w:lang w:eastAsia="zh-CN"/>
        </w:rPr>
        <w:t>劳务费、</w:t>
      </w:r>
      <w:r>
        <w:rPr>
          <w:rFonts w:hint="eastAsia" w:asciiTheme="minorEastAsia" w:hAnsiTheme="minorEastAsia" w:eastAsiaTheme="minorEastAsia"/>
          <w:sz w:val="32"/>
          <w:szCs w:val="32"/>
        </w:rPr>
        <w:t>委托业务费、工会经费、其他交通费用、其他商品和服务支出、办公设备购置</w:t>
      </w:r>
      <w:r>
        <w:rPr>
          <w:rFonts w:hint="eastAsia" w:asciiTheme="minorEastAsia" w:hAnsiTheme="minorEastAsia" w:eastAsiaTheme="minorEastAsia"/>
          <w:sz w:val="32"/>
          <w:szCs w:val="32"/>
          <w:lang w:eastAsia="zh-CN"/>
        </w:rPr>
        <w:t>。</w:t>
      </w:r>
    </w:p>
    <w:p w14:paraId="7FDE23D8">
      <w:pPr>
        <w:pStyle w:val="6"/>
        <w:rPr>
          <w:rFonts w:hAnsi="黑体"/>
          <w:b/>
          <w:sz w:val="32"/>
          <w:szCs w:val="32"/>
        </w:rPr>
      </w:pPr>
      <w:r>
        <w:rPr>
          <w:rFonts w:hint="eastAsia" w:hAnsi="黑体"/>
          <w:b/>
          <w:sz w:val="32"/>
          <w:szCs w:val="32"/>
          <w:lang w:eastAsia="zh-CN"/>
        </w:rPr>
        <w:t>七</w:t>
      </w:r>
      <w:r>
        <w:rPr>
          <w:rFonts w:hint="eastAsia" w:hAnsi="黑体"/>
          <w:b/>
          <w:sz w:val="32"/>
          <w:szCs w:val="32"/>
        </w:rPr>
        <w:t>、政府性基金预算收入支出决算情况</w:t>
      </w:r>
    </w:p>
    <w:p w14:paraId="538D7AC2">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1264.42</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1264.42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1264.42</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14:paraId="15678785">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1、城乡社区支出（类）国有土地使用权出让收入安排的支出（款）其他国有土地使用权出让收入安排的支出（项）</w:t>
      </w:r>
    </w:p>
    <w:p w14:paraId="2DD05652">
      <w:pPr>
        <w:pStyle w:val="6"/>
        <w:numPr>
          <w:ilvl w:val="0"/>
          <w:numId w:val="0"/>
        </w:numPr>
        <w:ind w:firstLine="640" w:firstLineChars="200"/>
        <w:rPr>
          <w:rFonts w:hint="eastAsia" w:hAnsi="黑体"/>
          <w:b/>
          <w:sz w:val="32"/>
          <w:szCs w:val="32"/>
          <w:lang w:eastAsia="zh-CN"/>
        </w:rPr>
      </w:pPr>
      <w:r>
        <w:rPr>
          <w:rFonts w:hint="eastAsia" w:asciiTheme="minorEastAsia" w:hAnsiTheme="minorEastAsia" w:eastAsiaTheme="minorEastAsia"/>
          <w:sz w:val="32"/>
          <w:szCs w:val="32"/>
          <w:lang w:val="en-US" w:eastAsia="zh-CN"/>
        </w:rPr>
        <w:t>年初预算为0万元，支出决算为1264.42万元，由于预算数为0，无法计算百分比。决算数大于年初预算数的主要原因是上年未完的工程项目。</w:t>
      </w:r>
    </w:p>
    <w:p w14:paraId="7E7335F9">
      <w:pPr>
        <w:pStyle w:val="6"/>
        <w:numPr>
          <w:ilvl w:val="0"/>
          <w:numId w:val="0"/>
        </w:numPr>
        <w:rPr>
          <w:rFonts w:hint="eastAsia" w:hAnsi="黑体"/>
          <w:b/>
          <w:sz w:val="32"/>
          <w:szCs w:val="32"/>
          <w:lang w:eastAsia="zh-CN"/>
        </w:rPr>
      </w:pPr>
      <w:r>
        <w:rPr>
          <w:rFonts w:hint="eastAsia" w:hAnsi="黑体"/>
          <w:b/>
          <w:sz w:val="32"/>
          <w:szCs w:val="32"/>
          <w:lang w:eastAsia="zh-CN"/>
        </w:rPr>
        <w:t>八、</w:t>
      </w:r>
      <w:r>
        <w:rPr>
          <w:rFonts w:hint="eastAsia" w:hAnsi="黑体"/>
          <w:b/>
          <w:sz w:val="32"/>
          <w:szCs w:val="32"/>
        </w:rPr>
        <w:t>国有资本经营预算财政拨款支出决算</w:t>
      </w:r>
      <w:r>
        <w:rPr>
          <w:rFonts w:hint="eastAsia" w:hAnsi="黑体"/>
          <w:b/>
          <w:sz w:val="32"/>
          <w:szCs w:val="32"/>
          <w:lang w:eastAsia="zh-CN"/>
        </w:rPr>
        <w:t>情况</w:t>
      </w:r>
    </w:p>
    <w:p w14:paraId="666E04B7">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年度国有资本经营预算财政拨款</w:t>
      </w:r>
      <w:r>
        <w:rPr>
          <w:rFonts w:hint="eastAsia" w:asciiTheme="minorEastAsia" w:hAnsiTheme="minorEastAsia" w:eastAsiaTheme="minorEastAsia"/>
          <w:sz w:val="32"/>
          <w:szCs w:val="32"/>
          <w:lang w:eastAsia="zh-CN"/>
        </w:rPr>
        <w:t>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14:paraId="7E3DD0C4">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年度岳阳市巴陵戏传承研究院无国有资本经营预算财政拨款支出。</w:t>
      </w:r>
    </w:p>
    <w:p w14:paraId="007F1EF3">
      <w:pPr>
        <w:pStyle w:val="6"/>
        <w:ind w:firstLine="640" w:firstLineChars="200"/>
        <w:rPr>
          <w:rFonts w:hint="default" w:asciiTheme="minorEastAsia" w:hAnsiTheme="minorEastAsia" w:eastAsiaTheme="minorEastAsia"/>
          <w:sz w:val="32"/>
          <w:szCs w:val="32"/>
          <w:lang w:val="en-US" w:eastAsia="zh-CN"/>
        </w:rPr>
      </w:pPr>
    </w:p>
    <w:p w14:paraId="0214CFB8">
      <w:pPr>
        <w:pStyle w:val="6"/>
        <w:rPr>
          <w:rFonts w:hAnsi="黑体"/>
          <w:b/>
          <w:sz w:val="32"/>
          <w:szCs w:val="32"/>
        </w:rPr>
      </w:pPr>
      <w:r>
        <w:rPr>
          <w:rFonts w:hint="eastAsia" w:hAnsi="黑体"/>
          <w:b/>
          <w:sz w:val="32"/>
          <w:szCs w:val="32"/>
          <w:lang w:eastAsia="zh-CN"/>
        </w:rPr>
        <w:t>九</w:t>
      </w:r>
      <w:r>
        <w:rPr>
          <w:rFonts w:hint="eastAsia" w:hAnsi="黑体"/>
          <w:b/>
          <w:sz w:val="32"/>
          <w:szCs w:val="32"/>
        </w:rPr>
        <w:t>、财政拨款三公经费支出决算情况说明</w:t>
      </w:r>
    </w:p>
    <w:p w14:paraId="69930DCF">
      <w:pPr>
        <w:pStyle w:val="6"/>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5DAF3C8C">
      <w:pPr>
        <w:pStyle w:val="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年度“三公”经费财政拨款支出预算为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66.67</w:t>
      </w:r>
      <w:r>
        <w:rPr>
          <w:rFonts w:hint="eastAsia" w:asciiTheme="minorEastAsia" w:hAnsiTheme="minorEastAsia" w:eastAsiaTheme="minorEastAsia"/>
          <w:sz w:val="32"/>
          <w:szCs w:val="32"/>
        </w:rPr>
        <w:t>%，其中：</w:t>
      </w:r>
    </w:p>
    <w:p w14:paraId="69B14C9C">
      <w:pPr>
        <w:pStyle w:val="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决算数等于预算数，</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我单位严格按预算执行决算；与上年一致，无增减变动，</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未安排因公出国（境）活动</w:t>
      </w:r>
      <w:r>
        <w:rPr>
          <w:rFonts w:hint="eastAsia" w:asciiTheme="minorEastAsia" w:hAnsiTheme="minorEastAsia" w:eastAsiaTheme="minorEastAsia"/>
          <w:sz w:val="32"/>
          <w:szCs w:val="32"/>
        </w:rPr>
        <w:t>。</w:t>
      </w:r>
    </w:p>
    <w:p w14:paraId="2AF801EC">
      <w:pPr>
        <w:pStyle w:val="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66.67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严格执行中央八项规定；</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0.51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71.83</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按有关政策厉行节约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严控公务接待支出。</w:t>
      </w:r>
    </w:p>
    <w:p w14:paraId="375A1315">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决算数等于预算数，</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我单位严格按预算执行决算；与上年一致，无增减变动，</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两年均未购置公务用车</w:t>
      </w:r>
      <w:r>
        <w:rPr>
          <w:rFonts w:hint="eastAsia" w:asciiTheme="minorEastAsia" w:hAnsiTheme="minorEastAsia" w:eastAsiaTheme="minorEastAsia"/>
          <w:sz w:val="32"/>
          <w:szCs w:val="32"/>
        </w:rPr>
        <w:t>。</w:t>
      </w:r>
    </w:p>
    <w:p w14:paraId="71ED7C00">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决算数等于预算数，</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我单位严格按预算执行决算；与上年一致，无增减变动，</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两年均无公务用车需要运行维护</w:t>
      </w:r>
      <w:r>
        <w:rPr>
          <w:rFonts w:hint="eastAsia" w:asciiTheme="minorEastAsia" w:hAnsiTheme="minorEastAsia" w:eastAsiaTheme="minorEastAsia"/>
          <w:sz w:val="32"/>
          <w:szCs w:val="32"/>
        </w:rPr>
        <w:t>。</w:t>
      </w:r>
    </w:p>
    <w:p w14:paraId="7324B72E">
      <w:pPr>
        <w:pStyle w:val="6"/>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741C4ADB">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其中：</w:t>
      </w:r>
    </w:p>
    <w:p w14:paraId="0671D2CE">
      <w:pPr>
        <w:pStyle w:val="6"/>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我单位</w:t>
      </w:r>
      <w:r>
        <w:rPr>
          <w:rFonts w:hint="eastAsia" w:asciiTheme="minorEastAsia" w:hAnsiTheme="minorEastAsia" w:eastAsiaTheme="minorEastAsia"/>
          <w:sz w:val="32"/>
          <w:szCs w:val="32"/>
          <w:lang w:val="en-US" w:eastAsia="zh-CN"/>
        </w:rPr>
        <w:t>2022年度无</w:t>
      </w:r>
      <w:r>
        <w:rPr>
          <w:rFonts w:hint="eastAsia" w:asciiTheme="minorEastAsia" w:hAnsiTheme="minorEastAsia" w:eastAsiaTheme="minorEastAsia"/>
          <w:sz w:val="32"/>
          <w:szCs w:val="32"/>
        </w:rPr>
        <w:t>因公出国（境）费支出</w:t>
      </w:r>
      <w:r>
        <w:rPr>
          <w:rFonts w:hint="eastAsia" w:asciiTheme="minorEastAsia" w:hAnsiTheme="minorEastAsia" w:eastAsiaTheme="minorEastAsia"/>
          <w:sz w:val="32"/>
          <w:szCs w:val="32"/>
          <w:lang w:eastAsia="zh-CN"/>
        </w:rPr>
        <w:t>。</w:t>
      </w:r>
    </w:p>
    <w:p w14:paraId="25B20E5F">
      <w:pPr>
        <w:pStyle w:val="6"/>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2、公务接待费支出决算为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演出业务交流</w:t>
      </w:r>
      <w:r>
        <w:rPr>
          <w:rFonts w:hint="eastAsia" w:asciiTheme="minorEastAsia" w:hAnsiTheme="minorEastAsia" w:eastAsiaTheme="minorEastAsia"/>
          <w:sz w:val="32"/>
          <w:szCs w:val="32"/>
        </w:rPr>
        <w:t>发生的接待支出。</w:t>
      </w:r>
    </w:p>
    <w:p w14:paraId="61071DBD">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当年没有购置</w:t>
      </w:r>
      <w:r>
        <w:rPr>
          <w:rFonts w:hint="eastAsia" w:asciiTheme="minorEastAsia" w:hAnsiTheme="minorEastAsia"/>
          <w:sz w:val="32"/>
          <w:szCs w:val="32"/>
        </w:rPr>
        <w:t>公务用车</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w:t>
      </w:r>
      <w:r>
        <w:rPr>
          <w:rFonts w:hint="eastAsia" w:asciiTheme="minorEastAsia" w:hAnsiTheme="minorEastAsia"/>
          <w:sz w:val="32"/>
          <w:szCs w:val="32"/>
          <w:lang w:val="en-US" w:eastAsia="zh-CN"/>
        </w:rPr>
        <w:t>2</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14:paraId="09A54B86">
      <w:pPr>
        <w:pStyle w:val="6"/>
        <w:ind w:firstLine="640" w:firstLineChars="200"/>
        <w:rPr>
          <w:rFonts w:hint="eastAsia" w:asciiTheme="minorEastAsia" w:hAnsiTheme="minorEastAsia" w:eastAsiaTheme="minorEastAsia"/>
          <w:sz w:val="32"/>
          <w:szCs w:val="32"/>
        </w:rPr>
      </w:pPr>
    </w:p>
    <w:p w14:paraId="799FE1F9">
      <w:pPr>
        <w:pStyle w:val="6"/>
        <w:rPr>
          <w:rFonts w:hAnsi="黑体"/>
          <w:b/>
          <w:sz w:val="32"/>
          <w:szCs w:val="32"/>
        </w:rPr>
      </w:pPr>
      <w:r>
        <w:rPr>
          <w:rFonts w:hint="eastAsia" w:hAnsi="黑体"/>
          <w:b/>
          <w:sz w:val="32"/>
          <w:szCs w:val="32"/>
        </w:rPr>
        <w:t>十、机关运行经费支出说明</w:t>
      </w:r>
    </w:p>
    <w:p w14:paraId="250B25B9">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部门</w:t>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主要原因是：</w:t>
      </w:r>
    </w:p>
    <w:p w14:paraId="2A609176">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级和所属单位均为事业单位，按照机关运行经费的口径，本</w:t>
      </w:r>
      <w:r>
        <w:rPr>
          <w:rFonts w:hint="eastAsia" w:asciiTheme="minorEastAsia" w:hAnsiTheme="minorEastAsia" w:eastAsiaTheme="minorEastAsia"/>
          <w:sz w:val="32"/>
          <w:szCs w:val="32"/>
          <w:lang w:val="en-US" w:eastAsia="zh-CN"/>
        </w:rPr>
        <w:t>年</w:t>
      </w:r>
      <w:r>
        <w:rPr>
          <w:rFonts w:hint="eastAsia" w:asciiTheme="minorEastAsia" w:hAnsiTheme="minorEastAsia" w:eastAsiaTheme="minorEastAsia"/>
          <w:sz w:val="32"/>
          <w:szCs w:val="32"/>
        </w:rPr>
        <w:t>度机关运行经费</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3EC826D">
      <w:pPr>
        <w:pStyle w:val="6"/>
        <w:ind w:firstLine="640" w:firstLineChars="200"/>
        <w:rPr>
          <w:rFonts w:hint="eastAsia" w:asciiTheme="minorEastAsia" w:hAnsiTheme="minorEastAsia" w:eastAsiaTheme="minorEastAsia"/>
          <w:sz w:val="32"/>
          <w:szCs w:val="32"/>
        </w:rPr>
      </w:pPr>
    </w:p>
    <w:p w14:paraId="2B975B27">
      <w:pPr>
        <w:pStyle w:val="6"/>
        <w:rPr>
          <w:rFonts w:hAnsi="黑体"/>
          <w:b/>
          <w:sz w:val="32"/>
          <w:szCs w:val="32"/>
        </w:rPr>
      </w:pPr>
      <w:r>
        <w:rPr>
          <w:rFonts w:hint="eastAsia" w:hAnsi="黑体"/>
          <w:b/>
          <w:sz w:val="32"/>
          <w:szCs w:val="32"/>
        </w:rPr>
        <w:t>十一、一般性支出情况说明</w:t>
      </w:r>
    </w:p>
    <w:p w14:paraId="25872FD4">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eastAsia="zh-CN"/>
        </w:rPr>
        <w:t>度</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lang w:eastAsia="zh-CN"/>
        </w:rPr>
        <w:t>会议费年初预算为</w:t>
      </w:r>
      <w:r>
        <w:rPr>
          <w:rFonts w:hint="eastAsia" w:asciiTheme="minorEastAsia" w:hAnsiTheme="minorEastAsia" w:eastAsiaTheme="minorEastAsia"/>
          <w:sz w:val="32"/>
          <w:szCs w:val="32"/>
          <w:lang w:val="en-US" w:eastAsia="zh-CN"/>
        </w:rPr>
        <w:t>0万元，支出决算为0万元，决算数等于年初预算数的主要原因是本单位无会议费的预算和支出决算数。</w:t>
      </w:r>
    </w:p>
    <w:p w14:paraId="5D1A4ECE">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培训费年初预算</w:t>
      </w:r>
      <w:r>
        <w:rPr>
          <w:rFonts w:hint="eastAsia" w:asciiTheme="minorEastAsia" w:hAnsiTheme="minorEastAsia" w:eastAsiaTheme="minorEastAsia"/>
          <w:sz w:val="32"/>
          <w:szCs w:val="32"/>
          <w:lang w:val="en-US" w:eastAsia="zh-CN"/>
        </w:rPr>
        <w:t>3.3万元，支出决算为3.34元，完成年初预算的101.21%。用于开展事业单位工作人员人事平台培训，人数99人，内容为专业课程培训。</w:t>
      </w:r>
    </w:p>
    <w:p w14:paraId="0C97DE3B">
      <w:pPr>
        <w:pStyle w:val="6"/>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举办节庆、晚会、论坛、赛事活动年初预算0万元，支出决算为0万元。决算数等于年初预算数的主要原因是本单位无举办节庆、晚会、论坛、赛事活动的预算和支出决算数。</w:t>
      </w:r>
    </w:p>
    <w:p w14:paraId="2A38ED4A">
      <w:pPr>
        <w:pStyle w:val="6"/>
        <w:rPr>
          <w:rFonts w:hAnsi="黑体"/>
          <w:b/>
          <w:sz w:val="32"/>
          <w:szCs w:val="32"/>
        </w:rPr>
      </w:pPr>
      <w:r>
        <w:rPr>
          <w:rFonts w:hint="eastAsia" w:hAnsi="黑体"/>
          <w:b/>
          <w:sz w:val="32"/>
          <w:szCs w:val="32"/>
        </w:rPr>
        <w:t>十二、</w:t>
      </w:r>
      <w:r>
        <w:rPr>
          <w:rFonts w:hint="eastAsia" w:hAnsi="黑体"/>
          <w:b/>
          <w:sz w:val="32"/>
          <w:szCs w:val="32"/>
          <w:lang w:eastAsia="zh-CN"/>
        </w:rPr>
        <w:t>关于</w:t>
      </w:r>
      <w:r>
        <w:rPr>
          <w:rFonts w:hint="eastAsia" w:hAnsi="黑体"/>
          <w:b/>
          <w:sz w:val="32"/>
          <w:szCs w:val="32"/>
        </w:rPr>
        <w:t>政府采购支出说明</w:t>
      </w:r>
    </w:p>
    <w:p w14:paraId="16258395">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59C14F4">
      <w:pPr>
        <w:pStyle w:val="6"/>
        <w:ind w:firstLine="640" w:firstLineChars="200"/>
        <w:rPr>
          <w:rFonts w:hint="eastAsia" w:asciiTheme="minorEastAsia" w:hAnsiTheme="minorEastAsia" w:eastAsiaTheme="minorEastAsia"/>
          <w:sz w:val="32"/>
          <w:szCs w:val="32"/>
        </w:rPr>
      </w:pPr>
    </w:p>
    <w:p w14:paraId="1B6AE91B">
      <w:pPr>
        <w:pStyle w:val="6"/>
        <w:rPr>
          <w:rFonts w:hAnsi="黑体"/>
          <w:b/>
          <w:sz w:val="32"/>
          <w:szCs w:val="32"/>
        </w:rPr>
      </w:pPr>
      <w:r>
        <w:rPr>
          <w:rFonts w:hint="eastAsia" w:hAnsi="黑体"/>
          <w:b/>
          <w:sz w:val="32"/>
          <w:szCs w:val="32"/>
        </w:rPr>
        <w:t>十三、国有资产占用情况说明</w:t>
      </w:r>
    </w:p>
    <w:p w14:paraId="05A184CE">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年12月31日，</w:t>
      </w:r>
      <w:r>
        <w:rPr>
          <w:rFonts w:hint="eastAsia" w:asciiTheme="minorEastAsia" w:hAnsiTheme="minorEastAsia" w:eastAsiaTheme="minorEastAsia"/>
          <w:sz w:val="32"/>
          <w:szCs w:val="32"/>
          <w:lang w:eastAsia="zh-CN"/>
        </w:rPr>
        <w:t>本单位</w:t>
      </w:r>
      <w:r>
        <w:rPr>
          <w:rFonts w:hint="eastAsia" w:asciiTheme="minorEastAsia" w:hAnsiTheme="minorEastAsia" w:eastAsiaTheme="minorEastAsia"/>
          <w:sz w:val="32"/>
          <w:szCs w:val="32"/>
        </w:rPr>
        <w:t>共有车辆</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辆、其他用车3辆，其他用车主要是演出车1辆、通勤车2辆，主要用于送戏下乡演出；单位价值50万元以上通用设备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3067E728">
      <w:pPr>
        <w:pStyle w:val="6"/>
        <w:rPr>
          <w:rFonts w:hAnsi="黑体"/>
          <w:b/>
          <w:sz w:val="32"/>
          <w:szCs w:val="32"/>
        </w:rPr>
      </w:pPr>
      <w:r>
        <w:rPr>
          <w:rFonts w:hint="eastAsia" w:hAnsi="黑体"/>
          <w:b/>
          <w:sz w:val="32"/>
          <w:szCs w:val="32"/>
          <w:lang w:eastAsia="zh-CN"/>
        </w:rPr>
        <w:t>十四、关于</w:t>
      </w:r>
      <w:r>
        <w:rPr>
          <w:rFonts w:hint="eastAsia" w:hAnsi="黑体"/>
          <w:b/>
          <w:sz w:val="32"/>
          <w:szCs w:val="32"/>
        </w:rPr>
        <w:t>202</w:t>
      </w:r>
      <w:r>
        <w:rPr>
          <w:rFonts w:hint="eastAsia" w:hAnsi="黑体"/>
          <w:b/>
          <w:sz w:val="32"/>
          <w:szCs w:val="32"/>
          <w:lang w:val="en-US" w:eastAsia="zh-CN"/>
        </w:rPr>
        <w:t>2</w:t>
      </w:r>
      <w:r>
        <w:rPr>
          <w:rFonts w:hint="eastAsia" w:hAnsi="黑体"/>
          <w:b/>
          <w:sz w:val="32"/>
          <w:szCs w:val="32"/>
        </w:rPr>
        <w:t>年度预算绩效情况</w:t>
      </w:r>
      <w:r>
        <w:rPr>
          <w:rFonts w:hint="eastAsia" w:hAnsi="黑体"/>
          <w:b/>
          <w:sz w:val="32"/>
          <w:szCs w:val="32"/>
          <w:lang w:eastAsia="zh-CN"/>
        </w:rPr>
        <w:t>的</w:t>
      </w:r>
      <w:r>
        <w:rPr>
          <w:rFonts w:hint="eastAsia" w:hAnsi="黑体"/>
          <w:b/>
          <w:sz w:val="32"/>
          <w:szCs w:val="32"/>
        </w:rPr>
        <w:t>说明</w:t>
      </w:r>
    </w:p>
    <w:p w14:paraId="5C0B0028">
      <w:pPr>
        <w:pStyle w:val="6"/>
        <w:ind w:firstLine="640" w:firstLineChars="200"/>
        <w:rPr>
          <w:rFonts w:hint="eastAsia" w:asciiTheme="minorEastAsia" w:hAnsiTheme="minorEastAsia" w:eastAsiaTheme="minorEastAsia"/>
          <w:sz w:val="32"/>
          <w:szCs w:val="32"/>
          <w:lang w:eastAsia="zh-CN"/>
        </w:rPr>
      </w:pPr>
      <w:r>
        <w:rPr>
          <w:rFonts w:hint="eastAsia" w:cs="黑体" w:asciiTheme="minorEastAsia" w:hAnsiTheme="minorEastAsia" w:eastAsiaTheme="minorEastAsia"/>
          <w:color w:val="000000"/>
          <w:kern w:val="0"/>
          <w:sz w:val="32"/>
          <w:szCs w:val="32"/>
          <w:lang w:val="en-US" w:eastAsia="zh-CN" w:bidi="ar-SA"/>
        </w:rPr>
        <w:t>（一）</w:t>
      </w:r>
      <w:r>
        <w:rPr>
          <w:rFonts w:hint="eastAsia" w:asciiTheme="minorEastAsia" w:hAnsiTheme="minorEastAsia" w:eastAsiaTheme="minorEastAsia"/>
          <w:sz w:val="32"/>
          <w:szCs w:val="32"/>
          <w:lang w:eastAsia="zh-CN"/>
        </w:rPr>
        <w:t>绩效管理评价工作开展情况。</w:t>
      </w:r>
    </w:p>
    <w:p w14:paraId="4988E116">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根据预算绩效管理要求，我们组织对</w:t>
      </w:r>
      <w:r>
        <w:rPr>
          <w:rFonts w:hint="eastAsia" w:asciiTheme="minorEastAsia" w:hAnsiTheme="minorEastAsia" w:eastAsiaTheme="minorEastAsia"/>
          <w:sz w:val="32"/>
          <w:szCs w:val="32"/>
          <w:lang w:val="en-US" w:eastAsia="zh-CN"/>
        </w:rPr>
        <w:t>2022年度整体支出和项目资金实施了全覆盖性的绩效评价，撰写了绩效自评报告。</w:t>
      </w:r>
    </w:p>
    <w:p w14:paraId="48B82E64">
      <w:pPr>
        <w:pStyle w:val="6"/>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组织开展整体支出绩效评价，涉及一般公共预算支出3112.27万元，政府性基金预算支出0万元，国有资本经营预算支出0万元。从评价情况来看，整体支出绩效评价中，2022年整体支出4745.02万元，其中：基本支出1799.21万元，项目支出2945.81万元，本单位整体支出绩效自评综合评分98分，评价结果等次为优。</w:t>
      </w:r>
    </w:p>
    <w:p w14:paraId="7A533A3F">
      <w:pPr>
        <w:pStyle w:val="6"/>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组织对一般公共预算项目支出全面开展绩效自评，项目0个，共涉及资金0元，占一般公共预算项目支出总额的0</w:t>
      </w:r>
      <w:bookmarkStart w:id="0" w:name="_GoBack"/>
      <w:bookmarkEnd w:id="0"/>
      <w:r>
        <w:rPr>
          <w:rFonts w:hint="eastAsia" w:asciiTheme="minorEastAsia" w:hAnsiTheme="minorEastAsia" w:eastAsiaTheme="minorEastAsia"/>
          <w:sz w:val="32"/>
          <w:szCs w:val="32"/>
          <w:lang w:val="en-US" w:eastAsia="zh-CN"/>
        </w:rPr>
        <w:t>%。组织对政府性基金预算项目支出开展绩效自评，项目1个，共涉及资金1264.42万元，占政府性基金预算项目支出总额的100%。组织对国有资本经营预算项目支出开展绩效自评，项目0个，共涉及资金0万元，占国有资本经营预算项目支出总额的0%。从评价情况来看，项目绩效自评得分100分，评价等次为优。</w:t>
      </w:r>
    </w:p>
    <w:p w14:paraId="64B0A8AC">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（二）部门决算中绩效自评结果情况。</w:t>
      </w:r>
    </w:p>
    <w:p w14:paraId="09B2AB5B">
      <w:pPr>
        <w:pStyle w:val="6"/>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根据年初设定的绩效目标，绩效自评得分为98分。全年预算数为1845.47万元，执行数为1845.47万元，完成预算的100%。绩效目标完成情况：1、顺利完成了大型传统巴陵戏的复排；2、已完成参赛剧本的确定，于2023年元月7投排，参加湖南省第八届艺术节新创大型舞台剧目展演；3、增加恵及游客人数50多万；4、对于文旅融合，我们拓展思路积极探索，将文化艺术融入到旅游景区之内，从节目形式和内容上创新，上演短小精简而富有地方代表性的戏曲、歌舞、相声等节目50余次，惠及游客近50多万；5、晓朝宾馆改扩建工程已正式开工。发现</w:t>
      </w:r>
      <w:r>
        <w:rPr>
          <w:rFonts w:hint="default"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lang w:val="en-US" w:eastAsia="zh-CN"/>
        </w:rPr>
        <w:t>主要</w:t>
      </w:r>
      <w:r>
        <w:rPr>
          <w:rFonts w:hint="default" w:asciiTheme="minorEastAsia" w:hAnsiTheme="minorEastAsia" w:eastAsiaTheme="minorEastAsia"/>
          <w:sz w:val="32"/>
          <w:szCs w:val="32"/>
          <w:lang w:val="en-US" w:eastAsia="zh-CN"/>
        </w:rPr>
        <w:t>问题及原因</w:t>
      </w:r>
      <w:r>
        <w:rPr>
          <w:rFonts w:hint="eastAsia" w:asciiTheme="minorEastAsia" w:hAnsiTheme="minorEastAsia" w:eastAsiaTheme="minorEastAsia"/>
          <w:sz w:val="32"/>
          <w:szCs w:val="32"/>
          <w:lang w:val="en-US" w:eastAsia="zh-CN"/>
        </w:rPr>
        <w:t>：回望过去的一年，我院在局党组的关怀和同志们的大力支持下，我们虽说取得了一定的成绩，但离上级的要求还有一定的差距。主要表现为：一是理论和业务学习不够深入；二是创新意识有所欠缺。今后，我们将努力克服自身不足，认真学习，严格自律，为我市文化旅游事业持续健康发展作出更大的贡献。</w:t>
      </w:r>
      <w:r>
        <w:rPr>
          <w:rFonts w:hint="default" w:asciiTheme="minorEastAsia" w:hAnsiTheme="minorEastAsia" w:eastAsiaTheme="minorEastAsia"/>
          <w:sz w:val="32"/>
          <w:szCs w:val="32"/>
          <w:lang w:val="en-US" w:eastAsia="zh-CN"/>
        </w:rPr>
        <w:t>下一步改进措施</w:t>
      </w:r>
      <w:r>
        <w:rPr>
          <w:rFonts w:hint="eastAsia" w:asciiTheme="minorEastAsia" w:hAnsiTheme="minorEastAsia" w:eastAsiaTheme="minorEastAsia"/>
          <w:sz w:val="32"/>
          <w:szCs w:val="32"/>
          <w:lang w:val="en-US" w:eastAsia="zh-CN"/>
        </w:rPr>
        <w:t>：</w:t>
      </w:r>
    </w:p>
    <w:p w14:paraId="16B0F850">
      <w:pPr>
        <w:pStyle w:val="6"/>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克服自身不足，认真学习，提高创新意识，严格自律，为我市文化事业持续健康发展作出更大的贡献。</w:t>
      </w:r>
    </w:p>
    <w:p w14:paraId="1FBFEFD0">
      <w:pPr>
        <w:pStyle w:val="6"/>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（三）部门评价项目绩效评价结果。</w:t>
      </w:r>
    </w:p>
    <w:p w14:paraId="53BF62C6">
      <w:pPr>
        <w:pStyle w:val="6"/>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预算绩效管理开展情况、绩效目标和绩效评价报告等，已在市政府部门财政预决算公开平台上向社会公开。</w:t>
      </w:r>
    </w:p>
    <w:p w14:paraId="6AC8BA42">
      <w:pPr>
        <w:pStyle w:val="6"/>
        <w:jc w:val="both"/>
        <w:rPr>
          <w:rFonts w:hint="eastAsia" w:ascii="方正小标宋_GBK" w:hAnsi="方正小标宋_GBK" w:eastAsia="方正小标宋_GBK" w:cs="方正小标宋_GBK"/>
          <w:sz w:val="72"/>
          <w:szCs w:val="72"/>
        </w:rPr>
      </w:pPr>
    </w:p>
    <w:p w14:paraId="4E48D7D9">
      <w:pPr>
        <w:pStyle w:val="2"/>
        <w:numPr>
          <w:ilvl w:val="0"/>
          <w:numId w:val="0"/>
        </w:numPr>
        <w:rPr>
          <w:rFonts w:hint="eastAsia" w:eastAsia="宋体"/>
          <w:lang w:val="en-US" w:eastAsia="zh-CN"/>
        </w:rPr>
      </w:pPr>
    </w:p>
    <w:p w14:paraId="36E9919F">
      <w:pPr>
        <w:pStyle w:val="6"/>
        <w:jc w:val="both"/>
        <w:rPr>
          <w:sz w:val="72"/>
          <w:szCs w:val="72"/>
        </w:rPr>
      </w:pPr>
    </w:p>
    <w:p w14:paraId="53B40E1C">
      <w:pPr>
        <w:pStyle w:val="6"/>
        <w:jc w:val="center"/>
        <w:rPr>
          <w:rFonts w:hint="eastAsia"/>
          <w:sz w:val="72"/>
          <w:szCs w:val="72"/>
        </w:rPr>
      </w:pPr>
    </w:p>
    <w:p w14:paraId="59F65FDE">
      <w:pPr>
        <w:pStyle w:val="6"/>
        <w:jc w:val="center"/>
        <w:rPr>
          <w:rFonts w:hint="eastAsia"/>
          <w:sz w:val="72"/>
          <w:szCs w:val="72"/>
        </w:rPr>
      </w:pPr>
    </w:p>
    <w:p w14:paraId="3674392A">
      <w:pPr>
        <w:pStyle w:val="6"/>
        <w:jc w:val="center"/>
        <w:rPr>
          <w:rFonts w:hint="eastAsia"/>
          <w:sz w:val="72"/>
          <w:szCs w:val="72"/>
        </w:rPr>
      </w:pPr>
    </w:p>
    <w:p w14:paraId="07DB767A">
      <w:pPr>
        <w:pStyle w:val="6"/>
        <w:jc w:val="center"/>
        <w:rPr>
          <w:rFonts w:hint="eastAsia"/>
          <w:sz w:val="72"/>
          <w:szCs w:val="72"/>
        </w:rPr>
      </w:pPr>
    </w:p>
    <w:p w14:paraId="3A14FB68">
      <w:pPr>
        <w:pStyle w:val="6"/>
        <w:jc w:val="center"/>
        <w:rPr>
          <w:rFonts w:hint="eastAsia"/>
          <w:sz w:val="72"/>
          <w:szCs w:val="72"/>
        </w:rPr>
      </w:pPr>
    </w:p>
    <w:p w14:paraId="13F9182B">
      <w:pPr>
        <w:pStyle w:val="6"/>
        <w:jc w:val="center"/>
        <w:rPr>
          <w:rFonts w:hint="eastAsia"/>
          <w:sz w:val="72"/>
          <w:szCs w:val="72"/>
        </w:rPr>
      </w:pPr>
    </w:p>
    <w:p w14:paraId="580C4803">
      <w:pPr>
        <w:pStyle w:val="6"/>
        <w:jc w:val="center"/>
        <w:rPr>
          <w:rFonts w:hint="eastAsia"/>
          <w:sz w:val="72"/>
          <w:szCs w:val="72"/>
        </w:rPr>
      </w:pPr>
    </w:p>
    <w:p w14:paraId="791522DF">
      <w:pPr>
        <w:pStyle w:val="6"/>
        <w:ind w:firstLine="3600" w:firstLineChars="500"/>
        <w:jc w:val="both"/>
        <w:rPr>
          <w:sz w:val="72"/>
          <w:szCs w:val="72"/>
        </w:rPr>
      </w:pPr>
      <w:r>
        <w:rPr>
          <w:rFonts w:hint="eastAsia"/>
          <w:sz w:val="72"/>
          <w:szCs w:val="72"/>
        </w:rPr>
        <w:t>第四部分</w:t>
      </w:r>
    </w:p>
    <w:p w14:paraId="0D4F8A11">
      <w:pPr>
        <w:jc w:val="center"/>
        <w:rPr>
          <w:rFonts w:ascii="黑体" w:eastAsia="黑体" w:cs="黑体"/>
          <w:color w:val="000000"/>
          <w:kern w:val="0"/>
          <w:sz w:val="70"/>
          <w:szCs w:val="70"/>
        </w:rPr>
      </w:pPr>
    </w:p>
    <w:p w14:paraId="4BDFD646">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B9B1972">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DB73E63">
      <w:pPr>
        <w:ind w:firstLine="640" w:firstLineChars="200"/>
        <w:jc w:val="left"/>
        <w:rPr>
          <w:rFonts w:cs="黑体" w:asciiTheme="minorEastAsia" w:hAnsiTheme="minorEastAsia"/>
          <w:color w:val="000000"/>
          <w:kern w:val="0"/>
          <w:sz w:val="32"/>
          <w:szCs w:val="32"/>
        </w:rPr>
      </w:pPr>
    </w:p>
    <w:p w14:paraId="043726D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F56C806">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68109AC">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财政拨款收入：指市级财政当年拨付的资金。</w:t>
      </w:r>
    </w:p>
    <w:p w14:paraId="19680A42">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四</w:t>
      </w:r>
      <w:r>
        <w:rPr>
          <w:rFonts w:hint="eastAsia" w:cs="黑体" w:asciiTheme="minorEastAsia" w:hAnsiTheme="minorEastAsia"/>
          <w:color w:val="000000"/>
          <w:kern w:val="0"/>
          <w:sz w:val="32"/>
          <w:szCs w:val="32"/>
        </w:rPr>
        <w:t>、上级补助收入：指单位从主管部门和上级单位取得的非财政性补助收入。</w:t>
      </w:r>
    </w:p>
    <w:p w14:paraId="0EDDE4F5">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五</w:t>
      </w:r>
      <w:r>
        <w:rPr>
          <w:rFonts w:hint="eastAsia" w:cs="黑体" w:asciiTheme="minorEastAsia" w:hAnsiTheme="minorEastAsia"/>
          <w:color w:val="000000"/>
          <w:kern w:val="0"/>
          <w:sz w:val="32"/>
          <w:szCs w:val="32"/>
        </w:rPr>
        <w:t>、其他收入：指除上述“财政拨款收入”、“上级补助收入”、“事业收入”、“经营收入”、“附属单位上缴收入”等以外的收入。</w:t>
      </w:r>
    </w:p>
    <w:p w14:paraId="747031CE">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六</w:t>
      </w:r>
      <w:r>
        <w:rPr>
          <w:rFonts w:hint="eastAsia" w:cs="黑体" w:asciiTheme="minorEastAsia" w:hAnsiTheme="minorEastAsia"/>
          <w:color w:val="000000"/>
          <w:kern w:val="0"/>
          <w:sz w:val="32"/>
          <w:szCs w:val="32"/>
        </w:rPr>
        <w:t>、上年结转和结余：指以前年度尚未完成、结转到本年按有关规定继续使用的资金。</w:t>
      </w:r>
    </w:p>
    <w:p w14:paraId="51ADBAE4">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七</w:t>
      </w:r>
      <w:r>
        <w:rPr>
          <w:rFonts w:hint="eastAsia" w:cs="黑体" w:asciiTheme="minorEastAsia" w:hAnsiTheme="minorEastAsia"/>
          <w:color w:val="000000"/>
          <w:kern w:val="0"/>
          <w:sz w:val="32"/>
          <w:szCs w:val="32"/>
        </w:rPr>
        <w:t>、基本支出：指保障机构正常运转、完成日常工作任务而发生的人员支出和公用支出。</w:t>
      </w:r>
    </w:p>
    <w:p w14:paraId="1D3CED41">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八</w:t>
      </w:r>
      <w:r>
        <w:rPr>
          <w:rFonts w:hint="eastAsia" w:cs="黑体" w:asciiTheme="minorEastAsia" w:hAnsiTheme="minorEastAsia"/>
          <w:color w:val="000000"/>
          <w:kern w:val="0"/>
          <w:sz w:val="32"/>
          <w:szCs w:val="32"/>
        </w:rPr>
        <w:t>、项目支出：指在基本支出之外为完成特定行政任务和事业发展目标所发生的支出。</w:t>
      </w:r>
    </w:p>
    <w:p w14:paraId="1EA4660C">
      <w:pPr>
        <w:pStyle w:val="6"/>
        <w:jc w:val="both"/>
        <w:rPr>
          <w:sz w:val="72"/>
          <w:szCs w:val="72"/>
        </w:rPr>
      </w:pPr>
    </w:p>
    <w:p w14:paraId="67FBB54B">
      <w:pPr>
        <w:pStyle w:val="6"/>
        <w:jc w:val="center"/>
        <w:rPr>
          <w:sz w:val="72"/>
          <w:szCs w:val="72"/>
        </w:rPr>
      </w:pPr>
    </w:p>
    <w:p w14:paraId="7A51219B">
      <w:pPr>
        <w:pStyle w:val="6"/>
        <w:jc w:val="center"/>
        <w:rPr>
          <w:sz w:val="72"/>
          <w:szCs w:val="72"/>
        </w:rPr>
      </w:pPr>
    </w:p>
    <w:p w14:paraId="487A5A7D">
      <w:pPr>
        <w:pStyle w:val="6"/>
        <w:jc w:val="center"/>
        <w:rPr>
          <w:sz w:val="72"/>
          <w:szCs w:val="72"/>
        </w:rPr>
      </w:pPr>
    </w:p>
    <w:p w14:paraId="0C152186">
      <w:pPr>
        <w:pStyle w:val="6"/>
        <w:jc w:val="center"/>
        <w:rPr>
          <w:sz w:val="72"/>
          <w:szCs w:val="72"/>
        </w:rPr>
      </w:pPr>
    </w:p>
    <w:p w14:paraId="4FC96ECE">
      <w:pPr>
        <w:pStyle w:val="6"/>
        <w:jc w:val="center"/>
        <w:rPr>
          <w:sz w:val="72"/>
          <w:szCs w:val="72"/>
        </w:rPr>
      </w:pPr>
    </w:p>
    <w:p w14:paraId="6786CD7C">
      <w:pPr>
        <w:pStyle w:val="6"/>
        <w:ind w:firstLine="3600" w:firstLineChars="500"/>
        <w:jc w:val="both"/>
        <w:rPr>
          <w:sz w:val="72"/>
          <w:szCs w:val="72"/>
        </w:rPr>
      </w:pPr>
      <w:r>
        <w:rPr>
          <w:rFonts w:hint="eastAsia"/>
          <w:sz w:val="72"/>
          <w:szCs w:val="72"/>
        </w:rPr>
        <w:t>第五部分</w:t>
      </w:r>
    </w:p>
    <w:p w14:paraId="122CBD32">
      <w:pPr>
        <w:jc w:val="center"/>
        <w:rPr>
          <w:rFonts w:ascii="黑体" w:eastAsia="黑体" w:cs="黑体"/>
          <w:color w:val="000000"/>
          <w:kern w:val="0"/>
          <w:sz w:val="70"/>
          <w:szCs w:val="70"/>
        </w:rPr>
      </w:pPr>
    </w:p>
    <w:p w14:paraId="6A3A7AA7">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14:paraId="71188D2E">
      <w:pPr>
        <w:ind w:firstLine="640" w:firstLineChars="200"/>
        <w:jc w:val="left"/>
        <w:rPr>
          <w:rFonts w:hint="eastAsia" w:cs="黑体" w:asciiTheme="minorEastAsia" w:hAnsi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w:t>
      </w:r>
    </w:p>
    <w:p w14:paraId="39DD1B75">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14:paraId="65BB69B0">
      <w:pPr>
        <w:pStyle w:val="2"/>
        <w:rPr>
          <w:rFonts w:hint="eastAsia"/>
          <w:lang w:val="en-US" w:eastAsia="zh-CN"/>
        </w:rPr>
        <w:sectPr>
          <w:pgSz w:w="11906" w:h="16838"/>
          <w:pgMar w:top="720" w:right="720" w:bottom="720" w:left="720" w:header="851" w:footer="992" w:gutter="0"/>
          <w:cols w:space="425" w:num="1"/>
          <w:docGrid w:type="linesAndChars" w:linePitch="312" w:charSpace="0"/>
        </w:sectPr>
      </w:pPr>
    </w:p>
    <w:p w14:paraId="075A78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DE1ZTc5N2NhM2Q5MjE1ZDAyNGIzOWQzY2I4MjQifQ=="/>
  </w:docVars>
  <w:rsids>
    <w:rsidRoot w:val="00000000"/>
    <w:rsid w:val="01C62A5D"/>
    <w:rsid w:val="02C1356F"/>
    <w:rsid w:val="05452235"/>
    <w:rsid w:val="05EA188D"/>
    <w:rsid w:val="067621FE"/>
    <w:rsid w:val="082B3CED"/>
    <w:rsid w:val="08D21A72"/>
    <w:rsid w:val="0AFF4C34"/>
    <w:rsid w:val="0BE856C8"/>
    <w:rsid w:val="0E4E0138"/>
    <w:rsid w:val="0E72571D"/>
    <w:rsid w:val="0F2406B2"/>
    <w:rsid w:val="0FA27510"/>
    <w:rsid w:val="10747C9D"/>
    <w:rsid w:val="10B262A5"/>
    <w:rsid w:val="120F1A86"/>
    <w:rsid w:val="14243B11"/>
    <w:rsid w:val="14445DAD"/>
    <w:rsid w:val="14F22B82"/>
    <w:rsid w:val="15261341"/>
    <w:rsid w:val="15B13919"/>
    <w:rsid w:val="15FF4ECF"/>
    <w:rsid w:val="17750B10"/>
    <w:rsid w:val="182A5C63"/>
    <w:rsid w:val="1901601B"/>
    <w:rsid w:val="19D13C3F"/>
    <w:rsid w:val="1A5A653B"/>
    <w:rsid w:val="1C1464B7"/>
    <w:rsid w:val="1DE1641B"/>
    <w:rsid w:val="1E4D00AE"/>
    <w:rsid w:val="1FC732D1"/>
    <w:rsid w:val="203B0065"/>
    <w:rsid w:val="220B7F0B"/>
    <w:rsid w:val="22B20386"/>
    <w:rsid w:val="25B54415"/>
    <w:rsid w:val="26091CE8"/>
    <w:rsid w:val="2FE035C1"/>
    <w:rsid w:val="304A3722"/>
    <w:rsid w:val="30A741ED"/>
    <w:rsid w:val="33184235"/>
    <w:rsid w:val="35F43E19"/>
    <w:rsid w:val="364B6544"/>
    <w:rsid w:val="3714752F"/>
    <w:rsid w:val="386B7248"/>
    <w:rsid w:val="3B5C028F"/>
    <w:rsid w:val="3D600CB3"/>
    <w:rsid w:val="3F723BAE"/>
    <w:rsid w:val="40D0614F"/>
    <w:rsid w:val="40F269F9"/>
    <w:rsid w:val="42B402B0"/>
    <w:rsid w:val="42E770D3"/>
    <w:rsid w:val="43952ED8"/>
    <w:rsid w:val="43C02F90"/>
    <w:rsid w:val="4BFA42A8"/>
    <w:rsid w:val="4C0375C4"/>
    <w:rsid w:val="4D8B3B2A"/>
    <w:rsid w:val="509A0753"/>
    <w:rsid w:val="509E3B74"/>
    <w:rsid w:val="519316F3"/>
    <w:rsid w:val="54096DD6"/>
    <w:rsid w:val="55716AFB"/>
    <w:rsid w:val="56A66D9A"/>
    <w:rsid w:val="5A8F2283"/>
    <w:rsid w:val="5F2B0CC9"/>
    <w:rsid w:val="5F9A7BFD"/>
    <w:rsid w:val="60BF1B2B"/>
    <w:rsid w:val="615D7134"/>
    <w:rsid w:val="61FD3581"/>
    <w:rsid w:val="62211A20"/>
    <w:rsid w:val="62FD472A"/>
    <w:rsid w:val="65962AA9"/>
    <w:rsid w:val="65D53DC2"/>
    <w:rsid w:val="665F1537"/>
    <w:rsid w:val="66CB3E71"/>
    <w:rsid w:val="6ACA4052"/>
    <w:rsid w:val="6B5B7CDD"/>
    <w:rsid w:val="6DE6281C"/>
    <w:rsid w:val="6E2C05BA"/>
    <w:rsid w:val="6FB97C2B"/>
    <w:rsid w:val="6FEC1DAE"/>
    <w:rsid w:val="704F233D"/>
    <w:rsid w:val="71866138"/>
    <w:rsid w:val="75C86E1A"/>
    <w:rsid w:val="75FA167D"/>
    <w:rsid w:val="764010A6"/>
    <w:rsid w:val="76B10335"/>
    <w:rsid w:val="76FA1255"/>
    <w:rsid w:val="783E73D2"/>
    <w:rsid w:val="783F6DB8"/>
    <w:rsid w:val="7AB34EF0"/>
    <w:rsid w:val="7B730C73"/>
    <w:rsid w:val="7D7022E1"/>
    <w:rsid w:val="7E3D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5678</Words>
  <Characters>6190</Characters>
  <Lines>0</Lines>
  <Paragraphs>0</Paragraphs>
  <TotalTime>5</TotalTime>
  <ScaleCrop>false</ScaleCrop>
  <LinksUpToDate>false</LinksUpToDate>
  <CharactersWithSpaces>6216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2022-09-26T07:26:00Z</dcterms:created>
  <dc:creator>Administrator</dc:creator>
  <cp:lastModifiedBy>许帝</cp:lastModifiedBy>
  <dcterms:modified xsi:type="dcterms:W3CDTF">2024-08-14T03:08:16Z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B0A62D65D9564878B3101909DA5326D8</vt:lpwstr>
  </property>
</Properties>
</file>