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</w:t>
      </w:r>
      <w:r>
        <w:rPr>
          <w:rFonts w:hint="eastAsia" w:eastAsia="仿宋_GB2312"/>
          <w:sz w:val="32"/>
          <w:u w:val="single"/>
          <w:lang w:eastAsia="zh-CN"/>
        </w:rPr>
        <w:t>环境监察、监测等运行经费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</w:t>
      </w:r>
      <w:r>
        <w:rPr>
          <w:rFonts w:hint="eastAsia" w:eastAsia="仿宋_GB2312"/>
          <w:sz w:val="32"/>
          <w:u w:val="single"/>
        </w:rPr>
        <w:t xml:space="preserve">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岳阳市生态环境局屈原分局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岳阳市生态环境局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 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2023  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6  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28 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730"/>
        <w:gridCol w:w="1451"/>
        <w:gridCol w:w="340"/>
        <w:gridCol w:w="413"/>
        <w:gridCol w:w="307"/>
        <w:gridCol w:w="677"/>
        <w:gridCol w:w="670"/>
        <w:gridCol w:w="409"/>
        <w:gridCol w:w="456"/>
        <w:gridCol w:w="272"/>
        <w:gridCol w:w="150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方强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13637305746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岳阳市屈原管理区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2"/>
            <w:vAlign w:val="center"/>
          </w:tcPr>
          <w:p>
            <w:pPr>
              <w:ind w:firstLine="1190" w:firstLineChars="496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3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30.5</w:t>
            </w:r>
          </w:p>
        </w:tc>
        <w:tc>
          <w:tcPr>
            <w:tcW w:w="17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30.5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30.5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3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3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3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30.5</w:t>
            </w:r>
          </w:p>
        </w:tc>
        <w:tc>
          <w:tcPr>
            <w:tcW w:w="17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30.5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30.5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9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二</w:t>
            </w:r>
            <w:r>
              <w:rPr>
                <w:rFonts w:hint="eastAsia" w:eastAsia="仿宋_GB2312"/>
                <w:b/>
                <w:sz w:val="24"/>
              </w:rPr>
              <w:t>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642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642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目标1、日常环境监管、执法工作；</w:t>
            </w:r>
          </w:p>
          <w:p>
            <w:pPr>
              <w:spacing w:line="240" w:lineRule="exact"/>
              <w:jc w:val="left"/>
              <w:rPr>
                <w:rFonts w:hint="eastAsia"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目标2、委托第三方进行执法性监督监测；</w:t>
            </w:r>
          </w:p>
          <w:p>
            <w:pPr>
              <w:spacing w:line="240" w:lineRule="exact"/>
              <w:jc w:val="left"/>
              <w:rPr>
                <w:rFonts w:hint="eastAsia"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目标3、环保迎检、应急处置经费；</w:t>
            </w:r>
          </w:p>
          <w:p>
            <w:pPr>
              <w:spacing w:line="240" w:lineRule="exact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目标4、节能环保宣传费用。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已完成预期目标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1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45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45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非道路移动编码机械编码登记、机动车尾气排放超标现象检测和非道路移动机械监督性抽测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40台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各种整治符合环保标准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完成主要污染物减排目标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突发事件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即时完成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按时完成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工作按计划完成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按年度计划时间内完成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按计划完成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所有的支出控制在预算内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工作经费和专项治理经费按要求控制在预算内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执行率为100%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45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改善辖区环境质量及群众生产生活环境，达到环境质量控制目标。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73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社会反响良好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群众满意率上升到95%</w:t>
            </w:r>
          </w:p>
        </w:tc>
        <w:tc>
          <w:tcPr>
            <w:tcW w:w="2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大于等于9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9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19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9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19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三</w:t>
            </w:r>
            <w:r>
              <w:rPr>
                <w:rFonts w:hint="eastAsia" w:eastAsia="仿宋_GB2312"/>
                <w:b/>
                <w:sz w:val="24"/>
              </w:rPr>
              <w:t>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20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方强</w:t>
            </w:r>
          </w:p>
        </w:tc>
        <w:tc>
          <w:tcPr>
            <w:tcW w:w="2204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副局长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岳阳市生态环境局屈原分局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柳新辉</w:t>
            </w:r>
          </w:p>
        </w:tc>
        <w:tc>
          <w:tcPr>
            <w:tcW w:w="2204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办公室主任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岳阳市生态环境局屈原分局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黄娟</w:t>
            </w:r>
          </w:p>
        </w:tc>
        <w:tc>
          <w:tcPr>
            <w:tcW w:w="2204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会计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岳阳市生态环境局屈原分局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按年初目标，如期超质量完成任务，绩效考评为优秀。</w:t>
            </w:r>
            <w:bookmarkStart w:id="0" w:name="_GoBack"/>
            <w:bookmarkEnd w:id="0"/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tabs>
                <w:tab w:val="left" w:pos="6933"/>
              </w:tabs>
              <w:spacing w:line="440" w:lineRule="exact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ab/>
            </w:r>
            <w:r>
              <w:rPr>
                <w:rFonts w:hint="eastAsia" w:eastAsia="仿宋_GB2312"/>
                <w:sz w:val="24"/>
                <w:lang w:val="en-US" w:eastAsia="zh-CN"/>
              </w:rPr>
              <w:t>2023年6月28日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黄娟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15575068909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560" w:firstLineChars="200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坚持问题导向、突出整治重点，全面打好打赢各项污染防治攻坚战，顺利开展了“利剑”专项整治行动、大气污染防治“特护期”攻坚，完成了2022年生态环境保护各项目标任务。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ind w:firstLine="56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本项目申报资金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万元，202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年财政实际拨付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万元，项目实际支出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万元，结余0万元。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ind w:firstLine="560" w:firstLineChars="200"/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始终紧盯环境治理的主责主业，对环境污染实施靶向治理。加快推进非道路移动编码机械编码登记、机动车尾气排放超标现象检测和非道路移动机械监督性抽测，加大对高排放车辆的执法检查，截止11月份，已完成路检45台，完成全年任务的112%，处罚超标车辆1台。严格落实对车检机构每月1次的常态化监管。强势启动“利剑”行动风险隐患排查，共计排查问题20个，截止11月份，均已整改到位或者已采取风险管控措施。将固危废申报、排污许可证、排污信息公开作为推进企业自主环境治理的有效手段，已完成12家企业排污许可证质量审核与核改。对全部已核发排污许可证进行了清查，督促按照排污实际进行重新申报。督促企业自主公开排污信息8家，企业投入环境治理主动性、积极性明显提升。分局严格落实优化营商环境惠企政策，积极加大对企业帮扶力度，实行生态环境轻微违法“首违免罚”，让环境执法有力度更有温度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  <w:t>通过宣传使广大人民群众提高环境保护意识，将日常宣传与主题宣传有机结合，先后开展“河小青”守护汨罗江、“4.22世界地球日”、“6.5世界环境日”、节能宣传周绿色低碳日、“我为群众讲监测，走进岳阳屈原水质自动监测站”对外开放日活动等主题活动5次，参加人员1000多人次，营造了人人参与环境保护的浓厚氛围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ind w:firstLine="560" w:firstLineChars="200"/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  <w:t>本单位及时发现问题，处理问题，全面加强环境执法监管，提高环境监测、监察及监控能力方面；高度重视生态环境保护工作，主要领导对突出环境问题整改、水和大气污染防治等工作提出明确指示要求，并深入一线调研督导。组织开展生态环保执法检查，积极开展监督性调研活动，持续深入开展专项行动，以强有力的监督助力打好污染防治攻坚战。各级各部门切实履职尽责，细化量化工作措施、通力协作，形成了齐抓共管生态环境保护工作的合力。先后开展各环境保护宣传主题活动5次，营造了人人参与环境保护的浓厚氛围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（五）项目主要绩效情况分析</w:t>
            </w:r>
          </w:p>
          <w:p>
            <w:pPr>
              <w:ind w:firstLine="560" w:firstLineChars="200"/>
              <w:rPr>
                <w:rFonts w:hint="default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kern w:val="2"/>
                <w:sz w:val="28"/>
                <w:szCs w:val="28"/>
                <w:lang w:val="en-US" w:eastAsia="zh-CN" w:bidi="ar-SA"/>
              </w:rPr>
              <w:t>主要工作推进情况：1、坚持推进污染防治专项督查整改；2、突出抓好环境综合治理；3、节能环保的大力宣传。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认真贯彻执行财政资金政策，充分发挥项目资金在环境保护、经济发展和社会和谐中的杠杆作用，取到了良好效果。但还存在环境监管能力不够强、执法水平不够高、排查工作不够细、推进工作不够快等短板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。在今后的工作中，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将做好以下重点工作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：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、加强财务管理，严格财务审批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做到专款专用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val="en-US" w:eastAsia="zh-CN"/>
              </w:rPr>
              <w:t>2、注重部门协作，增强工作合力；3、发挥资金的引导功能，发挥项目资金实效，争取环境效益最大化；4、突出抓好清廉单元建设。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6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3"/>
  <w:drawingGridVerticalSpacing w:val="30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zMmYxOTY5YTJkYjFmMjY1NTQ4Y2ZiYzQ4YzQ4ZjE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3F81946"/>
    <w:rsid w:val="043C3328"/>
    <w:rsid w:val="04723566"/>
    <w:rsid w:val="04BA4406"/>
    <w:rsid w:val="04EA2C78"/>
    <w:rsid w:val="07532D57"/>
    <w:rsid w:val="08321B5D"/>
    <w:rsid w:val="086957D3"/>
    <w:rsid w:val="08806C9E"/>
    <w:rsid w:val="08D24DC7"/>
    <w:rsid w:val="092C1F5D"/>
    <w:rsid w:val="099F6F75"/>
    <w:rsid w:val="09BB340E"/>
    <w:rsid w:val="09D46F84"/>
    <w:rsid w:val="0A0B2BA1"/>
    <w:rsid w:val="0AE97DD7"/>
    <w:rsid w:val="0B1F3FDB"/>
    <w:rsid w:val="0BA6031D"/>
    <w:rsid w:val="0BCC4C65"/>
    <w:rsid w:val="0BEF049C"/>
    <w:rsid w:val="0CD27968"/>
    <w:rsid w:val="0D005B4E"/>
    <w:rsid w:val="0E875A86"/>
    <w:rsid w:val="10371B3F"/>
    <w:rsid w:val="10ED4807"/>
    <w:rsid w:val="111C4602"/>
    <w:rsid w:val="11751C07"/>
    <w:rsid w:val="11C66545"/>
    <w:rsid w:val="11E64743"/>
    <w:rsid w:val="13013117"/>
    <w:rsid w:val="130C5B6F"/>
    <w:rsid w:val="139A36C9"/>
    <w:rsid w:val="13FD6BA3"/>
    <w:rsid w:val="16C26394"/>
    <w:rsid w:val="17A43566"/>
    <w:rsid w:val="17D62449"/>
    <w:rsid w:val="18166C57"/>
    <w:rsid w:val="19995198"/>
    <w:rsid w:val="1A061399"/>
    <w:rsid w:val="1A816D32"/>
    <w:rsid w:val="1B451F82"/>
    <w:rsid w:val="1BC17DD9"/>
    <w:rsid w:val="1D5875E2"/>
    <w:rsid w:val="20C05FEB"/>
    <w:rsid w:val="2150117A"/>
    <w:rsid w:val="21C83E37"/>
    <w:rsid w:val="230663AE"/>
    <w:rsid w:val="234356F6"/>
    <w:rsid w:val="234D11AE"/>
    <w:rsid w:val="248B0D70"/>
    <w:rsid w:val="24E444AE"/>
    <w:rsid w:val="24F47A9F"/>
    <w:rsid w:val="25362417"/>
    <w:rsid w:val="26910987"/>
    <w:rsid w:val="27800A53"/>
    <w:rsid w:val="27831DEA"/>
    <w:rsid w:val="27F33C7F"/>
    <w:rsid w:val="282F1E8B"/>
    <w:rsid w:val="28B453D5"/>
    <w:rsid w:val="28B501B6"/>
    <w:rsid w:val="29920A20"/>
    <w:rsid w:val="29FF3454"/>
    <w:rsid w:val="2A024927"/>
    <w:rsid w:val="2AE422B4"/>
    <w:rsid w:val="2B571D3D"/>
    <w:rsid w:val="2DCF3E14"/>
    <w:rsid w:val="2E124D4B"/>
    <w:rsid w:val="2FAB3B39"/>
    <w:rsid w:val="30096031"/>
    <w:rsid w:val="31B47AAC"/>
    <w:rsid w:val="32F61BFE"/>
    <w:rsid w:val="33800DD4"/>
    <w:rsid w:val="3386755B"/>
    <w:rsid w:val="33D81965"/>
    <w:rsid w:val="33FB79C4"/>
    <w:rsid w:val="35327B23"/>
    <w:rsid w:val="3547731A"/>
    <w:rsid w:val="3662489D"/>
    <w:rsid w:val="366375D2"/>
    <w:rsid w:val="379B40A4"/>
    <w:rsid w:val="382D2531"/>
    <w:rsid w:val="39B83504"/>
    <w:rsid w:val="3B681D67"/>
    <w:rsid w:val="3B7E0727"/>
    <w:rsid w:val="3CC6041E"/>
    <w:rsid w:val="3DB14044"/>
    <w:rsid w:val="3E446A1F"/>
    <w:rsid w:val="41DB497A"/>
    <w:rsid w:val="432C3BF6"/>
    <w:rsid w:val="456A3C81"/>
    <w:rsid w:val="456F6819"/>
    <w:rsid w:val="47AC402E"/>
    <w:rsid w:val="488C1A5A"/>
    <w:rsid w:val="497A5C9E"/>
    <w:rsid w:val="4A921CA8"/>
    <w:rsid w:val="4B0D129B"/>
    <w:rsid w:val="4CAD6623"/>
    <w:rsid w:val="4CC47888"/>
    <w:rsid w:val="4D78026E"/>
    <w:rsid w:val="4DA150FB"/>
    <w:rsid w:val="4F0A0126"/>
    <w:rsid w:val="4FC86BB2"/>
    <w:rsid w:val="4FD10CDD"/>
    <w:rsid w:val="4FDF32BD"/>
    <w:rsid w:val="50770BDE"/>
    <w:rsid w:val="50D747F8"/>
    <w:rsid w:val="51574B32"/>
    <w:rsid w:val="518665EC"/>
    <w:rsid w:val="52CB6318"/>
    <w:rsid w:val="531A0AE1"/>
    <w:rsid w:val="53810CBC"/>
    <w:rsid w:val="54DA5AFE"/>
    <w:rsid w:val="54E96D2E"/>
    <w:rsid w:val="556A09ED"/>
    <w:rsid w:val="55737069"/>
    <w:rsid w:val="55742F2F"/>
    <w:rsid w:val="55C331B7"/>
    <w:rsid w:val="55CC7CA4"/>
    <w:rsid w:val="575956A5"/>
    <w:rsid w:val="57C73531"/>
    <w:rsid w:val="57D24C11"/>
    <w:rsid w:val="58030DFB"/>
    <w:rsid w:val="59876B61"/>
    <w:rsid w:val="5A3E760D"/>
    <w:rsid w:val="5A8E583E"/>
    <w:rsid w:val="5B9C28C3"/>
    <w:rsid w:val="5C2D0B39"/>
    <w:rsid w:val="5C771920"/>
    <w:rsid w:val="5DD123FC"/>
    <w:rsid w:val="5DE825D6"/>
    <w:rsid w:val="5E153581"/>
    <w:rsid w:val="6022537E"/>
    <w:rsid w:val="604844AC"/>
    <w:rsid w:val="60617302"/>
    <w:rsid w:val="607962BF"/>
    <w:rsid w:val="60FF1D56"/>
    <w:rsid w:val="61311352"/>
    <w:rsid w:val="615F2210"/>
    <w:rsid w:val="615F672A"/>
    <w:rsid w:val="620C3FF1"/>
    <w:rsid w:val="62616160"/>
    <w:rsid w:val="630933A6"/>
    <w:rsid w:val="639F5900"/>
    <w:rsid w:val="64452A14"/>
    <w:rsid w:val="64D85D95"/>
    <w:rsid w:val="656715B4"/>
    <w:rsid w:val="658658CD"/>
    <w:rsid w:val="6596001E"/>
    <w:rsid w:val="65D43BF4"/>
    <w:rsid w:val="67A24393"/>
    <w:rsid w:val="689D49C6"/>
    <w:rsid w:val="6A535F74"/>
    <w:rsid w:val="6B7E1985"/>
    <w:rsid w:val="6E394A98"/>
    <w:rsid w:val="6E81656F"/>
    <w:rsid w:val="6ED872FF"/>
    <w:rsid w:val="6F642AF4"/>
    <w:rsid w:val="6F80296B"/>
    <w:rsid w:val="70796201"/>
    <w:rsid w:val="71695B67"/>
    <w:rsid w:val="7261193B"/>
    <w:rsid w:val="74AF008E"/>
    <w:rsid w:val="759A216F"/>
    <w:rsid w:val="76723D86"/>
    <w:rsid w:val="77253503"/>
    <w:rsid w:val="779E30CB"/>
    <w:rsid w:val="7801100A"/>
    <w:rsid w:val="78592FD3"/>
    <w:rsid w:val="78875A40"/>
    <w:rsid w:val="7A624B2D"/>
    <w:rsid w:val="7ACE4250"/>
    <w:rsid w:val="7BC307D9"/>
    <w:rsid w:val="7C4A40EA"/>
    <w:rsid w:val="7EA06D55"/>
    <w:rsid w:val="7F0A3C90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 2"/>
    <w:basedOn w:val="1"/>
    <w:link w:val="14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17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3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4">
    <w:name w:val="正文文本缩进 2 字符"/>
    <w:basedOn w:val="8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7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2205</Words>
  <Characters>2291</Characters>
  <Lines>47</Lines>
  <Paragraphs>13</Paragraphs>
  <TotalTime>1</TotalTime>
  <ScaleCrop>false</ScaleCrop>
  <LinksUpToDate>false</LinksUpToDate>
  <CharactersWithSpaces>2818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Administrator</cp:lastModifiedBy>
  <cp:lastPrinted>2021-06-25T03:03:00Z</cp:lastPrinted>
  <dcterms:modified xsi:type="dcterms:W3CDTF">2023-10-31T01:27:43Z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E9AB61422BA345C6B3FEB1316985C953</vt:lpwstr>
  </property>
</Properties>
</file>