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岳阳市道路运输服务中心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岳阳市道路运输服务中心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市道路运输服务中心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核定全额拔款事业编制90名。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经费渠道为财政全额拨款。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单位现实有在编人员8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023年度招录公开招聘人员2人，招录四海揽才人员6人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核定领导职数6名，设主任（副处级）1名，党委副职（正科级）5名（其中党委专职副书记1名）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内设机构副科级领导职数11名（含党委办主任1名）；分支机构正科级领导职数3名、副科级领导职数6名。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numPr>
          <w:ilvl w:val="0"/>
          <w:numId w:val="0"/>
        </w:numPr>
        <w:snapToGrid w:val="0"/>
        <w:spacing w:line="520" w:lineRule="exact"/>
        <w:ind w:left="840" w:leftChars="0" w:firstLine="0" w:firstLineChars="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总体情况：2023年度部门支出数为1507.43万元，其中工资福利支出总数为1216.08万元，占总支出的80.6%；商品和服务支出总数为151.12万元，占总支出的10.2%；对个人和家庭的补助总数为106.22万元，占总支出的7.0%；资本性支出总数为34万元，占总支出的2.2%。</w:t>
      </w:r>
    </w:p>
    <w:p>
      <w:pPr>
        <w:numPr>
          <w:ilvl w:val="0"/>
          <w:numId w:val="0"/>
        </w:numPr>
        <w:snapToGrid w:val="0"/>
        <w:spacing w:line="520" w:lineRule="exact"/>
        <w:ind w:left="840" w:leftChars="0" w:firstLine="0" w:firstLineChars="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仿宋_GB2312" w:hAnsi="仿宋" w:eastAsia="仿宋_GB2312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/>
          <w:sz w:val="32"/>
          <w:szCs w:val="32"/>
        </w:rPr>
        <w:t>“三公”经费支出情况：“三公”经费财政拨款支出预算为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25.18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.51</w:t>
      </w:r>
      <w:r>
        <w:rPr>
          <w:rFonts w:hint="eastAsia" w:ascii="仿宋_GB2312" w:hAnsi="仿宋" w:eastAsia="仿宋_GB2312"/>
          <w:sz w:val="32"/>
          <w:szCs w:val="32"/>
        </w:rPr>
        <w:t>万元，完成预算的100%，其中：公务用车运行维护费支出预算为2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.08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0.83</w:t>
      </w:r>
      <w:r>
        <w:rPr>
          <w:rFonts w:hint="eastAsia" w:ascii="仿宋_GB2312" w:hAnsi="仿宋" w:eastAsia="仿宋_GB2312"/>
          <w:sz w:val="32"/>
          <w:szCs w:val="32"/>
        </w:rPr>
        <w:t>万元，完成预算的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公务接待费支出预算为0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.43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支出为0.4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万元，完成预算的100%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项目支出总数为22万元，分别为地方铁路安全监管专项14万元，非税收入直接征收成本8万元。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部门年度完成</w:t>
      </w:r>
      <w:r>
        <w:rPr>
          <w:rFonts w:hint="eastAsia" w:ascii="仿宋_GB2312" w:hAnsi="仿宋" w:eastAsia="仿宋_GB2312"/>
          <w:sz w:val="32"/>
          <w:szCs w:val="32"/>
        </w:rPr>
        <w:t>一级项目和二级项目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绩效目标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，完成产出指标的数量指标值，客运、货运业务办理完成率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95%，完成地方铁路1450万吨货运量，完成从业人员2000人的培训；达成效益指标的经济效益，减税降费达到100万元。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无政府性基金预算支出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 xml:space="preserve"> 无</w:t>
      </w:r>
      <w:r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国有资本经营预算支出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社会保险基金预算支出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ind w:firstLine="960" w:firstLineChars="300"/>
        <w:rPr>
          <w:rFonts w:hint="eastAsia" w:eastAsia="仿宋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我中心较好地完成了202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设定的工作任务，各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得到有序开展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坚持服务至上理念，推进运输结构调整,服务运输经济发展，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主要事业成效如下：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引导和支持客运站综合开发，鼓励和规范定制客运发展，全市开通线路9条、车辆118辆。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碳达峰碳中和稳步推进，新上纯电网约车9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台，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是</w:t>
      </w:r>
      <w:r>
        <w:rPr>
          <w:rFonts w:hint="eastAsia" w:ascii="仿宋" w:hAnsi="仿宋" w:eastAsia="仿宋" w:cs="仿宋"/>
          <w:sz w:val="32"/>
          <w:szCs w:val="32"/>
          <w:lang w:bidi="ar"/>
        </w:rPr>
        <w:t>2022 年底的 8倍多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全市 90 台出租车完成“油换电”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办理出租车注册、注销服务监督卡3256张，续牌办理道路运输证228台。客运车辆年审513台次，审核换领旅游客运包车牌1.25万张;完成普货年审4448台，危货审验788台，办理电子运单19.78万条。举办客、危、出租车从业资格培训班32期，完成培训3171人，考核合格2435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解决中心城区“两客一危”企业日常巡查查摆隐患问题98个，整改98个，警示约谈企业负责人11次，安全巡查覆盖率100%，对全市14家涉铁企业32个道口开展“隐患清零”专项检查9次，整治铁路沿线安全隐患308处。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开展使得区域内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经济效益、社会效益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，到年底完成全部项目的100%，资金拨付达到90%，完成项目验收率达到100%。区域内的铁路运输得到保障，为区域内经济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创造了条件，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为当地带来较为良好的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影响当地经济发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社会公众的满意度非常高。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缺乏明确的绩效评价指标，难以量化和细化，评价标准过于抽象，不易理解和执行；缺乏有效的预算执行监督机制。原因一是没有加强预算执行监督，提高财务透明度，二是没有简化绩效管理流程，没有优化跨部门协作，财务管理的信息化水平有待提高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进一步促进和完善财务管理制度及内部控制，加强预算管理、严格预算执行，严格按照财政预算标准支付各项费用。加强日常</w:t>
      </w:r>
      <w:r>
        <w:rPr>
          <w:rFonts w:hint="eastAsia" w:eastAsia="仿宋" w:cs="仿宋"/>
          <w:sz w:val="32"/>
          <w:szCs w:val="32"/>
          <w:lang w:eastAsia="zh-CN"/>
        </w:rPr>
        <w:t>铁路监管</w:t>
      </w:r>
      <w:r>
        <w:rPr>
          <w:rFonts w:hint="eastAsia" w:ascii="仿宋" w:hAnsi="仿宋" w:eastAsia="仿宋" w:cs="仿宋"/>
          <w:sz w:val="32"/>
          <w:szCs w:val="32"/>
        </w:rPr>
        <w:t>的巡查力度，稳步提升</w:t>
      </w:r>
      <w:r>
        <w:rPr>
          <w:rFonts w:hint="eastAsia" w:eastAsia="仿宋" w:cs="仿宋"/>
          <w:sz w:val="32"/>
          <w:szCs w:val="32"/>
          <w:lang w:eastAsia="zh-CN"/>
        </w:rPr>
        <w:t>铁路交通运力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年本单位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年初工作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计划与目标管理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，围绕市委、市政府以及省局的工作部署，积极履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，强化管理，较好地完成了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年工作目标，同时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严格执行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完善内控制度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单位整体支出效率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。在规定时限内对202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年部门整体支出绩效自评报告在岳阳市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交通运输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局门户网站进行公开。</w:t>
      </w: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59DE"/>
    <w:multiLevelType w:val="singleLevel"/>
    <w:tmpl w:val="877A59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4A13B8"/>
    <w:multiLevelType w:val="singleLevel"/>
    <w:tmpl w:val="E44A13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251FBCE"/>
    <w:multiLevelType w:val="singleLevel"/>
    <w:tmpl w:val="F251FB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9A2A67"/>
    <w:multiLevelType w:val="singleLevel"/>
    <w:tmpl w:val="579A2A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994676"/>
    <w:multiLevelType w:val="singleLevel"/>
    <w:tmpl w:val="5F9946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GFkMDMyYjJlMTAzMmJlNzRlMjFjYzM1ZGE5YWUifQ=="/>
  </w:docVars>
  <w:rsids>
    <w:rsidRoot w:val="389728E6"/>
    <w:rsid w:val="281D62A2"/>
    <w:rsid w:val="389728E6"/>
    <w:rsid w:val="3F4F55FF"/>
    <w:rsid w:val="59F55223"/>
    <w:rsid w:val="60DA4050"/>
    <w:rsid w:val="62E6391C"/>
    <w:rsid w:val="7C6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2024-06-26T02:12:00Z</dcterms:created>
  <dc:creator>张萌</dc:creator>
  <cp:lastModifiedBy>张萌</cp:lastModifiedBy>
  <dcterms:modified xsi:type="dcterms:W3CDTF">2024-07-04T02:42:26Z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CFFE1300DC064D3BA1622C45CEF34D3B_13</vt:lpwstr>
  </property>
</Properties>
</file>