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color w:val="auto"/>
          <w:sz w:val="2"/>
          <w:szCs w:val="2"/>
        </w:rPr>
      </w:pPr>
    </w:p>
    <w:tbl>
      <w:tblPr>
        <w:tblStyle w:val="8"/>
        <w:tblW w:w="15306" w:type="dxa"/>
        <w:tblInd w:w="5" w:type="dxa"/>
        <w:tblLayout w:type="fixed"/>
        <w:tblCellMar>
          <w:top w:w="0" w:type="dxa"/>
          <w:left w:w="0" w:type="dxa"/>
          <w:bottom w:w="0" w:type="dxa"/>
          <w:right w:w="0" w:type="dxa"/>
        </w:tblCellMar>
      </w:tblPr>
      <w:tblGrid>
        <w:gridCol w:w="15306"/>
      </w:tblGrid>
      <w:tr>
        <w:tblPrEx>
          <w:tblCellMar>
            <w:top w:w="0" w:type="dxa"/>
            <w:left w:w="0" w:type="dxa"/>
            <w:bottom w:w="0" w:type="dxa"/>
            <w:right w:w="0" w:type="dxa"/>
          </w:tblCellMar>
        </w:tblPrEx>
        <w:trPr>
          <w:trHeight w:val="9581"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1110" w:lineRule="exact"/>
              <w:ind w:left="20"/>
              <w:jc w:val="center"/>
              <w:rPr>
                <w:rFonts w:ascii="微软雅黑" w:hAnsi="Times New Roman" w:eastAsia="微软雅黑" w:cs="微软雅黑"/>
                <w:b/>
                <w:bCs/>
                <w:sz w:val="84"/>
                <w:szCs w:val="84"/>
              </w:rPr>
            </w:pPr>
            <w:r>
              <w:rPr>
                <w:rFonts w:hint="eastAsia" w:ascii="微软雅黑" w:hAnsi="Times New Roman" w:eastAsia="微软雅黑" w:cs="微软雅黑"/>
                <w:b/>
                <w:bCs/>
                <w:sz w:val="84"/>
                <w:szCs w:val="84"/>
              </w:rPr>
              <w:t>岳阳市城乡建设事务中心</w:t>
            </w:r>
            <w:r>
              <w:rPr>
                <w:rFonts w:ascii="微软雅黑" w:hAnsi="Times New Roman" w:eastAsia="微软雅黑" w:cs="微软雅黑"/>
                <w:b/>
                <w:bCs/>
                <w:sz w:val="84"/>
                <w:szCs w:val="84"/>
              </w:rPr>
              <w:t>2024</w:t>
            </w:r>
            <w:r>
              <w:rPr>
                <w:rFonts w:hint="eastAsia" w:ascii="微软雅黑" w:hAnsi="Times New Roman" w:eastAsia="微软雅黑" w:cs="微软雅黑"/>
                <w:b/>
                <w:bCs/>
                <w:sz w:val="84"/>
                <w:szCs w:val="84"/>
              </w:rPr>
              <w:t>年度</w:t>
            </w:r>
          </w:p>
          <w:p>
            <w:pPr>
              <w:spacing w:line="1110" w:lineRule="exact"/>
              <w:ind w:left="20"/>
              <w:jc w:val="center"/>
              <w:rPr>
                <w:rFonts w:ascii="微软雅黑" w:hAnsi="Times New Roman" w:eastAsia="微软雅黑" w:cs="微软雅黑"/>
                <w:sz w:val="84"/>
                <w:szCs w:val="84"/>
              </w:rPr>
            </w:pPr>
            <w:r>
              <w:rPr>
                <w:rFonts w:hint="eastAsia" w:ascii="微软雅黑" w:hAnsi="Times New Roman" w:eastAsia="微软雅黑" w:cs="微软雅黑"/>
                <w:b/>
                <w:bCs/>
                <w:sz w:val="84"/>
                <w:szCs w:val="84"/>
              </w:rPr>
              <w:t>单位预算</w:t>
            </w:r>
          </w:p>
        </w:tc>
      </w:tr>
      <w:tr>
        <w:tblPrEx>
          <w:tblCellMar>
            <w:top w:w="0" w:type="dxa"/>
            <w:left w:w="0" w:type="dxa"/>
            <w:bottom w:w="0" w:type="dxa"/>
            <w:right w:w="0" w:type="dxa"/>
          </w:tblCellMar>
        </w:tblPrEx>
        <w:trPr>
          <w:trHeight w:val="442"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25" w:lineRule="exact"/>
              <w:ind w:left="20"/>
              <w:jc w:val="center"/>
              <w:rPr>
                <w:rFonts w:ascii="Dialog" w:hAnsi="Times New Roman" w:eastAsia="Dialog" w:cs="Dialog"/>
                <w:sz w:val="44"/>
                <w:szCs w:val="44"/>
              </w:rPr>
            </w:pPr>
            <w:r>
              <w:rPr>
                <w:rFonts w:hint="eastAsia" w:ascii="Dialog" w:hAnsi="Times New Roman" w:eastAsia="Dialog" w:cs="Dialog"/>
                <w:sz w:val="44"/>
                <w:szCs w:val="44"/>
              </w:rPr>
              <w:t>目录</w:t>
            </w:r>
          </w:p>
        </w:tc>
      </w:tr>
      <w:tr>
        <w:tblPrEx>
          <w:tblCellMar>
            <w:top w:w="0" w:type="dxa"/>
            <w:left w:w="0" w:type="dxa"/>
            <w:bottom w:w="0" w:type="dxa"/>
            <w:right w:w="0" w:type="dxa"/>
          </w:tblCellMar>
        </w:tblPrEx>
        <w:trPr>
          <w:trHeight w:val="182" w:hRule="atLeast"/>
        </w:trPr>
        <w:tc>
          <w:tcPr>
            <w:tcW w:w="15306" w:type="dxa"/>
            <w:tcBorders>
              <w:top w:val="single" w:color="FFFFFF" w:sz="8" w:space="0"/>
              <w:left w:val="single" w:color="FFFFFF" w:sz="8" w:space="0"/>
              <w:bottom w:val="single" w:color="FFFFFF" w:sz="8" w:space="0"/>
              <w:right w:val="single" w:color="FFFFFF" w:sz="8" w:space="0"/>
            </w:tcBorders>
            <w:shd w:val="clear" w:color="auto" w:fill="FFFFFF"/>
            <w:vAlign w:val="center"/>
          </w:tcPr>
          <w:p>
            <w:pPr>
              <w:rPr>
                <w:rFonts w:ascii="Times New Roman" w:hAnsi="Times New Roman" w:cs="Times New Roman"/>
                <w:color w:val="auto"/>
              </w:rPr>
            </w:pP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hint="eastAsia" w:ascii="Dialog" w:hAnsi="Times New Roman" w:eastAsia="Dialog" w:cs="Dialog"/>
                <w:sz w:val="32"/>
                <w:szCs w:val="32"/>
              </w:rPr>
              <w:t>第一部分</w:t>
            </w:r>
            <w:r>
              <w:rPr>
                <w:rFonts w:ascii="Dialog" w:hAnsi="Times New Roman" w:eastAsia="Dialog" w:cs="Dialog"/>
                <w:sz w:val="32"/>
                <w:szCs w:val="32"/>
              </w:rPr>
              <w:t xml:space="preserve">  2024</w:t>
            </w:r>
            <w:r>
              <w:rPr>
                <w:rFonts w:hint="eastAsia" w:ascii="Dialog" w:hAnsi="Times New Roman" w:eastAsia="Dialog" w:cs="Dialog"/>
                <w:sz w:val="32"/>
                <w:szCs w:val="32"/>
              </w:rPr>
              <w:t>年单位预算说明</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hint="eastAsia" w:ascii="Dialog" w:hAnsi="Times New Roman" w:eastAsia="Dialog" w:cs="Dialog"/>
                <w:sz w:val="32"/>
                <w:szCs w:val="32"/>
              </w:rPr>
              <w:t>第二部分</w:t>
            </w:r>
            <w:r>
              <w:rPr>
                <w:rFonts w:ascii="Dialog" w:hAnsi="Times New Roman" w:eastAsia="Dialog" w:cs="Dialog"/>
                <w:sz w:val="32"/>
                <w:szCs w:val="32"/>
              </w:rPr>
              <w:t xml:space="preserve">  2024</w:t>
            </w:r>
            <w:r>
              <w:rPr>
                <w:rFonts w:hint="eastAsia" w:ascii="Dialog" w:hAnsi="Times New Roman" w:eastAsia="Dialog" w:cs="Dialog"/>
                <w:sz w:val="32"/>
                <w:szCs w:val="32"/>
              </w:rPr>
              <w:t>年单位预算公开表格</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w:t>
            </w:r>
            <w:r>
              <w:rPr>
                <w:rFonts w:hint="eastAsia" w:ascii="Dialog" w:hAnsi="Times New Roman" w:eastAsia="Dialog" w:cs="Dialog"/>
                <w:sz w:val="32"/>
                <w:szCs w:val="32"/>
              </w:rPr>
              <w:t>、收支总表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2</w:t>
            </w:r>
            <w:r>
              <w:rPr>
                <w:rFonts w:hint="eastAsia" w:ascii="Dialog" w:hAnsi="Times New Roman" w:eastAsia="Dialog" w:cs="Dialog"/>
                <w:sz w:val="32"/>
                <w:szCs w:val="32"/>
              </w:rPr>
              <w:t>、收入总表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3</w:t>
            </w:r>
            <w:r>
              <w:rPr>
                <w:rFonts w:hint="eastAsia" w:ascii="Dialog" w:hAnsi="Times New Roman" w:eastAsia="Dialog" w:cs="Dialog"/>
                <w:sz w:val="32"/>
                <w:szCs w:val="32"/>
              </w:rPr>
              <w:t>、支出总表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4</w:t>
            </w:r>
            <w:r>
              <w:rPr>
                <w:rFonts w:hint="eastAsia" w:ascii="Dialog" w:hAnsi="Times New Roman" w:eastAsia="Dialog" w:cs="Dialog"/>
                <w:sz w:val="32"/>
                <w:szCs w:val="32"/>
              </w:rPr>
              <w:t>、支出预算分类汇总表（按政府预算经济分类）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5</w:t>
            </w:r>
            <w:r>
              <w:rPr>
                <w:rFonts w:hint="eastAsia" w:ascii="Dialog" w:hAnsi="Times New Roman" w:eastAsia="Dialog" w:cs="Dialog"/>
                <w:sz w:val="32"/>
                <w:szCs w:val="32"/>
              </w:rPr>
              <w:t>、支出预算分类汇总表（按部门预算经济分类）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6</w:t>
            </w:r>
            <w:r>
              <w:rPr>
                <w:rFonts w:hint="eastAsia" w:ascii="Dialog" w:hAnsi="Times New Roman" w:eastAsia="Dialog" w:cs="Dialog"/>
                <w:sz w:val="32"/>
                <w:szCs w:val="32"/>
              </w:rPr>
              <w:t>、财政拨款收支总表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7</w:t>
            </w:r>
            <w:r>
              <w:rPr>
                <w:rFonts w:hint="eastAsia" w:ascii="Dialog" w:hAnsi="Times New Roman" w:eastAsia="Dialog" w:cs="Dialog"/>
                <w:sz w:val="32"/>
                <w:szCs w:val="32"/>
              </w:rPr>
              <w:t>、一般公共预算支出表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8</w:t>
            </w:r>
            <w:r>
              <w:rPr>
                <w:rFonts w:hint="eastAsia" w:ascii="Dialog" w:hAnsi="Times New Roman" w:eastAsia="Dialog" w:cs="Dialog"/>
                <w:sz w:val="32"/>
                <w:szCs w:val="32"/>
              </w:rPr>
              <w:t>、一般公共预算基本支出表</w:t>
            </w:r>
            <w:r>
              <w:rPr>
                <w:rFonts w:ascii="Dialog" w:hAnsi="Times New Roman" w:eastAsia="Dialog" w:cs="Dialog"/>
                <w:sz w:val="32"/>
                <w:szCs w:val="32"/>
              </w:rPr>
              <w:t>-</w:t>
            </w:r>
            <w:r>
              <w:rPr>
                <w:rFonts w:hint="eastAsia" w:ascii="Dialog" w:hAnsi="Times New Roman" w:eastAsia="Dialog" w:cs="Dialog"/>
                <w:sz w:val="32"/>
                <w:szCs w:val="32"/>
              </w:rPr>
              <w:t>人员经费（工资福利支出）（按政府预算经济分类）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9</w:t>
            </w:r>
            <w:r>
              <w:rPr>
                <w:rFonts w:hint="eastAsia" w:ascii="Dialog" w:hAnsi="Times New Roman" w:eastAsia="Dialog" w:cs="Dialog"/>
                <w:sz w:val="32"/>
                <w:szCs w:val="32"/>
              </w:rPr>
              <w:t>、一般公共预算基本支出表</w:t>
            </w:r>
            <w:r>
              <w:rPr>
                <w:rFonts w:ascii="Dialog" w:hAnsi="Times New Roman" w:eastAsia="Dialog" w:cs="Dialog"/>
                <w:sz w:val="32"/>
                <w:szCs w:val="32"/>
              </w:rPr>
              <w:t>-</w:t>
            </w:r>
            <w:r>
              <w:rPr>
                <w:rFonts w:hint="eastAsia" w:ascii="Dialog" w:hAnsi="Times New Roman" w:eastAsia="Dialog" w:cs="Dialog"/>
                <w:sz w:val="32"/>
                <w:szCs w:val="32"/>
              </w:rPr>
              <w:t>人员经费（工资福利支出）（按部门预算经济分类）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10</w:t>
            </w:r>
            <w:r>
              <w:rPr>
                <w:rFonts w:hint="eastAsia" w:ascii="Dialog" w:hAnsi="Times New Roman" w:eastAsia="Dialog" w:cs="Dialog"/>
                <w:sz w:val="32"/>
                <w:szCs w:val="32"/>
              </w:rPr>
              <w:t>、一般公共预算基本支出表</w:t>
            </w:r>
            <w:r>
              <w:rPr>
                <w:rFonts w:ascii="Dialog" w:hAnsi="Times New Roman" w:eastAsia="Dialog" w:cs="Dialog"/>
                <w:sz w:val="32"/>
                <w:szCs w:val="32"/>
              </w:rPr>
              <w:t>-</w:t>
            </w:r>
            <w:r>
              <w:rPr>
                <w:rFonts w:hint="eastAsia" w:ascii="Dialog" w:hAnsi="Times New Roman" w:eastAsia="Dialog" w:cs="Dialog"/>
                <w:sz w:val="32"/>
                <w:szCs w:val="32"/>
              </w:rPr>
              <w:t>人员经费（对个人和家庭的补助）（按政府预算经济分类）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11</w:t>
            </w:r>
            <w:r>
              <w:rPr>
                <w:rFonts w:hint="eastAsia" w:ascii="Dialog" w:hAnsi="Times New Roman" w:eastAsia="Dialog" w:cs="Dialog"/>
                <w:sz w:val="32"/>
                <w:szCs w:val="32"/>
              </w:rPr>
              <w:t>、一般公共预算基本支出表</w:t>
            </w:r>
            <w:r>
              <w:rPr>
                <w:rFonts w:ascii="Dialog" w:hAnsi="Times New Roman" w:eastAsia="Dialog" w:cs="Dialog"/>
                <w:sz w:val="32"/>
                <w:szCs w:val="32"/>
              </w:rPr>
              <w:t>-</w:t>
            </w:r>
            <w:r>
              <w:rPr>
                <w:rFonts w:hint="eastAsia" w:ascii="Dialog" w:hAnsi="Times New Roman" w:eastAsia="Dialog" w:cs="Dialog"/>
                <w:sz w:val="32"/>
                <w:szCs w:val="32"/>
              </w:rPr>
              <w:t>人员经费（对个人和家庭的补助）（按部门预算经济分类）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12</w:t>
            </w:r>
            <w:r>
              <w:rPr>
                <w:rFonts w:hint="eastAsia" w:ascii="Dialog" w:hAnsi="Times New Roman" w:eastAsia="Dialog" w:cs="Dialog"/>
                <w:sz w:val="32"/>
                <w:szCs w:val="32"/>
              </w:rPr>
              <w:t>、一般公共预算基本支出表</w:t>
            </w:r>
            <w:r>
              <w:rPr>
                <w:rFonts w:ascii="Dialog" w:hAnsi="Times New Roman" w:eastAsia="Dialog" w:cs="Dialog"/>
                <w:sz w:val="32"/>
                <w:szCs w:val="32"/>
              </w:rPr>
              <w:t>-</w:t>
            </w:r>
            <w:r>
              <w:rPr>
                <w:rFonts w:hint="eastAsia" w:ascii="Dialog" w:hAnsi="Times New Roman" w:eastAsia="Dialog" w:cs="Dialog"/>
                <w:sz w:val="32"/>
                <w:szCs w:val="32"/>
              </w:rPr>
              <w:t>公用经费（商品和服务支出）（按政府预算经济分类）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13</w:t>
            </w:r>
            <w:r>
              <w:rPr>
                <w:rFonts w:hint="eastAsia" w:ascii="Dialog" w:hAnsi="Times New Roman" w:eastAsia="Dialog" w:cs="Dialog"/>
                <w:sz w:val="32"/>
                <w:szCs w:val="32"/>
              </w:rPr>
              <w:t>、一般公共预算基本支出表</w:t>
            </w:r>
            <w:r>
              <w:rPr>
                <w:rFonts w:ascii="Dialog" w:hAnsi="Times New Roman" w:eastAsia="Dialog" w:cs="Dialog"/>
                <w:sz w:val="32"/>
                <w:szCs w:val="32"/>
              </w:rPr>
              <w:t>-</w:t>
            </w:r>
            <w:r>
              <w:rPr>
                <w:rFonts w:hint="eastAsia" w:ascii="Dialog" w:hAnsi="Times New Roman" w:eastAsia="Dialog" w:cs="Dialog"/>
                <w:sz w:val="32"/>
                <w:szCs w:val="32"/>
              </w:rPr>
              <w:t>公用经费（商品和服务支出）（按部门预算经济分类）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14</w:t>
            </w:r>
            <w:r>
              <w:rPr>
                <w:rFonts w:hint="eastAsia" w:ascii="Dialog" w:hAnsi="Times New Roman" w:eastAsia="Dialog" w:cs="Dialog"/>
                <w:sz w:val="32"/>
                <w:szCs w:val="32"/>
              </w:rPr>
              <w:t>、一般公共预算“三公”经费支出表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15</w:t>
            </w:r>
            <w:r>
              <w:rPr>
                <w:rFonts w:hint="eastAsia" w:ascii="Dialog" w:hAnsi="Times New Roman" w:eastAsia="Dialog" w:cs="Dialog"/>
                <w:sz w:val="32"/>
                <w:szCs w:val="32"/>
              </w:rPr>
              <w:t>、政府性基金预算支出表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16</w:t>
            </w:r>
            <w:r>
              <w:rPr>
                <w:rFonts w:hint="eastAsia" w:ascii="Dialog" w:hAnsi="Times New Roman" w:eastAsia="Dialog" w:cs="Dialog"/>
                <w:sz w:val="32"/>
                <w:szCs w:val="32"/>
              </w:rPr>
              <w:t>、政府性基金预算支出分类汇总表（按政府预算经济分类）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17</w:t>
            </w:r>
            <w:r>
              <w:rPr>
                <w:rFonts w:hint="eastAsia" w:ascii="Dialog" w:hAnsi="Times New Roman" w:eastAsia="Dialog" w:cs="Dialog"/>
                <w:sz w:val="32"/>
                <w:szCs w:val="32"/>
              </w:rPr>
              <w:t>、政府性基金预算支出分类汇总表（按部门预算经济分类）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18</w:t>
            </w:r>
            <w:r>
              <w:rPr>
                <w:rFonts w:hint="eastAsia" w:ascii="Dialog" w:hAnsi="Times New Roman" w:eastAsia="Dialog" w:cs="Dialog"/>
                <w:sz w:val="32"/>
                <w:szCs w:val="32"/>
              </w:rPr>
              <w:t>、国有资本经营预算支出表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19</w:t>
            </w:r>
            <w:r>
              <w:rPr>
                <w:rFonts w:hint="eastAsia" w:ascii="Dialog" w:hAnsi="Times New Roman" w:eastAsia="Dialog" w:cs="Dialog"/>
                <w:sz w:val="32"/>
                <w:szCs w:val="32"/>
              </w:rPr>
              <w:t>、财政专户管理资金预算支出表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20</w:t>
            </w:r>
            <w:r>
              <w:rPr>
                <w:rFonts w:hint="eastAsia" w:ascii="Dialog" w:hAnsi="Times New Roman" w:eastAsia="Dialog" w:cs="Dialog"/>
                <w:sz w:val="32"/>
                <w:szCs w:val="32"/>
              </w:rPr>
              <w:t>、专项资金预算汇总表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21</w:t>
            </w:r>
            <w:r>
              <w:rPr>
                <w:rFonts w:hint="eastAsia" w:ascii="Dialog" w:hAnsi="Times New Roman" w:eastAsia="Dialog" w:cs="Dialog"/>
                <w:sz w:val="32"/>
                <w:szCs w:val="32"/>
              </w:rPr>
              <w:t>、项目支出绩效目标表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22</w:t>
            </w:r>
            <w:r>
              <w:rPr>
                <w:rFonts w:hint="eastAsia" w:ascii="Dialog" w:hAnsi="Times New Roman" w:eastAsia="Dialog" w:cs="Dialog"/>
                <w:sz w:val="32"/>
                <w:szCs w:val="32"/>
              </w:rPr>
              <w:t>、单位整体支出绩效目标表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23</w:t>
            </w:r>
            <w:r>
              <w:rPr>
                <w:rFonts w:hint="eastAsia" w:ascii="Dialog" w:hAnsi="Times New Roman" w:eastAsia="Dialog" w:cs="Dialog"/>
                <w:sz w:val="32"/>
                <w:szCs w:val="32"/>
              </w:rPr>
              <w:t>、一般公共预算基本支出表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color w:val="FF0000"/>
                <w:sz w:val="32"/>
                <w:szCs w:val="32"/>
              </w:rPr>
            </w:pPr>
            <w:r>
              <w:rPr>
                <w:rFonts w:hint="eastAsia" w:ascii="Dialog" w:hAnsi="Times New Roman" w:eastAsia="Dialog" w:cs="Dialog"/>
                <w:color w:val="FF0000"/>
                <w:sz w:val="32"/>
                <w:szCs w:val="32"/>
              </w:rPr>
              <w:t>注：以上单位预算公开报表中，空表表示本单位无相关收支情况。</w:t>
            </w:r>
          </w:p>
        </w:tc>
      </w:tr>
      <w:tr>
        <w:tblPrEx>
          <w:tblCellMar>
            <w:top w:w="0" w:type="dxa"/>
            <w:left w:w="0" w:type="dxa"/>
            <w:bottom w:w="0" w:type="dxa"/>
            <w:right w:w="0" w:type="dxa"/>
          </w:tblCellMar>
        </w:tblPrEx>
        <w:trPr>
          <w:trHeight w:val="182" w:hRule="atLeast"/>
        </w:trPr>
        <w:tc>
          <w:tcPr>
            <w:tcW w:w="15306" w:type="dxa"/>
            <w:tcBorders>
              <w:top w:val="single" w:color="FFFFFF" w:sz="8" w:space="0"/>
              <w:left w:val="single" w:color="FFFFFF" w:sz="8" w:space="0"/>
              <w:bottom w:val="single" w:color="FFFFFF" w:sz="8" w:space="0"/>
              <w:right w:val="single" w:color="FFFFFF" w:sz="8" w:space="0"/>
            </w:tcBorders>
            <w:shd w:val="clear" w:color="auto" w:fill="FFFFFF"/>
            <w:vAlign w:val="center"/>
          </w:tcPr>
          <w:p>
            <w:pPr>
              <w:rPr>
                <w:rFonts w:ascii="Times New Roman" w:hAnsi="Times New Roman" w:cs="Times New Roman"/>
                <w:color w:val="auto"/>
              </w:rPr>
            </w:pPr>
          </w:p>
        </w:tc>
      </w:tr>
      <w:tr>
        <w:tblPrEx>
          <w:tblCellMar>
            <w:top w:w="0" w:type="dxa"/>
            <w:left w:w="0" w:type="dxa"/>
            <w:bottom w:w="0" w:type="dxa"/>
            <w:right w:w="0" w:type="dxa"/>
          </w:tblCellMar>
        </w:tblPrEx>
        <w:trPr>
          <w:trHeight w:val="182" w:hRule="atLeast"/>
        </w:trPr>
        <w:tc>
          <w:tcPr>
            <w:tcW w:w="15306" w:type="dxa"/>
            <w:tcBorders>
              <w:top w:val="single" w:color="FFFFFF" w:sz="8" w:space="0"/>
              <w:left w:val="single" w:color="FFFFFF" w:sz="8" w:space="0"/>
              <w:bottom w:val="single" w:color="FFFFFF" w:sz="8" w:space="0"/>
              <w:right w:val="single" w:color="FFFFFF" w:sz="8" w:space="0"/>
            </w:tcBorders>
            <w:shd w:val="clear" w:color="auto" w:fill="FFFFFF"/>
            <w:vAlign w:val="center"/>
          </w:tcPr>
          <w:p>
            <w:pPr>
              <w:rPr>
                <w:rFonts w:ascii="Times New Roman" w:hAnsi="Times New Roman" w:cs="Times New Roman"/>
                <w:color w:val="auto"/>
              </w:rPr>
            </w:pP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jc w:val="center"/>
              <w:rPr>
                <w:rFonts w:ascii="Dialog" w:hAnsi="Times New Roman" w:eastAsia="Dialog" w:cs="Dialog"/>
                <w:sz w:val="32"/>
                <w:szCs w:val="32"/>
              </w:rPr>
            </w:pPr>
            <w:r>
              <w:rPr>
                <w:rFonts w:hint="eastAsia" w:ascii="Dialog" w:hAnsi="Times New Roman" w:eastAsia="Dialog" w:cs="Dialog"/>
                <w:sz w:val="32"/>
                <w:szCs w:val="32"/>
              </w:rPr>
              <w:t>第一部分</w:t>
            </w:r>
            <w:r>
              <w:rPr>
                <w:rFonts w:ascii="Dialog" w:hAnsi="Times New Roman" w:eastAsia="Dialog" w:cs="Dialog"/>
                <w:sz w:val="32"/>
                <w:szCs w:val="32"/>
              </w:rPr>
              <w:t xml:space="preserve">  2024</w:t>
            </w:r>
            <w:r>
              <w:rPr>
                <w:rFonts w:hint="eastAsia" w:ascii="Dialog" w:hAnsi="Times New Roman" w:eastAsia="Dialog" w:cs="Dialog"/>
                <w:sz w:val="32"/>
                <w:szCs w:val="32"/>
              </w:rPr>
              <w:t>年单位预算说明</w:t>
            </w:r>
          </w:p>
        </w:tc>
      </w:tr>
      <w:tr>
        <w:tblPrEx>
          <w:tblCellMar>
            <w:top w:w="0" w:type="dxa"/>
            <w:left w:w="0" w:type="dxa"/>
            <w:bottom w:w="0" w:type="dxa"/>
            <w:right w:w="0" w:type="dxa"/>
          </w:tblCellMar>
        </w:tblPrEx>
        <w:trPr>
          <w:trHeight w:val="182" w:hRule="atLeast"/>
        </w:trPr>
        <w:tc>
          <w:tcPr>
            <w:tcW w:w="15306" w:type="dxa"/>
            <w:tcBorders>
              <w:top w:val="single" w:color="FFFFFF" w:sz="8" w:space="0"/>
              <w:left w:val="single" w:color="FFFFFF" w:sz="8" w:space="0"/>
              <w:bottom w:val="single" w:color="FFFFFF" w:sz="8" w:space="0"/>
              <w:right w:val="single" w:color="FFFFFF" w:sz="8" w:space="0"/>
            </w:tcBorders>
            <w:shd w:val="clear" w:color="auto" w:fill="FFFFFF"/>
            <w:vAlign w:val="center"/>
          </w:tcPr>
          <w:p>
            <w:pPr>
              <w:rPr>
                <w:rFonts w:ascii="Times New Roman" w:hAnsi="Times New Roman" w:cs="Times New Roman"/>
                <w:color w:val="auto"/>
              </w:rPr>
            </w:pP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一、单位基本概况</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sz w:val="32"/>
                <w:szCs w:val="32"/>
              </w:rPr>
              <w:t>（一）职能职责</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1、参与拟订城乡建设事务中心相关的行政规章、地方性法规、规章和规范性文本相关事务性工作；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2、负责市本级财政投资由市住房和城乡建设局实施的城建项目；</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3、负责建筑业企业、工程监理企业、质量检测企业、勘察设计企业、招标代理企业等机构的资质及执业人员管理的行政辅助工作；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4、负责拟订中心城区（包括城陵矶新港区）城建项目计划及调查统计、督查考评等工作。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5、负责城建项目库的建设、维护、管理和项目前期研究等工作；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6、负责历史文化名城、名镇、名村、历史建筑和传统村落（民居）的保护；</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7、负责国有土地房屋征收项目评估报告备案、成本概算决算审核的行政辅助工作；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8、负责建筑工程造价监督指导管理的行政辅助和技术支撑工作；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9、负责建筑行业职业培训监督管理和建筑施工企业安管人员、建筑施工特种作业人员考核的行政辅助工作；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10、负责海绵城市规划建设和管理的技术支撑工作；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11、负责市本级政府投资的房建和市政工程项目招投标监管的行政辅助工作。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12、负责国有土地房屋征收补偿项目具体实施的事务性工作；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13、负责发布建设工程造价相关服务和监管的事务性工作；</w:t>
            </w:r>
          </w:p>
          <w:p>
            <w:pPr>
              <w:numPr>
                <w:ilvl w:val="0"/>
                <w:numId w:val="0"/>
              </w:num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14、负责住房和城乡建设领域施工现场专业人员、建筑工人职业培训以及岗位资格继续教育的事务性工作；</w:t>
            </w:r>
          </w:p>
          <w:p>
            <w:pPr>
              <w:spacing w:line="375" w:lineRule="exact"/>
              <w:ind w:left="20"/>
              <w:rPr>
                <w:rFonts w:ascii="宋体" w:hAnsi="Times New Roman" w:eastAsia="宋体" w:cs="宋体"/>
                <w:sz w:val="32"/>
                <w:szCs w:val="32"/>
              </w:rPr>
            </w:pPr>
            <w:r>
              <w:rPr>
                <w:rFonts w:hint="eastAsia" w:ascii="仿宋_GB2312" w:hAnsi="仿宋_GB2312" w:eastAsia="仿宋_GB2312" w:cs="仿宋_GB2312"/>
                <w:sz w:val="32"/>
                <w:szCs w:val="32"/>
                <w:lang w:val="en-US" w:eastAsia="zh-CN"/>
              </w:rPr>
              <w:t>15、负责国有土地房屋征收、勘察设计企业、招标代理企业等机构信用评价的事务性工作。</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sz w:val="32"/>
                <w:szCs w:val="32"/>
              </w:rPr>
              <w:t>（二）机构设置</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hint="eastAsia" w:ascii="仿宋_GB2312" w:hAnsi="仿宋" w:eastAsia="仿宋_GB2312"/>
                <w:sz w:val="32"/>
                <w:szCs w:val="32"/>
                <w:lang w:val="en-US" w:eastAsia="zh-CN"/>
              </w:rPr>
            </w:pPr>
            <w:r>
              <w:rPr>
                <w:rFonts w:ascii="宋体" w:hAnsi="Times New Roman" w:eastAsia="宋体" w:cs="宋体"/>
                <w:sz w:val="32"/>
                <w:szCs w:val="32"/>
              </w:rPr>
              <w:t xml:space="preserve">  </w:t>
            </w:r>
            <w:r>
              <w:rPr>
                <w:rFonts w:hint="eastAsia" w:ascii="仿宋_GB2312" w:hAnsi="仿宋" w:eastAsia="仿宋_GB2312"/>
                <w:sz w:val="32"/>
                <w:szCs w:val="32"/>
              </w:rPr>
              <w:t>设</w:t>
            </w:r>
            <w:r>
              <w:rPr>
                <w:rFonts w:hint="eastAsia" w:ascii="仿宋_GB2312" w:hAnsi="仿宋" w:eastAsia="仿宋_GB2312"/>
                <w:sz w:val="32"/>
                <w:szCs w:val="32"/>
                <w:lang w:val="en-US" w:eastAsia="zh-CN"/>
              </w:rPr>
              <w:t>综合部</w:t>
            </w:r>
            <w:r>
              <w:rPr>
                <w:rFonts w:hint="eastAsia" w:ascii="仿宋_GB2312" w:hAnsi="仿宋" w:eastAsia="仿宋_GB2312"/>
                <w:sz w:val="32"/>
                <w:szCs w:val="32"/>
              </w:rPr>
              <w:t>、</w:t>
            </w:r>
            <w:r>
              <w:rPr>
                <w:rFonts w:hint="eastAsia" w:ascii="仿宋_GB2312" w:hAnsi="仿宋" w:eastAsia="仿宋_GB2312"/>
                <w:sz w:val="32"/>
                <w:szCs w:val="32"/>
                <w:lang w:val="en-US" w:eastAsia="zh-CN"/>
              </w:rPr>
              <w:t>建设事务部</w:t>
            </w:r>
            <w:r>
              <w:rPr>
                <w:rFonts w:hint="eastAsia" w:ascii="仿宋_GB2312" w:hAnsi="仿宋" w:eastAsia="仿宋_GB2312"/>
                <w:sz w:val="32"/>
                <w:szCs w:val="32"/>
              </w:rPr>
              <w:t>、</w:t>
            </w:r>
            <w:r>
              <w:rPr>
                <w:rFonts w:hint="eastAsia" w:ascii="仿宋_GB2312" w:hAnsi="仿宋" w:eastAsia="仿宋_GB2312"/>
                <w:sz w:val="32"/>
                <w:szCs w:val="32"/>
                <w:lang w:val="en-US" w:eastAsia="zh-CN"/>
              </w:rPr>
              <w:t>信息档案服务部</w:t>
            </w:r>
            <w:r>
              <w:rPr>
                <w:rFonts w:hint="eastAsia" w:ascii="仿宋_GB2312" w:hAnsi="仿宋" w:eastAsia="仿宋_GB2312"/>
                <w:sz w:val="32"/>
                <w:szCs w:val="32"/>
              </w:rPr>
              <w:t>、</w:t>
            </w:r>
            <w:r>
              <w:rPr>
                <w:rFonts w:hint="eastAsia" w:ascii="仿宋_GB2312" w:hAnsi="仿宋" w:eastAsia="仿宋_GB2312"/>
                <w:sz w:val="32"/>
                <w:szCs w:val="32"/>
                <w:lang w:val="en-US" w:eastAsia="zh-CN"/>
              </w:rPr>
              <w:t>项目事务部</w:t>
            </w:r>
            <w:r>
              <w:rPr>
                <w:rFonts w:hint="eastAsia" w:ascii="仿宋_GB2312" w:hAnsi="仿宋" w:eastAsia="仿宋_GB2312"/>
                <w:sz w:val="32"/>
                <w:szCs w:val="32"/>
              </w:rPr>
              <w:t>、</w:t>
            </w:r>
            <w:r>
              <w:rPr>
                <w:rFonts w:hint="eastAsia" w:ascii="仿宋_GB2312" w:hAnsi="仿宋" w:eastAsia="仿宋_GB2312"/>
                <w:sz w:val="32"/>
                <w:szCs w:val="32"/>
                <w:lang w:val="en-US" w:eastAsia="zh-CN"/>
              </w:rPr>
              <w:t>培训考核服务部</w:t>
            </w:r>
            <w:r>
              <w:rPr>
                <w:rFonts w:hint="eastAsia" w:ascii="仿宋_GB2312" w:hAnsi="仿宋" w:eastAsia="仿宋_GB2312"/>
                <w:sz w:val="32"/>
                <w:szCs w:val="32"/>
              </w:rPr>
              <w:t>、</w:t>
            </w:r>
            <w:r>
              <w:rPr>
                <w:rFonts w:hint="eastAsia" w:ascii="仿宋_GB2312" w:hAnsi="仿宋" w:eastAsia="仿宋_GB2312"/>
                <w:sz w:val="32"/>
                <w:szCs w:val="32"/>
                <w:lang w:val="en-US" w:eastAsia="zh-CN"/>
              </w:rPr>
              <w:t>海绵城市建设事务部</w:t>
            </w:r>
            <w:r>
              <w:rPr>
                <w:rFonts w:hint="eastAsia" w:ascii="仿宋_GB2312" w:hAnsi="仿宋" w:eastAsia="仿宋_GB2312"/>
                <w:sz w:val="32"/>
                <w:szCs w:val="32"/>
              </w:rPr>
              <w:t>、</w:t>
            </w:r>
            <w:r>
              <w:rPr>
                <w:rFonts w:hint="eastAsia" w:ascii="仿宋_GB2312" w:hAnsi="仿宋" w:eastAsia="仿宋_GB2312"/>
                <w:sz w:val="32"/>
                <w:szCs w:val="32"/>
                <w:lang w:val="en-US" w:eastAsia="zh-CN"/>
              </w:rPr>
              <w:t>财务部7个内设机构以及市国有土地房屋征收管理站</w:t>
            </w:r>
            <w:r>
              <w:rPr>
                <w:rFonts w:hint="eastAsia" w:ascii="仿宋_GB2312" w:hAnsi="仿宋" w:eastAsia="仿宋_GB2312"/>
                <w:sz w:val="32"/>
                <w:szCs w:val="32"/>
              </w:rPr>
              <w:t>、</w:t>
            </w:r>
            <w:r>
              <w:rPr>
                <w:rFonts w:hint="eastAsia" w:ascii="仿宋_GB2312" w:hAnsi="仿宋" w:eastAsia="仿宋_GB2312"/>
                <w:sz w:val="32"/>
                <w:szCs w:val="32"/>
                <w:lang w:val="en-US" w:eastAsia="zh-CN"/>
              </w:rPr>
              <w:t>市建设工程造价管理站</w:t>
            </w:r>
            <w:r>
              <w:rPr>
                <w:rFonts w:hint="eastAsia" w:ascii="仿宋_GB2312" w:hAnsi="仿宋" w:eastAsia="仿宋_GB2312"/>
                <w:sz w:val="32"/>
                <w:szCs w:val="32"/>
              </w:rPr>
              <w:t>、</w:t>
            </w:r>
            <w:r>
              <w:rPr>
                <w:rFonts w:hint="eastAsia" w:ascii="仿宋_GB2312" w:hAnsi="仿宋" w:eastAsia="仿宋_GB2312"/>
                <w:sz w:val="32"/>
                <w:szCs w:val="32"/>
                <w:lang w:val="en-US" w:eastAsia="zh-CN"/>
              </w:rPr>
              <w:t>市城建项目管理站3个分支机构。</w:t>
            </w:r>
          </w:p>
          <w:p>
            <w:pPr>
              <w:pStyle w:val="2"/>
              <w:ind w:firstLine="320" w:firstLineChars="100"/>
            </w:pPr>
            <w:r>
              <w:rPr>
                <w:rFonts w:hint="eastAsia" w:ascii="仿宋_GB2312" w:hAnsi="仿宋" w:eastAsia="仿宋_GB2312"/>
                <w:sz w:val="32"/>
                <w:szCs w:val="32"/>
              </w:rPr>
              <w:t>截至202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年12月31日，共有在编人员</w:t>
            </w:r>
            <w:r>
              <w:rPr>
                <w:rFonts w:hint="eastAsia" w:ascii="仿宋_GB2312" w:hAnsi="仿宋" w:eastAsia="仿宋_GB2312"/>
                <w:sz w:val="32"/>
                <w:szCs w:val="32"/>
                <w:lang w:val="en-US" w:eastAsia="zh-CN"/>
              </w:rPr>
              <w:t>73</w:t>
            </w:r>
            <w:r>
              <w:rPr>
                <w:rFonts w:hint="eastAsia" w:ascii="仿宋_GB2312" w:hAnsi="仿宋" w:eastAsia="仿宋_GB2312"/>
                <w:sz w:val="32"/>
                <w:szCs w:val="32"/>
              </w:rPr>
              <w:t>人，退休人员</w:t>
            </w:r>
            <w:r>
              <w:rPr>
                <w:rFonts w:hint="eastAsia" w:ascii="仿宋_GB2312" w:hAnsi="仿宋" w:eastAsia="仿宋_GB2312"/>
                <w:sz w:val="32"/>
                <w:szCs w:val="32"/>
                <w:lang w:val="en-US" w:eastAsia="zh-CN"/>
              </w:rPr>
              <w:t>14</w:t>
            </w:r>
            <w:r>
              <w:rPr>
                <w:rFonts w:hint="eastAsia" w:ascii="仿宋_GB2312" w:hAnsi="仿宋" w:eastAsia="仿宋_GB2312"/>
                <w:sz w:val="32"/>
                <w:szCs w:val="32"/>
              </w:rPr>
              <w:t>人。</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二、单位预算单位构成</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sz w:val="32"/>
                <w:szCs w:val="32"/>
              </w:rPr>
              <w:t>本单位预算仅含本级预算。</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三、单位收支总体情况</w:t>
            </w:r>
          </w:p>
        </w:tc>
      </w:tr>
      <w:tr>
        <w:tblPrEx>
          <w:tblCellMar>
            <w:top w:w="0" w:type="dxa"/>
            <w:left w:w="0" w:type="dxa"/>
            <w:bottom w:w="0" w:type="dxa"/>
            <w:right w:w="0" w:type="dxa"/>
          </w:tblCellMar>
        </w:tblPrEx>
        <w:trPr>
          <w:trHeight w:val="728"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sz w:val="32"/>
                <w:szCs w:val="32"/>
              </w:rPr>
              <w:t>本单位</w:t>
            </w:r>
            <w:r>
              <w:rPr>
                <w:rFonts w:ascii="宋体" w:hAnsi="Times New Roman" w:eastAsia="宋体" w:cs="宋体"/>
                <w:sz w:val="32"/>
                <w:szCs w:val="32"/>
              </w:rPr>
              <w:t>2024</w:t>
            </w:r>
            <w:r>
              <w:rPr>
                <w:rFonts w:hint="eastAsia" w:ascii="宋体" w:hAnsi="Times New Roman" w:eastAsia="宋体" w:cs="宋体"/>
                <w:sz w:val="32"/>
                <w:szCs w:val="32"/>
              </w:rPr>
              <w:t>年没有政府性基金预算拨款、国有资本经营预算收入和纳入专户管理的非税收入拨款收入，也没有使用政府性基金预算拨款、国有资本经营预算收入和纳入专户管理的非税收入拨款安排的支出，所以公开的附件</w:t>
            </w:r>
            <w:r>
              <w:rPr>
                <w:rFonts w:ascii="宋体" w:hAnsi="Times New Roman" w:eastAsia="宋体" w:cs="宋体"/>
                <w:sz w:val="32"/>
                <w:szCs w:val="32"/>
              </w:rPr>
              <w:t>15</w:t>
            </w:r>
            <w:r>
              <w:rPr>
                <w:rFonts w:hint="eastAsia" w:ascii="宋体" w:hAnsi="Times New Roman" w:eastAsia="宋体" w:cs="宋体"/>
                <w:sz w:val="32"/>
                <w:szCs w:val="32"/>
              </w:rPr>
              <w:t>、</w:t>
            </w:r>
            <w:r>
              <w:rPr>
                <w:rFonts w:ascii="宋体" w:hAnsi="Times New Roman" w:eastAsia="宋体" w:cs="宋体"/>
                <w:sz w:val="32"/>
                <w:szCs w:val="32"/>
              </w:rPr>
              <w:t>16</w:t>
            </w:r>
            <w:r>
              <w:rPr>
                <w:rFonts w:hint="eastAsia" w:ascii="宋体" w:hAnsi="Times New Roman" w:eastAsia="宋体" w:cs="宋体"/>
                <w:sz w:val="32"/>
                <w:szCs w:val="32"/>
              </w:rPr>
              <w:t>、</w:t>
            </w:r>
            <w:r>
              <w:rPr>
                <w:rFonts w:ascii="宋体" w:hAnsi="Times New Roman" w:eastAsia="宋体" w:cs="宋体"/>
                <w:sz w:val="32"/>
                <w:szCs w:val="32"/>
              </w:rPr>
              <w:t>17</w:t>
            </w:r>
            <w:r>
              <w:rPr>
                <w:rFonts w:hint="eastAsia" w:ascii="宋体" w:hAnsi="Times New Roman" w:eastAsia="宋体" w:cs="宋体"/>
                <w:sz w:val="32"/>
                <w:szCs w:val="32"/>
              </w:rPr>
              <w:t>、</w:t>
            </w:r>
            <w:r>
              <w:rPr>
                <w:rFonts w:ascii="宋体" w:hAnsi="Times New Roman" w:eastAsia="宋体" w:cs="宋体"/>
                <w:sz w:val="32"/>
                <w:szCs w:val="32"/>
              </w:rPr>
              <w:t>18</w:t>
            </w:r>
            <w:r>
              <w:rPr>
                <w:rFonts w:hint="eastAsia" w:ascii="宋体" w:hAnsi="Times New Roman" w:eastAsia="宋体" w:cs="宋体"/>
                <w:sz w:val="32"/>
                <w:szCs w:val="32"/>
              </w:rPr>
              <w:t>、</w:t>
            </w:r>
            <w:r>
              <w:rPr>
                <w:rFonts w:ascii="宋体" w:hAnsi="Times New Roman" w:eastAsia="宋体" w:cs="宋体"/>
                <w:sz w:val="32"/>
                <w:szCs w:val="32"/>
              </w:rPr>
              <w:t>19</w:t>
            </w:r>
            <w:r>
              <w:rPr>
                <w:rFonts w:hint="eastAsia" w:ascii="宋体" w:hAnsi="Times New Roman" w:eastAsia="宋体" w:cs="宋体"/>
                <w:sz w:val="32"/>
                <w:szCs w:val="32"/>
              </w:rPr>
              <w:t>表均为空。</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（一）收入预算</w:t>
            </w:r>
          </w:p>
        </w:tc>
      </w:tr>
      <w:tr>
        <w:tblPrEx>
          <w:tblCellMar>
            <w:top w:w="0" w:type="dxa"/>
            <w:left w:w="0" w:type="dxa"/>
            <w:bottom w:w="0" w:type="dxa"/>
            <w:right w:w="0" w:type="dxa"/>
          </w:tblCellMar>
        </w:tblPrEx>
        <w:trPr>
          <w:trHeight w:val="1222"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hint="default" w:ascii="宋体" w:hAnsi="Times New Roman" w:eastAsia="宋体" w:cs="宋体"/>
                <w:sz w:val="32"/>
                <w:szCs w:val="32"/>
                <w:lang w:val="en-US" w:eastAsia="zh-CN"/>
              </w:rPr>
            </w:pPr>
            <w:r>
              <w:rPr>
                <w:rFonts w:ascii="宋体" w:hAnsi="Times New Roman" w:eastAsia="宋体" w:cs="宋体"/>
                <w:sz w:val="32"/>
                <w:szCs w:val="32"/>
              </w:rPr>
              <w:t xml:space="preserve">  </w:t>
            </w:r>
            <w:r>
              <w:rPr>
                <w:rFonts w:hint="eastAsia" w:ascii="宋体" w:hAnsi="Times New Roman" w:eastAsia="宋体" w:cs="宋体"/>
                <w:sz w:val="32"/>
                <w:szCs w:val="32"/>
              </w:rPr>
              <w:t>包括一般公共预算、政府性基金、国有资本经营预算等财政拨款收入，以及经营收入、事业收入等单位资金。</w:t>
            </w:r>
            <w:r>
              <w:rPr>
                <w:rFonts w:ascii="宋体" w:hAnsi="Times New Roman" w:eastAsia="宋体" w:cs="宋体"/>
                <w:sz w:val="32"/>
                <w:szCs w:val="32"/>
              </w:rPr>
              <w:t>2024</w:t>
            </w:r>
            <w:r>
              <w:rPr>
                <w:rFonts w:hint="eastAsia" w:ascii="宋体" w:hAnsi="Times New Roman" w:eastAsia="宋体" w:cs="宋体"/>
                <w:sz w:val="32"/>
                <w:szCs w:val="32"/>
              </w:rPr>
              <w:t>年度年本单位收入预算</w:t>
            </w:r>
            <w:r>
              <w:rPr>
                <w:rFonts w:ascii="宋体" w:hAnsi="Times New Roman" w:eastAsia="宋体" w:cs="宋体"/>
                <w:sz w:val="32"/>
                <w:szCs w:val="32"/>
              </w:rPr>
              <w:t>1365.75</w:t>
            </w:r>
            <w:r>
              <w:rPr>
                <w:rFonts w:hint="eastAsia" w:ascii="宋体" w:hAnsi="Times New Roman" w:eastAsia="宋体" w:cs="宋体"/>
                <w:sz w:val="32"/>
                <w:szCs w:val="32"/>
              </w:rPr>
              <w:t>万元，其中，一般公共预算拨款</w:t>
            </w:r>
            <w:r>
              <w:rPr>
                <w:rFonts w:ascii="宋体" w:hAnsi="Times New Roman" w:eastAsia="宋体" w:cs="宋体"/>
                <w:sz w:val="32"/>
                <w:szCs w:val="32"/>
              </w:rPr>
              <w:t>1365.75</w:t>
            </w:r>
            <w:r>
              <w:rPr>
                <w:rFonts w:hint="eastAsia" w:ascii="宋体" w:hAnsi="Times New Roman" w:eastAsia="宋体" w:cs="宋体"/>
                <w:sz w:val="32"/>
                <w:szCs w:val="32"/>
              </w:rPr>
              <w:t>万元，政府性基金预算资金</w:t>
            </w:r>
            <w:r>
              <w:rPr>
                <w:rFonts w:ascii="宋体" w:hAnsi="Times New Roman" w:eastAsia="宋体" w:cs="宋体"/>
                <w:sz w:val="32"/>
                <w:szCs w:val="32"/>
              </w:rPr>
              <w:t>0.00</w:t>
            </w:r>
            <w:r>
              <w:rPr>
                <w:rFonts w:hint="eastAsia" w:ascii="宋体" w:hAnsi="Times New Roman" w:eastAsia="宋体" w:cs="宋体"/>
                <w:sz w:val="32"/>
                <w:szCs w:val="32"/>
              </w:rPr>
              <w:t>万元</w:t>
            </w:r>
            <w:r>
              <w:rPr>
                <w:rFonts w:ascii="宋体" w:hAnsi="Times New Roman" w:eastAsia="宋体" w:cs="宋体"/>
                <w:sz w:val="32"/>
                <w:szCs w:val="32"/>
              </w:rPr>
              <w:t>(</w:t>
            </w:r>
            <w:r>
              <w:rPr>
                <w:rFonts w:hint="eastAsia" w:ascii="宋体" w:hAnsi="Times New Roman" w:eastAsia="宋体" w:cs="宋体"/>
                <w:sz w:val="32"/>
                <w:szCs w:val="32"/>
              </w:rPr>
              <w:t>所以公开的附件</w:t>
            </w:r>
            <w:r>
              <w:rPr>
                <w:rFonts w:ascii="宋体" w:hAnsi="Times New Roman" w:eastAsia="宋体" w:cs="宋体"/>
                <w:sz w:val="32"/>
                <w:szCs w:val="32"/>
              </w:rPr>
              <w:t>17</w:t>
            </w:r>
            <w:r>
              <w:rPr>
                <w:rFonts w:hint="eastAsia" w:ascii="宋体" w:hAnsi="Times New Roman" w:eastAsia="宋体" w:cs="宋体"/>
                <w:sz w:val="32"/>
                <w:szCs w:val="32"/>
              </w:rPr>
              <w:t>为空</w:t>
            </w:r>
            <w:r>
              <w:rPr>
                <w:rFonts w:ascii="宋体" w:hAnsi="Times New Roman" w:eastAsia="宋体" w:cs="宋体"/>
                <w:sz w:val="32"/>
                <w:szCs w:val="32"/>
              </w:rPr>
              <w:t>)</w:t>
            </w:r>
            <w:r>
              <w:rPr>
                <w:rFonts w:hint="eastAsia" w:ascii="宋体" w:hAnsi="Times New Roman" w:eastAsia="宋体" w:cs="宋体"/>
                <w:sz w:val="32"/>
                <w:szCs w:val="32"/>
              </w:rPr>
              <w:t>，国有资本经营预算资金</w:t>
            </w:r>
            <w:r>
              <w:rPr>
                <w:rFonts w:ascii="宋体" w:hAnsi="Times New Roman" w:eastAsia="宋体" w:cs="宋体"/>
                <w:sz w:val="32"/>
                <w:szCs w:val="32"/>
              </w:rPr>
              <w:t>0.00</w:t>
            </w:r>
            <w:r>
              <w:rPr>
                <w:rFonts w:hint="eastAsia" w:ascii="宋体" w:hAnsi="Times New Roman" w:eastAsia="宋体" w:cs="宋体"/>
                <w:sz w:val="32"/>
                <w:szCs w:val="32"/>
              </w:rPr>
              <w:t>万元</w:t>
            </w:r>
            <w:r>
              <w:rPr>
                <w:rFonts w:ascii="宋体" w:hAnsi="Times New Roman" w:eastAsia="宋体" w:cs="宋体"/>
                <w:sz w:val="32"/>
                <w:szCs w:val="32"/>
              </w:rPr>
              <w:t>(</w:t>
            </w:r>
            <w:r>
              <w:rPr>
                <w:rFonts w:hint="eastAsia" w:ascii="宋体" w:hAnsi="Times New Roman" w:eastAsia="宋体" w:cs="宋体"/>
                <w:sz w:val="32"/>
                <w:szCs w:val="32"/>
              </w:rPr>
              <w:t>所以公开的附件</w:t>
            </w:r>
            <w:r>
              <w:rPr>
                <w:rFonts w:ascii="宋体" w:hAnsi="Times New Roman" w:eastAsia="宋体" w:cs="宋体"/>
                <w:sz w:val="32"/>
                <w:szCs w:val="32"/>
              </w:rPr>
              <w:t>18</w:t>
            </w:r>
            <w:r>
              <w:rPr>
                <w:rFonts w:hint="eastAsia" w:ascii="宋体" w:hAnsi="Times New Roman" w:eastAsia="宋体" w:cs="宋体"/>
                <w:sz w:val="32"/>
                <w:szCs w:val="32"/>
              </w:rPr>
              <w:t>为空</w:t>
            </w:r>
            <w:r>
              <w:rPr>
                <w:rFonts w:ascii="宋体" w:hAnsi="Times New Roman" w:eastAsia="宋体" w:cs="宋体"/>
                <w:sz w:val="32"/>
                <w:szCs w:val="32"/>
              </w:rPr>
              <w:t>)</w:t>
            </w:r>
            <w:r>
              <w:rPr>
                <w:rFonts w:hint="eastAsia" w:ascii="宋体" w:hAnsi="Times New Roman" w:eastAsia="宋体" w:cs="宋体"/>
                <w:sz w:val="32"/>
                <w:szCs w:val="32"/>
              </w:rPr>
              <w:t>，财政专户管理资金</w:t>
            </w:r>
            <w:r>
              <w:rPr>
                <w:rFonts w:ascii="宋体" w:hAnsi="Times New Roman" w:eastAsia="宋体" w:cs="宋体"/>
                <w:sz w:val="32"/>
                <w:szCs w:val="32"/>
              </w:rPr>
              <w:t>0.00</w:t>
            </w:r>
            <w:r>
              <w:rPr>
                <w:rFonts w:hint="eastAsia" w:ascii="宋体" w:hAnsi="Times New Roman" w:eastAsia="宋体" w:cs="宋体"/>
                <w:sz w:val="32"/>
                <w:szCs w:val="32"/>
              </w:rPr>
              <w:t>万元</w:t>
            </w:r>
            <w:r>
              <w:rPr>
                <w:rFonts w:ascii="宋体" w:hAnsi="Times New Roman" w:eastAsia="宋体" w:cs="宋体"/>
                <w:sz w:val="32"/>
                <w:szCs w:val="32"/>
              </w:rPr>
              <w:t>(</w:t>
            </w:r>
            <w:r>
              <w:rPr>
                <w:rFonts w:hint="eastAsia" w:ascii="宋体" w:hAnsi="Times New Roman" w:eastAsia="宋体" w:cs="宋体"/>
                <w:sz w:val="32"/>
                <w:szCs w:val="32"/>
              </w:rPr>
              <w:t>所以公开的附件</w:t>
            </w:r>
            <w:r>
              <w:rPr>
                <w:rFonts w:ascii="宋体" w:hAnsi="Times New Roman" w:eastAsia="宋体" w:cs="宋体"/>
                <w:sz w:val="32"/>
                <w:szCs w:val="32"/>
              </w:rPr>
              <w:t>19</w:t>
            </w:r>
            <w:r>
              <w:rPr>
                <w:rFonts w:hint="eastAsia" w:ascii="宋体" w:hAnsi="Times New Roman" w:eastAsia="宋体" w:cs="宋体"/>
                <w:sz w:val="32"/>
                <w:szCs w:val="32"/>
              </w:rPr>
              <w:t>为空</w:t>
            </w:r>
            <w:r>
              <w:rPr>
                <w:rFonts w:ascii="宋体" w:hAnsi="Times New Roman" w:eastAsia="宋体" w:cs="宋体"/>
                <w:sz w:val="32"/>
                <w:szCs w:val="32"/>
              </w:rPr>
              <w:t>)</w:t>
            </w:r>
            <w:r>
              <w:rPr>
                <w:rFonts w:hint="eastAsia" w:ascii="宋体" w:hAnsi="Times New Roman" w:eastAsia="宋体" w:cs="宋体"/>
                <w:sz w:val="32"/>
                <w:szCs w:val="32"/>
              </w:rPr>
              <w:t>，上级补助收入资金</w:t>
            </w:r>
            <w:r>
              <w:rPr>
                <w:rFonts w:ascii="宋体" w:hAnsi="Times New Roman" w:eastAsia="宋体" w:cs="宋体"/>
                <w:sz w:val="32"/>
                <w:szCs w:val="32"/>
              </w:rPr>
              <w:t>0.00</w:t>
            </w:r>
            <w:r>
              <w:rPr>
                <w:rFonts w:hint="eastAsia" w:ascii="宋体" w:hAnsi="Times New Roman" w:eastAsia="宋体" w:cs="宋体"/>
                <w:sz w:val="32"/>
                <w:szCs w:val="32"/>
              </w:rPr>
              <w:t>万元，事业单位经营收入资金</w:t>
            </w:r>
            <w:r>
              <w:rPr>
                <w:rFonts w:ascii="宋体" w:hAnsi="Times New Roman" w:eastAsia="宋体" w:cs="宋体"/>
                <w:sz w:val="32"/>
                <w:szCs w:val="32"/>
              </w:rPr>
              <w:t>0.00</w:t>
            </w:r>
            <w:r>
              <w:rPr>
                <w:rFonts w:hint="eastAsia" w:ascii="宋体" w:hAnsi="Times New Roman" w:eastAsia="宋体" w:cs="宋体"/>
                <w:sz w:val="32"/>
                <w:szCs w:val="32"/>
              </w:rPr>
              <w:t>万元，上年结转结余</w:t>
            </w:r>
            <w:r>
              <w:rPr>
                <w:rFonts w:ascii="宋体" w:hAnsi="Times New Roman" w:eastAsia="宋体" w:cs="宋体"/>
                <w:sz w:val="32"/>
                <w:szCs w:val="32"/>
              </w:rPr>
              <w:t>0.00</w:t>
            </w:r>
            <w:r>
              <w:rPr>
                <w:rFonts w:hint="eastAsia" w:ascii="宋体" w:hAnsi="Times New Roman" w:eastAsia="宋体" w:cs="宋体"/>
                <w:sz w:val="32"/>
                <w:szCs w:val="32"/>
              </w:rPr>
              <w:t>万元。</w:t>
            </w:r>
            <w:r>
              <w:rPr>
                <w:rFonts w:ascii="宋体" w:hAnsi="Times New Roman" w:eastAsia="宋体" w:cs="宋体"/>
                <w:sz w:val="32"/>
                <w:szCs w:val="32"/>
              </w:rPr>
              <w:t>(</w:t>
            </w:r>
            <w:r>
              <w:rPr>
                <w:rFonts w:hint="eastAsia" w:ascii="宋体" w:hAnsi="Times New Roman" w:eastAsia="宋体" w:cs="宋体"/>
                <w:sz w:val="32"/>
                <w:szCs w:val="32"/>
              </w:rPr>
              <w:t>数据来源见表</w:t>
            </w:r>
            <w:r>
              <w:rPr>
                <w:rFonts w:ascii="宋体" w:hAnsi="Times New Roman" w:eastAsia="宋体" w:cs="宋体"/>
                <w:sz w:val="32"/>
                <w:szCs w:val="32"/>
              </w:rPr>
              <w:t>2)</w:t>
            </w:r>
            <w:r>
              <w:rPr>
                <w:rFonts w:hint="eastAsia" w:ascii="宋体" w:hAnsi="Times New Roman" w:eastAsia="宋体" w:cs="宋体"/>
                <w:sz w:val="32"/>
                <w:szCs w:val="32"/>
              </w:rPr>
              <w:t>本单位</w:t>
            </w:r>
            <w:r>
              <w:rPr>
                <w:rFonts w:ascii="宋体" w:hAnsi="Times New Roman" w:eastAsia="宋体" w:cs="宋体"/>
                <w:sz w:val="32"/>
                <w:szCs w:val="32"/>
              </w:rPr>
              <w:t>2024</w:t>
            </w:r>
            <w:r>
              <w:rPr>
                <w:rFonts w:hint="eastAsia" w:ascii="宋体" w:hAnsi="Times New Roman" w:eastAsia="宋体" w:cs="宋体"/>
                <w:sz w:val="32"/>
                <w:szCs w:val="32"/>
              </w:rPr>
              <w:t>年收入较去年增加</w:t>
            </w:r>
            <w:r>
              <w:rPr>
                <w:rFonts w:hint="eastAsia" w:ascii="宋体" w:hAnsi="Times New Roman" w:eastAsia="宋体" w:cs="宋体"/>
                <w:sz w:val="32"/>
                <w:szCs w:val="32"/>
                <w:lang w:val="en-US" w:eastAsia="zh-CN"/>
              </w:rPr>
              <w:t>42.89</w:t>
            </w:r>
            <w:r>
              <w:rPr>
                <w:rFonts w:hint="eastAsia" w:ascii="宋体" w:hAnsi="Times New Roman" w:eastAsia="宋体" w:cs="宋体"/>
                <w:sz w:val="32"/>
                <w:szCs w:val="32"/>
              </w:rPr>
              <w:t>万元，主要是因为</w:t>
            </w:r>
            <w:r>
              <w:rPr>
                <w:rFonts w:hint="eastAsia" w:ascii="宋体" w:hAnsi="Times New Roman" w:eastAsia="宋体" w:cs="宋体"/>
                <w:sz w:val="32"/>
                <w:szCs w:val="32"/>
                <w:lang w:val="en-US" w:eastAsia="zh-CN"/>
              </w:rPr>
              <w:t>新进了人员，增加了人员类开支和运转类开支。</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（二）支出预算</w:t>
            </w:r>
          </w:p>
        </w:tc>
      </w:tr>
      <w:tr>
        <w:tblPrEx>
          <w:tblCellMar>
            <w:top w:w="0" w:type="dxa"/>
            <w:left w:w="0" w:type="dxa"/>
            <w:bottom w:w="0" w:type="dxa"/>
            <w:right w:w="0" w:type="dxa"/>
          </w:tblCellMar>
        </w:tblPrEx>
        <w:trPr>
          <w:trHeight w:val="728"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2024</w:t>
            </w:r>
            <w:r>
              <w:rPr>
                <w:rFonts w:hint="eastAsia" w:ascii="宋体" w:hAnsi="Times New Roman" w:eastAsia="宋体" w:cs="宋体"/>
                <w:sz w:val="32"/>
                <w:szCs w:val="32"/>
              </w:rPr>
              <w:t>年本单位支出预算</w:t>
            </w:r>
            <w:r>
              <w:rPr>
                <w:rFonts w:ascii="宋体" w:hAnsi="Times New Roman" w:eastAsia="宋体" w:cs="宋体"/>
                <w:sz w:val="32"/>
                <w:szCs w:val="32"/>
              </w:rPr>
              <w:t>1365.75</w:t>
            </w:r>
            <w:r>
              <w:rPr>
                <w:rFonts w:hint="eastAsia" w:ascii="宋体" w:hAnsi="Times New Roman" w:eastAsia="宋体" w:cs="宋体"/>
                <w:sz w:val="32"/>
                <w:szCs w:val="32"/>
              </w:rPr>
              <w:t>万元，其中，</w:t>
            </w:r>
            <w:r>
              <w:rPr>
                <w:rFonts w:ascii="宋体" w:hAnsi="Times New Roman" w:eastAsia="宋体" w:cs="宋体"/>
                <w:sz w:val="32"/>
                <w:szCs w:val="32"/>
              </w:rPr>
              <w:t>208</w:t>
            </w:r>
            <w:r>
              <w:rPr>
                <w:rFonts w:hint="eastAsia" w:ascii="宋体" w:hAnsi="Times New Roman" w:eastAsia="宋体" w:cs="宋体"/>
                <w:sz w:val="32"/>
                <w:szCs w:val="32"/>
              </w:rPr>
              <w:t>社会保障和就业支出</w:t>
            </w:r>
            <w:r>
              <w:rPr>
                <w:rFonts w:ascii="宋体" w:hAnsi="Times New Roman" w:eastAsia="宋体" w:cs="宋体"/>
                <w:sz w:val="32"/>
                <w:szCs w:val="32"/>
              </w:rPr>
              <w:t>126.90</w:t>
            </w:r>
            <w:r>
              <w:rPr>
                <w:rFonts w:hint="eastAsia" w:ascii="宋体" w:hAnsi="Times New Roman" w:eastAsia="宋体" w:cs="宋体"/>
                <w:sz w:val="32"/>
                <w:szCs w:val="32"/>
              </w:rPr>
              <w:t>万元，</w:t>
            </w:r>
            <w:r>
              <w:rPr>
                <w:rFonts w:ascii="宋体" w:hAnsi="Times New Roman" w:eastAsia="宋体" w:cs="宋体"/>
                <w:sz w:val="32"/>
                <w:szCs w:val="32"/>
              </w:rPr>
              <w:t>210</w:t>
            </w:r>
            <w:r>
              <w:rPr>
                <w:rFonts w:hint="eastAsia" w:ascii="宋体" w:hAnsi="Times New Roman" w:eastAsia="宋体" w:cs="宋体"/>
                <w:sz w:val="32"/>
                <w:szCs w:val="32"/>
              </w:rPr>
              <w:t>卫生健康支出</w:t>
            </w:r>
            <w:r>
              <w:rPr>
                <w:rFonts w:ascii="宋体" w:hAnsi="Times New Roman" w:eastAsia="宋体" w:cs="宋体"/>
                <w:sz w:val="32"/>
                <w:szCs w:val="32"/>
              </w:rPr>
              <w:t>45.22</w:t>
            </w:r>
            <w:r>
              <w:rPr>
                <w:rFonts w:hint="eastAsia" w:ascii="宋体" w:hAnsi="Times New Roman" w:eastAsia="宋体" w:cs="宋体"/>
                <w:sz w:val="32"/>
                <w:szCs w:val="32"/>
              </w:rPr>
              <w:t>万元，</w:t>
            </w:r>
            <w:r>
              <w:rPr>
                <w:rFonts w:ascii="宋体" w:hAnsi="Times New Roman" w:eastAsia="宋体" w:cs="宋体"/>
                <w:sz w:val="32"/>
                <w:szCs w:val="32"/>
              </w:rPr>
              <w:t>212</w:t>
            </w:r>
            <w:r>
              <w:rPr>
                <w:rFonts w:hint="eastAsia" w:ascii="宋体" w:hAnsi="Times New Roman" w:eastAsia="宋体" w:cs="宋体"/>
                <w:sz w:val="32"/>
                <w:szCs w:val="32"/>
              </w:rPr>
              <w:t>城乡社区支出</w:t>
            </w:r>
            <w:r>
              <w:rPr>
                <w:rFonts w:ascii="宋体" w:hAnsi="Times New Roman" w:eastAsia="宋体" w:cs="宋体"/>
                <w:sz w:val="32"/>
                <w:szCs w:val="32"/>
              </w:rPr>
              <w:t>164.00</w:t>
            </w:r>
            <w:r>
              <w:rPr>
                <w:rFonts w:hint="eastAsia" w:ascii="宋体" w:hAnsi="Times New Roman" w:eastAsia="宋体" w:cs="宋体"/>
                <w:sz w:val="32"/>
                <w:szCs w:val="32"/>
              </w:rPr>
              <w:t>万元，</w:t>
            </w:r>
            <w:r>
              <w:rPr>
                <w:rFonts w:ascii="宋体" w:hAnsi="Times New Roman" w:eastAsia="宋体" w:cs="宋体"/>
                <w:sz w:val="32"/>
                <w:szCs w:val="32"/>
              </w:rPr>
              <w:t>215</w:t>
            </w:r>
            <w:r>
              <w:rPr>
                <w:rFonts w:hint="eastAsia" w:ascii="宋体" w:hAnsi="Times New Roman" w:eastAsia="宋体" w:cs="宋体"/>
                <w:sz w:val="32"/>
                <w:szCs w:val="32"/>
              </w:rPr>
              <w:t>资源勘探工业信息等支出</w:t>
            </w:r>
            <w:r>
              <w:rPr>
                <w:rFonts w:ascii="宋体" w:hAnsi="Times New Roman" w:eastAsia="宋体" w:cs="宋体"/>
                <w:sz w:val="32"/>
                <w:szCs w:val="32"/>
              </w:rPr>
              <w:t>945.74</w:t>
            </w:r>
            <w:r>
              <w:rPr>
                <w:rFonts w:hint="eastAsia" w:ascii="宋体" w:hAnsi="Times New Roman" w:eastAsia="宋体" w:cs="宋体"/>
                <w:sz w:val="32"/>
                <w:szCs w:val="32"/>
              </w:rPr>
              <w:t>万元，</w:t>
            </w:r>
            <w:r>
              <w:rPr>
                <w:rFonts w:ascii="宋体" w:hAnsi="Times New Roman" w:eastAsia="宋体" w:cs="宋体"/>
                <w:sz w:val="32"/>
                <w:szCs w:val="32"/>
              </w:rPr>
              <w:t>221</w:t>
            </w:r>
            <w:r>
              <w:rPr>
                <w:rFonts w:hint="eastAsia" w:ascii="宋体" w:hAnsi="Times New Roman" w:eastAsia="宋体" w:cs="宋体"/>
                <w:sz w:val="32"/>
                <w:szCs w:val="32"/>
              </w:rPr>
              <w:t>住房保障支出</w:t>
            </w:r>
            <w:r>
              <w:rPr>
                <w:rFonts w:ascii="宋体" w:hAnsi="Times New Roman" w:eastAsia="宋体" w:cs="宋体"/>
                <w:sz w:val="32"/>
                <w:szCs w:val="32"/>
              </w:rPr>
              <w:t>83.89</w:t>
            </w:r>
            <w:r>
              <w:rPr>
                <w:rFonts w:hint="eastAsia" w:ascii="宋体" w:hAnsi="Times New Roman" w:eastAsia="宋体" w:cs="宋体"/>
                <w:sz w:val="32"/>
                <w:szCs w:val="32"/>
              </w:rPr>
              <w:t>万元，支出较去年增加</w:t>
            </w:r>
            <w:r>
              <w:rPr>
                <w:rFonts w:hint="eastAsia" w:ascii="宋体" w:hAnsi="Times New Roman" w:eastAsia="宋体" w:cs="宋体"/>
                <w:sz w:val="32"/>
                <w:szCs w:val="32"/>
                <w:lang w:val="en-US" w:eastAsia="zh-CN"/>
              </w:rPr>
              <w:t>42.89</w:t>
            </w:r>
            <w:r>
              <w:rPr>
                <w:rFonts w:hint="eastAsia" w:ascii="宋体" w:hAnsi="Times New Roman" w:eastAsia="宋体" w:cs="宋体"/>
                <w:sz w:val="32"/>
                <w:szCs w:val="32"/>
              </w:rPr>
              <w:t>万元，主要是因为</w:t>
            </w:r>
            <w:r>
              <w:rPr>
                <w:rFonts w:hint="eastAsia" w:ascii="宋体" w:hAnsi="Times New Roman" w:eastAsia="宋体" w:cs="宋体"/>
                <w:sz w:val="32"/>
                <w:szCs w:val="32"/>
                <w:lang w:val="en-US" w:eastAsia="zh-CN"/>
              </w:rPr>
              <w:t>新进了人员，增加了人员类开支和运转类开支。</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四、一般公共预算拨款支出预算</w:t>
            </w:r>
          </w:p>
        </w:tc>
      </w:tr>
      <w:tr>
        <w:tblPrEx>
          <w:tblCellMar>
            <w:top w:w="0" w:type="dxa"/>
            <w:left w:w="0" w:type="dxa"/>
            <w:bottom w:w="0" w:type="dxa"/>
            <w:right w:w="0" w:type="dxa"/>
          </w:tblCellMar>
        </w:tblPrEx>
        <w:trPr>
          <w:trHeight w:val="728"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2024</w:t>
            </w:r>
            <w:r>
              <w:rPr>
                <w:rFonts w:hint="eastAsia" w:ascii="宋体" w:hAnsi="Times New Roman" w:eastAsia="宋体" w:cs="宋体"/>
                <w:sz w:val="32"/>
                <w:szCs w:val="32"/>
              </w:rPr>
              <w:t>年一般公共预算拨款支出预算</w:t>
            </w:r>
            <w:r>
              <w:rPr>
                <w:rFonts w:ascii="宋体" w:hAnsi="Times New Roman" w:eastAsia="宋体" w:cs="宋体"/>
                <w:sz w:val="32"/>
                <w:szCs w:val="32"/>
              </w:rPr>
              <w:t>1365.75</w:t>
            </w:r>
            <w:r>
              <w:rPr>
                <w:rFonts w:hint="eastAsia" w:ascii="宋体" w:hAnsi="Times New Roman" w:eastAsia="宋体" w:cs="宋体"/>
                <w:sz w:val="32"/>
                <w:szCs w:val="32"/>
              </w:rPr>
              <w:t>万元，其中，</w:t>
            </w:r>
            <w:r>
              <w:rPr>
                <w:rFonts w:ascii="宋体" w:hAnsi="Times New Roman" w:eastAsia="宋体" w:cs="宋体"/>
                <w:sz w:val="32"/>
                <w:szCs w:val="32"/>
              </w:rPr>
              <w:t>208</w:t>
            </w:r>
            <w:r>
              <w:rPr>
                <w:rFonts w:hint="eastAsia" w:ascii="宋体" w:hAnsi="Times New Roman" w:eastAsia="宋体" w:cs="宋体"/>
                <w:sz w:val="32"/>
                <w:szCs w:val="32"/>
              </w:rPr>
              <w:t>社会保障和就业支出</w:t>
            </w:r>
            <w:r>
              <w:rPr>
                <w:rFonts w:ascii="宋体" w:hAnsi="Times New Roman" w:eastAsia="宋体" w:cs="宋体"/>
                <w:sz w:val="32"/>
                <w:szCs w:val="32"/>
              </w:rPr>
              <w:t>126.90</w:t>
            </w:r>
            <w:r>
              <w:rPr>
                <w:rFonts w:hint="eastAsia" w:ascii="宋体" w:hAnsi="Times New Roman" w:eastAsia="宋体" w:cs="宋体"/>
                <w:sz w:val="32"/>
                <w:szCs w:val="32"/>
              </w:rPr>
              <w:t>万元，占</w:t>
            </w:r>
            <w:r>
              <w:rPr>
                <w:rFonts w:ascii="宋体" w:hAnsi="Times New Roman" w:eastAsia="宋体" w:cs="宋体"/>
                <w:sz w:val="32"/>
                <w:szCs w:val="32"/>
              </w:rPr>
              <w:t>9.29%</w:t>
            </w:r>
            <w:r>
              <w:rPr>
                <w:rFonts w:hint="eastAsia" w:ascii="宋体" w:hAnsi="Times New Roman" w:eastAsia="宋体" w:cs="宋体"/>
                <w:sz w:val="32"/>
                <w:szCs w:val="32"/>
              </w:rPr>
              <w:t>；</w:t>
            </w:r>
            <w:r>
              <w:rPr>
                <w:rFonts w:ascii="宋体" w:hAnsi="Times New Roman" w:eastAsia="宋体" w:cs="宋体"/>
                <w:sz w:val="32"/>
                <w:szCs w:val="32"/>
              </w:rPr>
              <w:t>210</w:t>
            </w:r>
            <w:r>
              <w:rPr>
                <w:rFonts w:hint="eastAsia" w:ascii="宋体" w:hAnsi="Times New Roman" w:eastAsia="宋体" w:cs="宋体"/>
                <w:sz w:val="32"/>
                <w:szCs w:val="32"/>
              </w:rPr>
              <w:t>卫生健康支出</w:t>
            </w:r>
            <w:r>
              <w:rPr>
                <w:rFonts w:ascii="宋体" w:hAnsi="Times New Roman" w:eastAsia="宋体" w:cs="宋体"/>
                <w:sz w:val="32"/>
                <w:szCs w:val="32"/>
              </w:rPr>
              <w:t>45.22</w:t>
            </w:r>
            <w:r>
              <w:rPr>
                <w:rFonts w:hint="eastAsia" w:ascii="宋体" w:hAnsi="Times New Roman" w:eastAsia="宋体" w:cs="宋体"/>
                <w:sz w:val="32"/>
                <w:szCs w:val="32"/>
              </w:rPr>
              <w:t>万元，占</w:t>
            </w:r>
            <w:r>
              <w:rPr>
                <w:rFonts w:ascii="宋体" w:hAnsi="Times New Roman" w:eastAsia="宋体" w:cs="宋体"/>
                <w:sz w:val="32"/>
                <w:szCs w:val="32"/>
              </w:rPr>
              <w:t>3.31%</w:t>
            </w:r>
            <w:r>
              <w:rPr>
                <w:rFonts w:hint="eastAsia" w:ascii="宋体" w:hAnsi="Times New Roman" w:eastAsia="宋体" w:cs="宋体"/>
                <w:sz w:val="32"/>
                <w:szCs w:val="32"/>
              </w:rPr>
              <w:t>；</w:t>
            </w:r>
            <w:r>
              <w:rPr>
                <w:rFonts w:ascii="宋体" w:hAnsi="Times New Roman" w:eastAsia="宋体" w:cs="宋体"/>
                <w:sz w:val="32"/>
                <w:szCs w:val="32"/>
              </w:rPr>
              <w:t>212</w:t>
            </w:r>
            <w:r>
              <w:rPr>
                <w:rFonts w:hint="eastAsia" w:ascii="宋体" w:hAnsi="Times New Roman" w:eastAsia="宋体" w:cs="宋体"/>
                <w:sz w:val="32"/>
                <w:szCs w:val="32"/>
              </w:rPr>
              <w:t>城乡社区支出</w:t>
            </w:r>
            <w:r>
              <w:rPr>
                <w:rFonts w:ascii="宋体" w:hAnsi="Times New Roman" w:eastAsia="宋体" w:cs="宋体"/>
                <w:sz w:val="32"/>
                <w:szCs w:val="32"/>
              </w:rPr>
              <w:t>164.00</w:t>
            </w:r>
            <w:r>
              <w:rPr>
                <w:rFonts w:hint="eastAsia" w:ascii="宋体" w:hAnsi="Times New Roman" w:eastAsia="宋体" w:cs="宋体"/>
                <w:sz w:val="32"/>
                <w:szCs w:val="32"/>
              </w:rPr>
              <w:t>万元，占</w:t>
            </w:r>
            <w:r>
              <w:rPr>
                <w:rFonts w:ascii="宋体" w:hAnsi="Times New Roman" w:eastAsia="宋体" w:cs="宋体"/>
                <w:sz w:val="32"/>
                <w:szCs w:val="32"/>
              </w:rPr>
              <w:t>12.01%</w:t>
            </w:r>
            <w:r>
              <w:rPr>
                <w:rFonts w:hint="eastAsia" w:ascii="宋体" w:hAnsi="Times New Roman" w:eastAsia="宋体" w:cs="宋体"/>
                <w:sz w:val="32"/>
                <w:szCs w:val="32"/>
              </w:rPr>
              <w:t>；</w:t>
            </w:r>
            <w:r>
              <w:rPr>
                <w:rFonts w:ascii="宋体" w:hAnsi="Times New Roman" w:eastAsia="宋体" w:cs="宋体"/>
                <w:sz w:val="32"/>
                <w:szCs w:val="32"/>
              </w:rPr>
              <w:t>215</w:t>
            </w:r>
            <w:r>
              <w:rPr>
                <w:rFonts w:hint="eastAsia" w:ascii="宋体" w:hAnsi="Times New Roman" w:eastAsia="宋体" w:cs="宋体"/>
                <w:sz w:val="32"/>
                <w:szCs w:val="32"/>
              </w:rPr>
              <w:t>资源勘探工业信息等支出</w:t>
            </w:r>
            <w:r>
              <w:rPr>
                <w:rFonts w:ascii="宋体" w:hAnsi="Times New Roman" w:eastAsia="宋体" w:cs="宋体"/>
                <w:sz w:val="32"/>
                <w:szCs w:val="32"/>
              </w:rPr>
              <w:t>945.74</w:t>
            </w:r>
            <w:r>
              <w:rPr>
                <w:rFonts w:hint="eastAsia" w:ascii="宋体" w:hAnsi="Times New Roman" w:eastAsia="宋体" w:cs="宋体"/>
                <w:sz w:val="32"/>
                <w:szCs w:val="32"/>
              </w:rPr>
              <w:t>万元，占</w:t>
            </w:r>
            <w:r>
              <w:rPr>
                <w:rFonts w:ascii="宋体" w:hAnsi="Times New Roman" w:eastAsia="宋体" w:cs="宋体"/>
                <w:sz w:val="32"/>
                <w:szCs w:val="32"/>
              </w:rPr>
              <w:t>69.25%</w:t>
            </w:r>
            <w:r>
              <w:rPr>
                <w:rFonts w:hint="eastAsia" w:ascii="宋体" w:hAnsi="Times New Roman" w:eastAsia="宋体" w:cs="宋体"/>
                <w:sz w:val="32"/>
                <w:szCs w:val="32"/>
              </w:rPr>
              <w:t>；</w:t>
            </w:r>
            <w:r>
              <w:rPr>
                <w:rFonts w:ascii="宋体" w:hAnsi="Times New Roman" w:eastAsia="宋体" w:cs="宋体"/>
                <w:sz w:val="32"/>
                <w:szCs w:val="32"/>
              </w:rPr>
              <w:t>221</w:t>
            </w:r>
            <w:r>
              <w:rPr>
                <w:rFonts w:hint="eastAsia" w:ascii="宋体" w:hAnsi="Times New Roman" w:eastAsia="宋体" w:cs="宋体"/>
                <w:sz w:val="32"/>
                <w:szCs w:val="32"/>
              </w:rPr>
              <w:t>住房保障支出</w:t>
            </w:r>
            <w:r>
              <w:rPr>
                <w:rFonts w:ascii="宋体" w:hAnsi="Times New Roman" w:eastAsia="宋体" w:cs="宋体"/>
                <w:sz w:val="32"/>
                <w:szCs w:val="32"/>
              </w:rPr>
              <w:t>83.89</w:t>
            </w:r>
            <w:r>
              <w:rPr>
                <w:rFonts w:hint="eastAsia" w:ascii="宋体" w:hAnsi="Times New Roman" w:eastAsia="宋体" w:cs="宋体"/>
                <w:sz w:val="32"/>
                <w:szCs w:val="32"/>
              </w:rPr>
              <w:t>万元，占</w:t>
            </w:r>
            <w:r>
              <w:rPr>
                <w:rFonts w:ascii="宋体" w:hAnsi="Times New Roman" w:eastAsia="宋体" w:cs="宋体"/>
                <w:sz w:val="32"/>
                <w:szCs w:val="32"/>
              </w:rPr>
              <w:t>6.14%</w:t>
            </w:r>
            <w:r>
              <w:rPr>
                <w:rFonts w:hint="eastAsia" w:ascii="宋体" w:hAnsi="Times New Roman" w:eastAsia="宋体" w:cs="宋体"/>
                <w:sz w:val="32"/>
                <w:szCs w:val="32"/>
              </w:rPr>
              <w:t>；具体安排情况如下：</w:t>
            </w:r>
          </w:p>
        </w:tc>
      </w:tr>
      <w:tr>
        <w:tblPrEx>
          <w:tblCellMar>
            <w:top w:w="0" w:type="dxa"/>
            <w:left w:w="0" w:type="dxa"/>
            <w:bottom w:w="0" w:type="dxa"/>
            <w:right w:w="0" w:type="dxa"/>
          </w:tblCellMar>
        </w:tblPrEx>
        <w:trPr>
          <w:trHeight w:val="728"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sz w:val="32"/>
                <w:szCs w:val="32"/>
              </w:rPr>
              <w:t>（一）基本支出：</w:t>
            </w:r>
            <w:r>
              <w:rPr>
                <w:rFonts w:ascii="宋体" w:hAnsi="Times New Roman" w:eastAsia="宋体" w:cs="宋体"/>
                <w:sz w:val="32"/>
                <w:szCs w:val="32"/>
              </w:rPr>
              <w:t>2024</w:t>
            </w:r>
            <w:r>
              <w:rPr>
                <w:rFonts w:hint="eastAsia" w:ascii="宋体" w:hAnsi="Times New Roman" w:eastAsia="宋体" w:cs="宋体"/>
                <w:sz w:val="32"/>
                <w:szCs w:val="32"/>
              </w:rPr>
              <w:t>年基本支出年初预算数为</w:t>
            </w:r>
            <w:r>
              <w:rPr>
                <w:rFonts w:ascii="宋体" w:hAnsi="Times New Roman" w:eastAsia="宋体" w:cs="宋体"/>
                <w:sz w:val="32"/>
                <w:szCs w:val="32"/>
              </w:rPr>
              <w:t>1201.75</w:t>
            </w:r>
            <w:r>
              <w:rPr>
                <w:rFonts w:hint="eastAsia" w:ascii="宋体" w:hAnsi="Times New Roman" w:eastAsia="宋体" w:cs="宋体"/>
                <w:sz w:val="32"/>
                <w:szCs w:val="32"/>
              </w:rPr>
              <w:t>万元（数据来源见表</w:t>
            </w:r>
            <w:r>
              <w:rPr>
                <w:rFonts w:ascii="宋体" w:hAnsi="Times New Roman" w:eastAsia="宋体" w:cs="宋体"/>
                <w:sz w:val="32"/>
                <w:szCs w:val="32"/>
              </w:rPr>
              <w:t>23</w:t>
            </w:r>
            <w:r>
              <w:rPr>
                <w:rFonts w:hint="eastAsia" w:ascii="宋体" w:hAnsi="Times New Roman" w:eastAsia="宋体" w:cs="宋体"/>
                <w:sz w:val="32"/>
                <w:szCs w:val="32"/>
              </w:rPr>
              <w:t>），是指为保障单位机构正常运转、完成日常工作任务而发生的各项支出，包括用于基本工资、津贴补贴等人员经费以及办公费、印刷费、水电费、差旅费等日常公用经费。</w:t>
            </w:r>
          </w:p>
        </w:tc>
      </w:tr>
      <w:tr>
        <w:tblPrEx>
          <w:tblCellMar>
            <w:top w:w="0" w:type="dxa"/>
            <w:left w:w="0" w:type="dxa"/>
            <w:bottom w:w="0" w:type="dxa"/>
            <w:right w:w="0" w:type="dxa"/>
          </w:tblCellMar>
        </w:tblPrEx>
        <w:trPr>
          <w:trHeight w:val="975"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sz w:val="32"/>
                <w:szCs w:val="32"/>
              </w:rPr>
              <w:t>（二）项目支出：</w:t>
            </w:r>
            <w:r>
              <w:rPr>
                <w:rFonts w:ascii="宋体" w:hAnsi="Times New Roman" w:eastAsia="宋体" w:cs="宋体"/>
                <w:sz w:val="32"/>
                <w:szCs w:val="32"/>
              </w:rPr>
              <w:t>2024</w:t>
            </w:r>
            <w:r>
              <w:rPr>
                <w:rFonts w:hint="eastAsia" w:ascii="宋体" w:hAnsi="Times New Roman" w:eastAsia="宋体" w:cs="宋体"/>
                <w:sz w:val="32"/>
                <w:szCs w:val="32"/>
              </w:rPr>
              <w:t>年项目支出年初预算数为</w:t>
            </w:r>
            <w:r>
              <w:rPr>
                <w:rFonts w:ascii="宋体" w:hAnsi="Times New Roman" w:eastAsia="宋体" w:cs="宋体"/>
                <w:sz w:val="32"/>
                <w:szCs w:val="32"/>
              </w:rPr>
              <w:t>164.00</w:t>
            </w:r>
            <w:r>
              <w:rPr>
                <w:rFonts w:hint="eastAsia" w:ascii="宋体" w:hAnsi="Times New Roman" w:eastAsia="宋体" w:cs="宋体"/>
                <w:sz w:val="32"/>
                <w:szCs w:val="32"/>
              </w:rPr>
              <w:t>万元（数据来源见表</w:t>
            </w:r>
            <w:r>
              <w:rPr>
                <w:rFonts w:ascii="宋体" w:hAnsi="Times New Roman" w:eastAsia="宋体" w:cs="宋体"/>
                <w:sz w:val="32"/>
                <w:szCs w:val="32"/>
              </w:rPr>
              <w:t>20</w:t>
            </w:r>
            <w:r>
              <w:rPr>
                <w:rFonts w:hint="eastAsia" w:ascii="宋体" w:hAnsi="Times New Roman" w:eastAsia="宋体" w:cs="宋体"/>
                <w:sz w:val="32"/>
                <w:szCs w:val="32"/>
              </w:rPr>
              <w:t>），是指单位为完成特定行政工作任务或事业发展目标而发生的支出，包括有关业务工作经费、运行维护经费、其他事业发展资金等。其中：城乡建设事务管理经费专项支出</w:t>
            </w:r>
            <w:r>
              <w:rPr>
                <w:rFonts w:ascii="宋体" w:hAnsi="Times New Roman" w:eastAsia="宋体" w:cs="宋体"/>
                <w:sz w:val="32"/>
                <w:szCs w:val="32"/>
              </w:rPr>
              <w:t>156.00</w:t>
            </w:r>
            <w:r>
              <w:rPr>
                <w:rFonts w:hint="eastAsia" w:ascii="宋体" w:hAnsi="Times New Roman" w:eastAsia="宋体" w:cs="宋体"/>
                <w:sz w:val="32"/>
                <w:szCs w:val="32"/>
              </w:rPr>
              <w:t>万元，主要用于造价管理、城建项目管理、建筑</w:t>
            </w:r>
            <w:r>
              <w:rPr>
                <w:rFonts w:hint="eastAsia" w:ascii="宋体" w:hAnsi="Times New Roman" w:eastAsia="宋体" w:cs="宋体"/>
                <w:sz w:val="32"/>
                <w:szCs w:val="32"/>
                <w:lang w:val="en-US" w:eastAsia="zh-CN"/>
              </w:rPr>
              <w:t>行业从业人员培训考核、</w:t>
            </w:r>
            <w:r>
              <w:rPr>
                <w:rFonts w:hint="eastAsia" w:ascii="宋体" w:hAnsi="Times New Roman" w:eastAsia="宋体" w:cs="宋体"/>
                <w:sz w:val="32"/>
                <w:szCs w:val="32"/>
                <w:lang w:eastAsia="zh-CN"/>
              </w:rPr>
              <w:t>国有土地房屋征收管理</w:t>
            </w:r>
            <w:r>
              <w:rPr>
                <w:rFonts w:hint="eastAsia" w:ascii="宋体" w:hAnsi="Times New Roman" w:eastAsia="宋体" w:cs="宋体"/>
                <w:sz w:val="32"/>
                <w:szCs w:val="32"/>
              </w:rPr>
              <w:t>等方面</w:t>
            </w:r>
            <w:r>
              <w:rPr>
                <w:rFonts w:ascii="宋体" w:hAnsi="Times New Roman" w:eastAsia="宋体" w:cs="宋体"/>
                <w:sz w:val="32"/>
                <w:szCs w:val="32"/>
              </w:rPr>
              <w:t>,</w:t>
            </w:r>
            <w:r>
              <w:rPr>
                <w:rFonts w:hint="eastAsia" w:ascii="宋体" w:hAnsi="Times New Roman" w:eastAsia="宋体" w:cs="宋体"/>
                <w:sz w:val="32"/>
                <w:szCs w:val="32"/>
              </w:rPr>
              <w:t>非税收入征管经费（职称考试考务费）专项支出</w:t>
            </w:r>
            <w:r>
              <w:rPr>
                <w:rFonts w:ascii="宋体" w:hAnsi="Times New Roman" w:eastAsia="宋体" w:cs="宋体"/>
                <w:sz w:val="32"/>
                <w:szCs w:val="32"/>
              </w:rPr>
              <w:t>8.00</w:t>
            </w:r>
            <w:r>
              <w:rPr>
                <w:rFonts w:hint="eastAsia" w:ascii="宋体" w:hAnsi="Times New Roman" w:eastAsia="宋体" w:cs="宋体"/>
                <w:sz w:val="32"/>
                <w:szCs w:val="32"/>
              </w:rPr>
              <w:t>万元，主要用于</w:t>
            </w:r>
            <w:r>
              <w:rPr>
                <w:rFonts w:hint="eastAsia" w:ascii="宋体" w:hAnsi="Times New Roman" w:eastAsia="宋体" w:cs="宋体"/>
                <w:sz w:val="32"/>
                <w:szCs w:val="32"/>
                <w:lang w:val="en-US" w:eastAsia="zh-CN"/>
              </w:rPr>
              <w:t>土建类职称</w:t>
            </w:r>
            <w:r>
              <w:rPr>
                <w:rFonts w:hint="eastAsia" w:ascii="宋体" w:hAnsi="Times New Roman" w:eastAsia="宋体" w:cs="宋体"/>
                <w:sz w:val="32"/>
                <w:szCs w:val="32"/>
              </w:rPr>
              <w:t>考试考务方面。</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五、政府性基金预算支出</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2024</w:t>
            </w:r>
            <w:r>
              <w:rPr>
                <w:rFonts w:hint="eastAsia" w:ascii="宋体" w:hAnsi="Times New Roman" w:eastAsia="宋体" w:cs="宋体"/>
                <w:sz w:val="32"/>
                <w:szCs w:val="32"/>
              </w:rPr>
              <w:t>年度本单位无政府性基金安排的支出，所以公开的附件</w:t>
            </w:r>
            <w:r>
              <w:rPr>
                <w:rFonts w:ascii="宋体" w:hAnsi="Times New Roman" w:eastAsia="宋体" w:cs="宋体"/>
                <w:sz w:val="32"/>
                <w:szCs w:val="32"/>
              </w:rPr>
              <w:t>15-17</w:t>
            </w:r>
            <w:r>
              <w:rPr>
                <w:rFonts w:hint="eastAsia" w:ascii="宋体" w:hAnsi="Times New Roman" w:eastAsia="宋体" w:cs="宋体"/>
                <w:sz w:val="32"/>
                <w:szCs w:val="32"/>
              </w:rPr>
              <w:t>（政府性基金预算）为空。</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六、其他重要事项的情况说明</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（一）机关运行经费</w:t>
            </w:r>
          </w:p>
        </w:tc>
      </w:tr>
      <w:tr>
        <w:tblPrEx>
          <w:tblCellMar>
            <w:top w:w="0" w:type="dxa"/>
            <w:left w:w="0" w:type="dxa"/>
            <w:bottom w:w="0" w:type="dxa"/>
            <w:right w:w="0" w:type="dxa"/>
          </w:tblCellMar>
        </w:tblPrEx>
        <w:trPr>
          <w:trHeight w:val="481"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hint="default" w:ascii="宋体" w:hAnsi="Times New Roman" w:eastAsia="宋体" w:cs="宋体"/>
                <w:sz w:val="32"/>
                <w:szCs w:val="32"/>
                <w:lang w:val="en-US"/>
              </w:rPr>
            </w:pPr>
            <w:r>
              <w:rPr>
                <w:rFonts w:ascii="宋体" w:hAnsi="Times New Roman" w:eastAsia="宋体" w:cs="宋体"/>
                <w:sz w:val="32"/>
                <w:szCs w:val="32"/>
              </w:rPr>
              <w:t xml:space="preserve">  </w:t>
            </w:r>
            <w:r>
              <w:rPr>
                <w:rFonts w:hint="eastAsia" w:ascii="宋体" w:hAnsi="Times New Roman" w:eastAsia="宋体" w:cs="宋体"/>
                <w:sz w:val="32"/>
                <w:szCs w:val="32"/>
              </w:rPr>
              <w:t>本单位</w:t>
            </w:r>
            <w:r>
              <w:rPr>
                <w:rFonts w:ascii="宋体" w:hAnsi="Times New Roman" w:eastAsia="宋体" w:cs="宋体"/>
                <w:sz w:val="32"/>
                <w:szCs w:val="32"/>
              </w:rPr>
              <w:t>2024</w:t>
            </w:r>
            <w:r>
              <w:rPr>
                <w:rFonts w:hint="eastAsia" w:ascii="宋体" w:hAnsi="Times New Roman" w:eastAsia="宋体" w:cs="宋体"/>
                <w:sz w:val="32"/>
                <w:szCs w:val="32"/>
              </w:rPr>
              <w:t>年机关运行经费当年一般公共预算拨款</w:t>
            </w:r>
            <w:r>
              <w:rPr>
                <w:rFonts w:ascii="宋体" w:hAnsi="Times New Roman" w:eastAsia="宋体" w:cs="宋体"/>
                <w:sz w:val="32"/>
                <w:szCs w:val="32"/>
              </w:rPr>
              <w:t>104.18</w:t>
            </w:r>
            <w:r>
              <w:rPr>
                <w:rFonts w:hint="eastAsia" w:ascii="宋体" w:hAnsi="Times New Roman" w:eastAsia="宋体" w:cs="宋体"/>
                <w:sz w:val="32"/>
                <w:szCs w:val="32"/>
              </w:rPr>
              <w:t>万元（数据来源见表</w:t>
            </w:r>
            <w:r>
              <w:rPr>
                <w:rFonts w:ascii="宋体" w:hAnsi="Times New Roman" w:eastAsia="宋体" w:cs="宋体"/>
                <w:sz w:val="32"/>
                <w:szCs w:val="32"/>
              </w:rPr>
              <w:t>12</w:t>
            </w:r>
            <w:r>
              <w:rPr>
                <w:rFonts w:hint="eastAsia" w:ascii="宋体" w:hAnsi="Times New Roman" w:eastAsia="宋体" w:cs="宋体"/>
                <w:sz w:val="32"/>
                <w:szCs w:val="32"/>
              </w:rPr>
              <w:t>），比上一年减少</w:t>
            </w:r>
            <w:r>
              <w:rPr>
                <w:rFonts w:hint="eastAsia" w:ascii="宋体" w:hAnsi="Times New Roman" w:eastAsia="宋体" w:cs="宋体"/>
                <w:sz w:val="32"/>
                <w:szCs w:val="32"/>
                <w:lang w:val="en-US" w:eastAsia="zh-CN"/>
              </w:rPr>
              <w:t>1.31</w:t>
            </w:r>
            <w:r>
              <w:rPr>
                <w:rFonts w:hint="eastAsia" w:ascii="宋体" w:hAnsi="Times New Roman" w:eastAsia="宋体" w:cs="宋体"/>
                <w:sz w:val="32"/>
                <w:szCs w:val="32"/>
              </w:rPr>
              <w:t>万元，降低</w:t>
            </w:r>
            <w:r>
              <w:rPr>
                <w:rFonts w:hint="eastAsia" w:ascii="宋体" w:hAnsi="Times New Roman" w:eastAsia="宋体" w:cs="宋体"/>
                <w:sz w:val="32"/>
                <w:szCs w:val="32"/>
                <w:lang w:val="en-US" w:eastAsia="zh-CN"/>
              </w:rPr>
              <w:t>1.24</w:t>
            </w:r>
            <w:r>
              <w:rPr>
                <w:rFonts w:ascii="宋体" w:hAnsi="Times New Roman" w:eastAsia="宋体" w:cs="宋体"/>
                <w:sz w:val="32"/>
                <w:szCs w:val="32"/>
              </w:rPr>
              <w:t>%</w:t>
            </w:r>
            <w:r>
              <w:rPr>
                <w:rFonts w:hint="eastAsia" w:ascii="宋体" w:hAnsi="Times New Roman" w:eastAsia="宋体" w:cs="宋体"/>
                <w:sz w:val="32"/>
                <w:szCs w:val="32"/>
              </w:rPr>
              <w:t>。主要原因是是</w:t>
            </w:r>
            <w:r>
              <w:rPr>
                <w:rFonts w:hint="eastAsia" w:ascii="宋体" w:hAnsi="Times New Roman" w:eastAsia="宋体" w:cs="宋体"/>
                <w:sz w:val="32"/>
                <w:szCs w:val="32"/>
                <w:lang w:eastAsia="zh-CN"/>
              </w:rPr>
              <w:t>深入贯彻落实中央八项规定，严格执行“过紧日子”政策。</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（二）“三公”经费预算</w:t>
            </w:r>
          </w:p>
        </w:tc>
      </w:tr>
      <w:tr>
        <w:tblPrEx>
          <w:tblCellMar>
            <w:top w:w="0" w:type="dxa"/>
            <w:left w:w="0" w:type="dxa"/>
            <w:bottom w:w="0" w:type="dxa"/>
            <w:right w:w="0" w:type="dxa"/>
          </w:tblCellMar>
        </w:tblPrEx>
        <w:trPr>
          <w:trHeight w:val="728"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sz w:val="32"/>
                <w:szCs w:val="32"/>
              </w:rPr>
              <w:t>本单位</w:t>
            </w:r>
            <w:r>
              <w:rPr>
                <w:rFonts w:ascii="宋体" w:hAnsi="Times New Roman" w:eastAsia="宋体" w:cs="宋体"/>
                <w:sz w:val="32"/>
                <w:szCs w:val="32"/>
              </w:rPr>
              <w:t>2024</w:t>
            </w:r>
            <w:r>
              <w:rPr>
                <w:rFonts w:hint="eastAsia" w:ascii="宋体" w:hAnsi="Times New Roman" w:eastAsia="宋体" w:cs="宋体"/>
                <w:sz w:val="32"/>
                <w:szCs w:val="32"/>
              </w:rPr>
              <w:t>年“三公”经费预算数</w:t>
            </w:r>
            <w:r>
              <w:rPr>
                <w:rFonts w:ascii="宋体" w:hAnsi="Times New Roman" w:eastAsia="宋体" w:cs="宋体"/>
                <w:sz w:val="32"/>
                <w:szCs w:val="32"/>
              </w:rPr>
              <w:t>1.00</w:t>
            </w:r>
            <w:r>
              <w:rPr>
                <w:rFonts w:hint="eastAsia" w:ascii="宋体" w:hAnsi="Times New Roman" w:eastAsia="宋体" w:cs="宋体"/>
                <w:sz w:val="32"/>
                <w:szCs w:val="32"/>
              </w:rPr>
              <w:t>万元（数据来源见表</w:t>
            </w:r>
            <w:r>
              <w:rPr>
                <w:rFonts w:ascii="宋体" w:hAnsi="Times New Roman" w:eastAsia="宋体" w:cs="宋体"/>
                <w:sz w:val="32"/>
                <w:szCs w:val="32"/>
              </w:rPr>
              <w:t>14</w:t>
            </w:r>
            <w:r>
              <w:rPr>
                <w:rFonts w:hint="eastAsia" w:ascii="宋体" w:hAnsi="Times New Roman" w:eastAsia="宋体" w:cs="宋体"/>
                <w:sz w:val="32"/>
                <w:szCs w:val="32"/>
              </w:rPr>
              <w:t>），其中，公务接待费</w:t>
            </w:r>
            <w:r>
              <w:rPr>
                <w:rFonts w:ascii="宋体" w:hAnsi="Times New Roman" w:eastAsia="宋体" w:cs="宋体"/>
                <w:sz w:val="32"/>
                <w:szCs w:val="32"/>
              </w:rPr>
              <w:t>1.00</w:t>
            </w:r>
            <w:r>
              <w:rPr>
                <w:rFonts w:hint="eastAsia" w:ascii="宋体" w:hAnsi="Times New Roman" w:eastAsia="宋体" w:cs="宋体"/>
                <w:sz w:val="32"/>
                <w:szCs w:val="32"/>
              </w:rPr>
              <w:t>万元，因公出国（境）费</w:t>
            </w:r>
            <w:r>
              <w:rPr>
                <w:rFonts w:ascii="宋体" w:hAnsi="Times New Roman" w:eastAsia="宋体" w:cs="宋体"/>
                <w:sz w:val="32"/>
                <w:szCs w:val="32"/>
              </w:rPr>
              <w:t>0.00</w:t>
            </w:r>
            <w:r>
              <w:rPr>
                <w:rFonts w:hint="eastAsia" w:ascii="宋体" w:hAnsi="Times New Roman" w:eastAsia="宋体" w:cs="宋体"/>
                <w:sz w:val="32"/>
                <w:szCs w:val="32"/>
              </w:rPr>
              <w:t>万元，公务用车购置及运行费</w:t>
            </w:r>
            <w:r>
              <w:rPr>
                <w:rFonts w:ascii="宋体" w:hAnsi="Times New Roman" w:eastAsia="宋体" w:cs="宋体"/>
                <w:sz w:val="32"/>
                <w:szCs w:val="32"/>
              </w:rPr>
              <w:t>0.00</w:t>
            </w:r>
            <w:r>
              <w:rPr>
                <w:rFonts w:hint="eastAsia" w:ascii="宋体" w:hAnsi="Times New Roman" w:eastAsia="宋体" w:cs="宋体"/>
                <w:sz w:val="32"/>
                <w:szCs w:val="32"/>
              </w:rPr>
              <w:t>万元（其中，公务用车购置费</w:t>
            </w:r>
            <w:r>
              <w:rPr>
                <w:rFonts w:ascii="宋体" w:hAnsi="Times New Roman" w:eastAsia="宋体" w:cs="宋体"/>
                <w:sz w:val="32"/>
                <w:szCs w:val="32"/>
              </w:rPr>
              <w:t>0.00</w:t>
            </w:r>
            <w:r>
              <w:rPr>
                <w:rFonts w:hint="eastAsia" w:ascii="宋体" w:hAnsi="Times New Roman" w:eastAsia="宋体" w:cs="宋体"/>
                <w:sz w:val="32"/>
                <w:szCs w:val="32"/>
              </w:rPr>
              <w:t>万元，公务用车运行费</w:t>
            </w:r>
            <w:r>
              <w:rPr>
                <w:rFonts w:ascii="宋体" w:hAnsi="Times New Roman" w:eastAsia="宋体" w:cs="宋体"/>
                <w:sz w:val="32"/>
                <w:szCs w:val="32"/>
              </w:rPr>
              <w:t>0.00</w:t>
            </w:r>
            <w:r>
              <w:rPr>
                <w:rFonts w:hint="eastAsia" w:ascii="宋体" w:hAnsi="Times New Roman" w:eastAsia="宋体" w:cs="宋体"/>
                <w:sz w:val="32"/>
                <w:szCs w:val="32"/>
              </w:rPr>
              <w:t>万元）。</w:t>
            </w:r>
            <w:r>
              <w:rPr>
                <w:rFonts w:ascii="宋体" w:hAnsi="Times New Roman" w:eastAsia="宋体" w:cs="宋体"/>
                <w:sz w:val="32"/>
                <w:szCs w:val="32"/>
              </w:rPr>
              <w:t>2024</w:t>
            </w:r>
            <w:r>
              <w:rPr>
                <w:rFonts w:hint="eastAsia" w:ascii="宋体" w:hAnsi="Times New Roman" w:eastAsia="宋体" w:cs="宋体"/>
                <w:sz w:val="32"/>
                <w:szCs w:val="32"/>
              </w:rPr>
              <w:t>年三公经费预算较上年</w:t>
            </w:r>
            <w:r>
              <w:rPr>
                <w:rFonts w:hint="eastAsia" w:ascii="宋体" w:hAnsi="Times New Roman" w:eastAsia="宋体" w:cs="宋体"/>
                <w:sz w:val="32"/>
                <w:szCs w:val="32"/>
                <w:lang w:val="en-US" w:eastAsia="zh-CN"/>
              </w:rPr>
              <w:t>持平</w:t>
            </w:r>
            <w:r>
              <w:rPr>
                <w:rFonts w:hint="eastAsia" w:ascii="宋体" w:hAnsi="Times New Roman" w:eastAsia="宋体" w:cs="宋体"/>
                <w:sz w:val="32"/>
                <w:szCs w:val="32"/>
              </w:rPr>
              <w:t>，主要原因是</w:t>
            </w:r>
            <w:r>
              <w:rPr>
                <w:rFonts w:hint="eastAsia" w:ascii="宋体" w:hAnsi="Times New Roman" w:eastAsia="宋体" w:cs="宋体"/>
                <w:sz w:val="32"/>
                <w:szCs w:val="32"/>
                <w:lang w:eastAsia="zh-CN"/>
              </w:rPr>
              <w:t>深入贯彻落实中央八项规定，严格执行“过紧日子”政策。</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（三）一般性支出情况</w:t>
            </w:r>
          </w:p>
        </w:tc>
      </w:tr>
      <w:tr>
        <w:tblPrEx>
          <w:tblCellMar>
            <w:top w:w="0" w:type="dxa"/>
            <w:left w:w="0" w:type="dxa"/>
            <w:bottom w:w="0" w:type="dxa"/>
            <w:right w:w="0" w:type="dxa"/>
          </w:tblCellMar>
        </w:tblPrEx>
        <w:trPr>
          <w:trHeight w:val="975"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color w:val="000000" w:themeColor="text1"/>
                <w:sz w:val="32"/>
                <w:szCs w:val="32"/>
              </w:rPr>
              <w:t>本单位</w:t>
            </w:r>
            <w:r>
              <w:rPr>
                <w:rFonts w:ascii="宋体" w:hAnsi="Times New Roman" w:eastAsia="宋体" w:cs="宋体"/>
                <w:color w:val="000000" w:themeColor="text1"/>
                <w:sz w:val="32"/>
                <w:szCs w:val="32"/>
              </w:rPr>
              <w:t>2024</w:t>
            </w:r>
            <w:r>
              <w:rPr>
                <w:rFonts w:hint="eastAsia" w:ascii="宋体" w:hAnsi="Times New Roman" w:eastAsia="宋体" w:cs="宋体"/>
                <w:color w:val="000000" w:themeColor="text1"/>
                <w:sz w:val="32"/>
                <w:szCs w:val="32"/>
              </w:rPr>
              <w:t>年会议费预算</w:t>
            </w:r>
            <w:r>
              <w:rPr>
                <w:rFonts w:ascii="宋体" w:hAnsi="Times New Roman" w:eastAsia="宋体" w:cs="宋体"/>
                <w:color w:val="000000" w:themeColor="text1"/>
                <w:sz w:val="32"/>
                <w:szCs w:val="32"/>
              </w:rPr>
              <w:t>1.00</w:t>
            </w:r>
            <w:r>
              <w:rPr>
                <w:rFonts w:hint="eastAsia" w:ascii="宋体" w:hAnsi="Times New Roman" w:eastAsia="宋体" w:cs="宋体"/>
                <w:color w:val="000000" w:themeColor="text1"/>
                <w:sz w:val="32"/>
                <w:szCs w:val="32"/>
              </w:rPr>
              <w:t>万元（数据来源见表</w:t>
            </w:r>
            <w:r>
              <w:rPr>
                <w:rFonts w:ascii="宋体" w:hAnsi="Times New Roman" w:eastAsia="宋体" w:cs="宋体"/>
                <w:color w:val="000000" w:themeColor="text1"/>
                <w:sz w:val="32"/>
                <w:szCs w:val="32"/>
              </w:rPr>
              <w:t>13</w:t>
            </w:r>
            <w:r>
              <w:rPr>
                <w:rFonts w:hint="eastAsia" w:ascii="宋体" w:hAnsi="Times New Roman" w:eastAsia="宋体" w:cs="宋体"/>
                <w:color w:val="000000" w:themeColor="text1"/>
                <w:sz w:val="32"/>
                <w:szCs w:val="32"/>
              </w:rPr>
              <w:t>会议费、培训费），拟召开</w:t>
            </w:r>
            <w:r>
              <w:rPr>
                <w:rFonts w:hint="eastAsia" w:ascii="宋体" w:hAnsi="Times New Roman" w:eastAsia="宋体" w:cs="宋体"/>
                <w:color w:val="000000" w:themeColor="text1"/>
                <w:sz w:val="32"/>
                <w:szCs w:val="32"/>
                <w:lang w:val="en-US" w:eastAsia="zh-CN"/>
              </w:rPr>
              <w:t>2</w:t>
            </w:r>
            <w:r>
              <w:rPr>
                <w:rFonts w:hint="eastAsia" w:ascii="宋体" w:hAnsi="Times New Roman" w:eastAsia="宋体" w:cs="宋体"/>
                <w:color w:val="000000" w:themeColor="text1"/>
                <w:sz w:val="32"/>
                <w:szCs w:val="32"/>
              </w:rPr>
              <w:t>次会议，人数</w:t>
            </w:r>
            <w:r>
              <w:rPr>
                <w:rFonts w:hint="eastAsia" w:ascii="宋体" w:hAnsi="Times New Roman" w:eastAsia="宋体" w:cs="宋体"/>
                <w:color w:val="000000" w:themeColor="text1"/>
                <w:sz w:val="32"/>
                <w:szCs w:val="32"/>
                <w:lang w:val="en-US" w:eastAsia="zh-CN"/>
              </w:rPr>
              <w:t>300</w:t>
            </w:r>
            <w:r>
              <w:rPr>
                <w:rFonts w:hint="eastAsia" w:ascii="宋体" w:hAnsi="Times New Roman" w:eastAsia="宋体" w:cs="宋体"/>
                <w:color w:val="000000" w:themeColor="text1"/>
                <w:sz w:val="32"/>
                <w:szCs w:val="32"/>
              </w:rPr>
              <w:t>人，内容为</w:t>
            </w:r>
            <w:r>
              <w:rPr>
                <w:rFonts w:hint="eastAsia" w:ascii="宋体" w:hAnsi="Times New Roman" w:eastAsia="宋体" w:cs="宋体"/>
                <w:color w:val="000000" w:themeColor="text1"/>
                <w:sz w:val="32"/>
                <w:szCs w:val="32"/>
                <w:lang w:val="en-US" w:eastAsia="zh-CN"/>
              </w:rPr>
              <w:t>建筑行业相关政策宣贯</w:t>
            </w:r>
            <w:r>
              <w:rPr>
                <w:rFonts w:hint="eastAsia" w:ascii="宋体" w:hAnsi="Times New Roman" w:eastAsia="宋体" w:cs="宋体"/>
                <w:color w:val="000000" w:themeColor="text1"/>
                <w:sz w:val="32"/>
                <w:szCs w:val="32"/>
              </w:rPr>
              <w:t>；培</w:t>
            </w:r>
            <w:r>
              <w:rPr>
                <w:rFonts w:hint="eastAsia" w:ascii="宋体" w:hAnsi="Times New Roman" w:eastAsia="宋体" w:cs="宋体"/>
                <w:sz w:val="32"/>
                <w:szCs w:val="32"/>
              </w:rPr>
              <w:t>训费预算</w:t>
            </w:r>
            <w:r>
              <w:rPr>
                <w:rFonts w:ascii="宋体" w:hAnsi="Times New Roman" w:eastAsia="宋体" w:cs="宋体"/>
                <w:sz w:val="32"/>
                <w:szCs w:val="32"/>
              </w:rPr>
              <w:t>3.00</w:t>
            </w:r>
            <w:r>
              <w:rPr>
                <w:rFonts w:hint="eastAsia" w:ascii="宋体" w:hAnsi="Times New Roman" w:eastAsia="宋体" w:cs="宋体"/>
                <w:sz w:val="32"/>
                <w:szCs w:val="32"/>
              </w:rPr>
              <w:t>万元，</w:t>
            </w:r>
            <w:r>
              <w:rPr>
                <w:rFonts w:hint="eastAsia" w:ascii="宋体" w:hAnsi="Times New Roman" w:eastAsia="宋体" w:cs="宋体"/>
                <w:sz w:val="32"/>
                <w:szCs w:val="32"/>
                <w:lang w:eastAsia="zh-CN"/>
              </w:rPr>
              <w:t>拟开展</w:t>
            </w:r>
            <w:r>
              <w:rPr>
                <w:rFonts w:hint="eastAsia" w:ascii="宋体" w:hAnsi="Times New Roman" w:eastAsia="宋体" w:cs="宋体"/>
                <w:sz w:val="32"/>
                <w:szCs w:val="32"/>
                <w:lang w:val="en-US" w:eastAsia="zh-CN"/>
              </w:rPr>
              <w:t>1</w:t>
            </w:r>
            <w:r>
              <w:rPr>
                <w:rFonts w:hint="eastAsia" w:ascii="宋体" w:hAnsi="Times New Roman" w:eastAsia="宋体" w:cs="宋体"/>
                <w:sz w:val="32"/>
                <w:szCs w:val="32"/>
                <w:lang w:eastAsia="zh-CN"/>
              </w:rPr>
              <w:t>次培训，人数</w:t>
            </w:r>
            <w:r>
              <w:rPr>
                <w:rFonts w:hint="eastAsia" w:ascii="宋体" w:hAnsi="Times New Roman" w:eastAsia="宋体" w:cs="宋体"/>
                <w:sz w:val="32"/>
                <w:szCs w:val="32"/>
                <w:lang w:val="en-US" w:eastAsia="zh-CN"/>
              </w:rPr>
              <w:t>70</w:t>
            </w:r>
            <w:r>
              <w:rPr>
                <w:rFonts w:hint="eastAsia" w:ascii="宋体" w:hAnsi="Times New Roman" w:eastAsia="宋体" w:cs="宋体"/>
                <w:sz w:val="32"/>
                <w:szCs w:val="32"/>
                <w:lang w:eastAsia="zh-CN"/>
              </w:rPr>
              <w:t>人，内容为</w:t>
            </w:r>
            <w:r>
              <w:rPr>
                <w:rFonts w:hint="eastAsia" w:ascii="宋体" w:hAnsi="Times New Roman" w:eastAsia="宋体" w:cs="宋体"/>
                <w:sz w:val="32"/>
                <w:szCs w:val="32"/>
                <w:lang w:val="en-US" w:eastAsia="zh-CN"/>
              </w:rPr>
              <w:t>湖南省事业单位工作人员培训</w:t>
            </w:r>
            <w:r>
              <w:rPr>
                <w:rFonts w:hint="eastAsia" w:ascii="宋体" w:hAnsi="Times New Roman" w:eastAsia="宋体" w:cs="宋体"/>
                <w:sz w:val="32"/>
                <w:szCs w:val="32"/>
                <w:lang w:eastAsia="zh-CN"/>
              </w:rPr>
              <w:t>；</w:t>
            </w:r>
            <w:r>
              <w:rPr>
                <w:rFonts w:hint="eastAsia" w:ascii="宋体" w:hAnsi="Times New Roman" w:eastAsia="宋体" w:cs="宋体"/>
                <w:sz w:val="32"/>
                <w:szCs w:val="32"/>
              </w:rPr>
              <w:t>未计划举办节庆、晚会、论坛、赛事活动。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（四）政府采购情况</w:t>
            </w:r>
          </w:p>
        </w:tc>
      </w:tr>
      <w:tr>
        <w:tblPrEx>
          <w:tblCellMar>
            <w:top w:w="0" w:type="dxa"/>
            <w:left w:w="0" w:type="dxa"/>
            <w:bottom w:w="0" w:type="dxa"/>
            <w:right w:w="0" w:type="dxa"/>
          </w:tblCellMar>
        </w:tblPrEx>
        <w:trPr>
          <w:trHeight w:val="728"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color w:val="000000" w:themeColor="text1"/>
                <w:sz w:val="32"/>
                <w:szCs w:val="32"/>
              </w:rPr>
              <w:t>本单位</w:t>
            </w:r>
            <w:r>
              <w:rPr>
                <w:rFonts w:ascii="宋体" w:hAnsi="Times New Roman" w:eastAsia="宋体" w:cs="宋体"/>
                <w:color w:val="000000" w:themeColor="text1"/>
                <w:sz w:val="32"/>
                <w:szCs w:val="32"/>
              </w:rPr>
              <w:t>2024</w:t>
            </w:r>
            <w:r>
              <w:rPr>
                <w:rFonts w:hint="eastAsia" w:ascii="宋体" w:hAnsi="Times New Roman" w:eastAsia="宋体" w:cs="宋体"/>
                <w:color w:val="000000" w:themeColor="text1"/>
                <w:sz w:val="32"/>
                <w:szCs w:val="32"/>
              </w:rPr>
              <w:t>年政府采购预算</w:t>
            </w:r>
            <w:r>
              <w:rPr>
                <w:rFonts w:hint="eastAsia" w:ascii="宋体" w:hAnsi="Times New Roman" w:eastAsia="宋体" w:cs="宋体"/>
                <w:color w:val="000000" w:themeColor="text1"/>
                <w:sz w:val="32"/>
                <w:szCs w:val="32"/>
                <w:lang w:eastAsia="zh-CN"/>
              </w:rPr>
              <w:t>（</w:t>
            </w:r>
            <w:r>
              <w:rPr>
                <w:rFonts w:hint="eastAsia" w:ascii="宋体" w:hAnsi="Times New Roman" w:eastAsia="宋体" w:cs="宋体"/>
                <w:color w:val="000000" w:themeColor="text1"/>
                <w:sz w:val="32"/>
                <w:szCs w:val="32"/>
                <w:lang w:val="en-US" w:eastAsia="zh-CN"/>
              </w:rPr>
              <w:t>包含城市管网及污水处理补助资金</w:t>
            </w:r>
            <w:r>
              <w:rPr>
                <w:rFonts w:hint="eastAsia" w:ascii="宋体" w:hAnsi="Times New Roman" w:eastAsia="宋体" w:cs="宋体"/>
                <w:color w:val="000000" w:themeColor="text1"/>
                <w:sz w:val="32"/>
                <w:szCs w:val="32"/>
                <w:lang w:eastAsia="zh-CN"/>
              </w:rPr>
              <w:t>）</w:t>
            </w:r>
            <w:r>
              <w:rPr>
                <w:rFonts w:hint="eastAsia" w:ascii="宋体" w:hAnsi="Times New Roman" w:eastAsia="宋体" w:cs="宋体"/>
                <w:color w:val="000000" w:themeColor="text1"/>
                <w:sz w:val="32"/>
                <w:szCs w:val="32"/>
              </w:rPr>
              <w:t>总额</w:t>
            </w:r>
            <w:r>
              <w:rPr>
                <w:rFonts w:hint="eastAsia" w:ascii="宋体" w:hAnsi="Times New Roman" w:eastAsia="宋体" w:cs="宋体"/>
                <w:color w:val="000000" w:themeColor="text1"/>
                <w:sz w:val="32"/>
                <w:szCs w:val="32"/>
                <w:lang w:val="en-US" w:eastAsia="zh-CN"/>
              </w:rPr>
              <w:t>23578</w:t>
            </w:r>
            <w:r>
              <w:rPr>
                <w:rFonts w:hint="eastAsia" w:ascii="宋体" w:hAnsi="Times New Roman" w:eastAsia="宋体" w:cs="宋体"/>
                <w:color w:val="000000" w:themeColor="text1"/>
                <w:sz w:val="32"/>
                <w:szCs w:val="32"/>
              </w:rPr>
              <w:t>万元，其中工程类</w:t>
            </w:r>
            <w:r>
              <w:rPr>
                <w:rFonts w:hint="eastAsia" w:ascii="宋体" w:hAnsi="Times New Roman" w:eastAsia="宋体" w:cs="宋体"/>
                <w:color w:val="000000" w:themeColor="text1"/>
                <w:sz w:val="32"/>
                <w:szCs w:val="32"/>
                <w:lang w:val="en-US" w:eastAsia="zh-CN"/>
              </w:rPr>
              <w:t>19861</w:t>
            </w:r>
            <w:r>
              <w:rPr>
                <w:rFonts w:hint="eastAsia" w:ascii="宋体" w:hAnsi="Times New Roman" w:eastAsia="宋体" w:cs="宋体"/>
                <w:color w:val="000000" w:themeColor="text1"/>
                <w:sz w:val="32"/>
                <w:szCs w:val="32"/>
              </w:rPr>
              <w:t>万元，货物类</w:t>
            </w:r>
            <w:r>
              <w:rPr>
                <w:rFonts w:hint="eastAsia" w:ascii="宋体" w:hAnsi="Times New Roman" w:eastAsia="宋体" w:cs="宋体"/>
                <w:color w:val="000000" w:themeColor="text1"/>
                <w:sz w:val="32"/>
                <w:szCs w:val="32"/>
                <w:lang w:val="en-US" w:eastAsia="zh-CN"/>
              </w:rPr>
              <w:t>68</w:t>
            </w:r>
            <w:r>
              <w:rPr>
                <w:rFonts w:hint="eastAsia" w:ascii="宋体" w:hAnsi="Times New Roman" w:eastAsia="宋体" w:cs="宋体"/>
                <w:color w:val="000000" w:themeColor="text1"/>
                <w:sz w:val="32"/>
                <w:szCs w:val="32"/>
              </w:rPr>
              <w:t>万元，服务类</w:t>
            </w:r>
            <w:r>
              <w:rPr>
                <w:rFonts w:hint="eastAsia" w:ascii="宋体" w:hAnsi="Times New Roman" w:eastAsia="宋体" w:cs="宋体"/>
                <w:color w:val="000000" w:themeColor="text1"/>
                <w:sz w:val="32"/>
                <w:szCs w:val="32"/>
                <w:lang w:val="en-US" w:eastAsia="zh-CN"/>
              </w:rPr>
              <w:t>3649</w:t>
            </w:r>
            <w:bookmarkStart w:id="0" w:name="_GoBack"/>
            <w:bookmarkEnd w:id="0"/>
            <w:r>
              <w:rPr>
                <w:rFonts w:hint="eastAsia" w:ascii="宋体" w:hAnsi="Times New Roman" w:eastAsia="宋体" w:cs="宋体"/>
                <w:color w:val="000000" w:themeColor="text1"/>
                <w:sz w:val="32"/>
                <w:szCs w:val="32"/>
              </w:rPr>
              <w:t>万元</w:t>
            </w:r>
            <w:r>
              <w:rPr>
                <w:rFonts w:hint="eastAsia" w:ascii="宋体" w:hAnsi="Times New Roman" w:eastAsia="宋体" w:cs="宋体"/>
                <w:sz w:val="32"/>
                <w:szCs w:val="32"/>
              </w:rPr>
              <w:t>。</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（五）国有资产占有使用及新增资产配置情况</w:t>
            </w:r>
          </w:p>
        </w:tc>
      </w:tr>
      <w:tr>
        <w:tblPrEx>
          <w:tblCellMar>
            <w:top w:w="0" w:type="dxa"/>
            <w:left w:w="0" w:type="dxa"/>
            <w:bottom w:w="0" w:type="dxa"/>
            <w:right w:w="0" w:type="dxa"/>
          </w:tblCellMar>
        </w:tblPrEx>
        <w:trPr>
          <w:trHeight w:val="2210"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firstLine="320" w:firstLineChars="100"/>
              <w:rPr>
                <w:rFonts w:hint="eastAsia"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sz w:val="32"/>
                <w:szCs w:val="32"/>
              </w:rPr>
              <w:t>截至上年底，本单位共有车辆</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辆，其中领导干部用车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辆，一般公务用车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辆，其他用车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辆。单位价值</w:t>
            </w:r>
            <w:r>
              <w:rPr>
                <w:rFonts w:ascii="宋体" w:hAnsi="Times New Roman" w:eastAsia="宋体" w:cs="宋体"/>
                <w:sz w:val="32"/>
                <w:szCs w:val="32"/>
              </w:rPr>
              <w:t>50</w:t>
            </w:r>
            <w:r>
              <w:rPr>
                <w:rFonts w:hint="eastAsia" w:ascii="宋体" w:hAnsi="Times New Roman" w:eastAsia="宋体" w:cs="宋体"/>
                <w:sz w:val="32"/>
                <w:szCs w:val="32"/>
              </w:rPr>
              <w:t>万元以上通用设备</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台，单位价值</w:t>
            </w:r>
            <w:r>
              <w:rPr>
                <w:rFonts w:ascii="宋体" w:hAnsi="Times New Roman" w:eastAsia="宋体" w:cs="宋体"/>
                <w:sz w:val="32"/>
                <w:szCs w:val="32"/>
              </w:rPr>
              <w:t>100</w:t>
            </w:r>
            <w:r>
              <w:rPr>
                <w:rFonts w:hint="eastAsia" w:ascii="宋体" w:hAnsi="Times New Roman" w:eastAsia="宋体" w:cs="宋体"/>
                <w:sz w:val="32"/>
                <w:szCs w:val="32"/>
              </w:rPr>
              <w:t>万元以上专用设备</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台。</w:t>
            </w:r>
          </w:p>
          <w:p>
            <w:pPr>
              <w:spacing w:line="375" w:lineRule="exact"/>
              <w:ind w:left="20" w:firstLine="640" w:firstLineChars="200"/>
              <w:rPr>
                <w:rFonts w:hint="eastAsia" w:ascii="宋体" w:hAnsi="Times New Roman" w:eastAsia="宋体" w:cs="宋体"/>
                <w:sz w:val="32"/>
                <w:szCs w:val="32"/>
              </w:rPr>
            </w:pPr>
            <w:r>
              <w:rPr>
                <w:rFonts w:ascii="宋体" w:hAnsi="Times New Roman" w:eastAsia="宋体" w:cs="宋体"/>
                <w:sz w:val="32"/>
                <w:szCs w:val="32"/>
              </w:rPr>
              <w:t>202</w:t>
            </w:r>
            <w:r>
              <w:rPr>
                <w:rFonts w:hint="eastAsia" w:ascii="宋体" w:hAnsi="Times New Roman" w:eastAsia="宋体" w:cs="宋体"/>
                <w:sz w:val="32"/>
                <w:szCs w:val="32"/>
                <w:lang w:val="en-US" w:eastAsia="zh-CN"/>
              </w:rPr>
              <w:t>4</w:t>
            </w:r>
            <w:r>
              <w:rPr>
                <w:rFonts w:hint="eastAsia" w:ascii="宋体" w:hAnsi="Times New Roman" w:eastAsia="宋体" w:cs="宋体"/>
                <w:sz w:val="32"/>
                <w:szCs w:val="32"/>
              </w:rPr>
              <w:t>年拟报废处置车辆</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辆，其中：报废处置领导干部用车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辆，报废处置一般公务用车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辆，报废处置其他用车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辆，报废处置单位价值</w:t>
            </w:r>
            <w:r>
              <w:rPr>
                <w:rFonts w:ascii="宋体" w:hAnsi="Times New Roman" w:eastAsia="宋体" w:cs="宋体"/>
                <w:sz w:val="32"/>
                <w:szCs w:val="32"/>
              </w:rPr>
              <w:t>50</w:t>
            </w:r>
            <w:r>
              <w:rPr>
                <w:rFonts w:hint="eastAsia" w:ascii="宋体" w:hAnsi="Times New Roman" w:eastAsia="宋体" w:cs="宋体"/>
                <w:sz w:val="32"/>
                <w:szCs w:val="32"/>
              </w:rPr>
              <w:t>万元以上通用设备</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台，报废处置单位价值</w:t>
            </w:r>
            <w:r>
              <w:rPr>
                <w:rFonts w:ascii="宋体" w:hAnsi="Times New Roman" w:eastAsia="宋体" w:cs="宋体"/>
                <w:sz w:val="32"/>
                <w:szCs w:val="32"/>
              </w:rPr>
              <w:t>100</w:t>
            </w:r>
            <w:r>
              <w:rPr>
                <w:rFonts w:hint="eastAsia" w:ascii="宋体" w:hAnsi="Times New Roman" w:eastAsia="宋体" w:cs="宋体"/>
                <w:sz w:val="32"/>
                <w:szCs w:val="32"/>
              </w:rPr>
              <w:t>万元以上通用设备</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台。拟新增配置车辆</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辆，其中领导干部用车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辆，一般公务用车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辆，其他用车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w:t>
            </w:r>
          </w:p>
          <w:p>
            <w:pPr>
              <w:spacing w:line="375" w:lineRule="exact"/>
              <w:ind w:left="20" w:firstLine="640" w:firstLineChars="200"/>
            </w:pPr>
            <w:r>
              <w:rPr>
                <w:rFonts w:ascii="宋体" w:hAnsi="Times New Roman" w:eastAsia="宋体" w:cs="宋体"/>
                <w:sz w:val="32"/>
                <w:szCs w:val="32"/>
              </w:rPr>
              <w:t>202</w:t>
            </w:r>
            <w:r>
              <w:rPr>
                <w:rFonts w:hint="eastAsia" w:ascii="宋体" w:hAnsi="Times New Roman" w:eastAsia="宋体" w:cs="宋体"/>
                <w:sz w:val="32"/>
                <w:szCs w:val="32"/>
                <w:lang w:val="en-US" w:eastAsia="zh-CN"/>
              </w:rPr>
              <w:t>4</w:t>
            </w:r>
            <w:r>
              <w:rPr>
                <w:rFonts w:hint="eastAsia" w:ascii="宋体" w:hAnsi="Times New Roman" w:eastAsia="宋体" w:cs="宋体"/>
                <w:sz w:val="32"/>
                <w:szCs w:val="32"/>
              </w:rPr>
              <w:t>年拟新增配备领导干部用车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辆，一般公务用车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辆，其他用车</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辆，新增配备单位价值</w:t>
            </w:r>
            <w:r>
              <w:rPr>
                <w:rFonts w:ascii="宋体" w:hAnsi="Times New Roman" w:eastAsia="宋体" w:cs="宋体"/>
                <w:sz w:val="32"/>
                <w:szCs w:val="32"/>
              </w:rPr>
              <w:t>50</w:t>
            </w:r>
            <w:r>
              <w:rPr>
                <w:rFonts w:hint="eastAsia" w:ascii="宋体" w:hAnsi="Times New Roman" w:eastAsia="宋体" w:cs="宋体"/>
                <w:sz w:val="32"/>
                <w:szCs w:val="32"/>
              </w:rPr>
              <w:t>万元以上通用设备</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台，单位价值</w:t>
            </w:r>
            <w:r>
              <w:rPr>
                <w:rFonts w:ascii="宋体" w:hAnsi="Times New Roman" w:eastAsia="宋体" w:cs="宋体"/>
                <w:sz w:val="32"/>
                <w:szCs w:val="32"/>
              </w:rPr>
              <w:t>100</w:t>
            </w:r>
            <w:r>
              <w:rPr>
                <w:rFonts w:hint="eastAsia" w:ascii="宋体" w:hAnsi="Times New Roman" w:eastAsia="宋体" w:cs="宋体"/>
                <w:sz w:val="32"/>
                <w:szCs w:val="32"/>
              </w:rPr>
              <w:t>万元以上专用设备</w:t>
            </w:r>
            <w:r>
              <w:rPr>
                <w:rFonts w:hint="eastAsia" w:ascii="宋体" w:hAnsi="Times New Roman" w:eastAsia="宋体" w:cs="宋体"/>
                <w:sz w:val="32"/>
                <w:szCs w:val="32"/>
                <w:lang w:val="en-US" w:eastAsia="zh-CN"/>
              </w:rPr>
              <w:t>0</w:t>
            </w:r>
            <w:r>
              <w:rPr>
                <w:rFonts w:hint="eastAsia" w:ascii="宋体" w:hAnsi="Times New Roman" w:eastAsia="宋体" w:cs="宋体"/>
                <w:sz w:val="32"/>
                <w:szCs w:val="32"/>
              </w:rPr>
              <w:t>台。</w:t>
            </w:r>
          </w:p>
          <w:p>
            <w:pPr>
              <w:spacing w:line="375" w:lineRule="exact"/>
              <w:ind w:firstLine="640" w:firstLineChars="200"/>
              <w:rPr>
                <w:rFonts w:ascii="宋体" w:hAnsi="Times New Roman" w:eastAsia="宋体" w:cs="宋体"/>
                <w:sz w:val="32"/>
                <w:szCs w:val="32"/>
              </w:rPr>
            </w:pPr>
            <w:r>
              <w:rPr>
                <w:rFonts w:ascii="宋体" w:hAnsi="Times New Roman" w:eastAsia="宋体" w:cs="宋体"/>
                <w:sz w:val="32"/>
                <w:szCs w:val="32"/>
              </w:rPr>
              <w:t>202</w:t>
            </w:r>
            <w:r>
              <w:rPr>
                <w:rFonts w:hint="eastAsia" w:ascii="宋体" w:hAnsi="Times New Roman" w:eastAsia="宋体" w:cs="宋体"/>
                <w:sz w:val="32"/>
                <w:szCs w:val="32"/>
                <w:lang w:val="en-US" w:eastAsia="zh-CN"/>
              </w:rPr>
              <w:t>4</w:t>
            </w:r>
            <w:r>
              <w:rPr>
                <w:rFonts w:hint="eastAsia" w:ascii="宋体" w:hAnsi="Times New Roman" w:eastAsia="宋体" w:cs="宋体"/>
                <w:sz w:val="32"/>
                <w:szCs w:val="32"/>
              </w:rPr>
              <w:t>年度本单位未计划处置或新增车辆、设备等。</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（六）预算绩效目标说明</w:t>
            </w:r>
          </w:p>
        </w:tc>
      </w:tr>
      <w:tr>
        <w:tblPrEx>
          <w:tblCellMar>
            <w:top w:w="0" w:type="dxa"/>
            <w:left w:w="0" w:type="dxa"/>
            <w:bottom w:w="0" w:type="dxa"/>
            <w:right w:w="0" w:type="dxa"/>
          </w:tblCellMar>
        </w:tblPrEx>
        <w:trPr>
          <w:trHeight w:val="481"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w:t>
            </w:r>
            <w:r>
              <w:rPr>
                <w:rFonts w:hint="eastAsia" w:ascii="宋体" w:hAnsi="Times New Roman" w:eastAsia="宋体" w:cs="宋体"/>
                <w:sz w:val="32"/>
                <w:szCs w:val="32"/>
              </w:rPr>
              <w:t>本单位所有支出实行绩效目标管理。纳入</w:t>
            </w:r>
            <w:r>
              <w:rPr>
                <w:rFonts w:ascii="宋体" w:hAnsi="Times New Roman" w:eastAsia="宋体" w:cs="宋体"/>
                <w:sz w:val="32"/>
                <w:szCs w:val="32"/>
              </w:rPr>
              <w:t>2024</w:t>
            </w:r>
            <w:r>
              <w:rPr>
                <w:rFonts w:hint="eastAsia" w:ascii="宋体" w:hAnsi="Times New Roman" w:eastAsia="宋体" w:cs="宋体"/>
                <w:sz w:val="32"/>
                <w:szCs w:val="32"/>
              </w:rPr>
              <w:t>年单位整体支出绩效目标的金额为</w:t>
            </w:r>
            <w:r>
              <w:rPr>
                <w:rFonts w:ascii="宋体" w:hAnsi="Times New Roman" w:eastAsia="宋体" w:cs="宋体"/>
                <w:sz w:val="32"/>
                <w:szCs w:val="32"/>
              </w:rPr>
              <w:t>1365.75</w:t>
            </w:r>
            <w:r>
              <w:rPr>
                <w:rFonts w:hint="eastAsia" w:ascii="宋体" w:hAnsi="Times New Roman" w:eastAsia="宋体" w:cs="宋体"/>
                <w:sz w:val="32"/>
                <w:szCs w:val="32"/>
              </w:rPr>
              <w:t>万元，其中，基本支出</w:t>
            </w:r>
            <w:r>
              <w:rPr>
                <w:rFonts w:ascii="宋体" w:hAnsi="Times New Roman" w:eastAsia="宋体" w:cs="宋体"/>
                <w:sz w:val="32"/>
                <w:szCs w:val="32"/>
              </w:rPr>
              <w:t>1201.75</w:t>
            </w:r>
            <w:r>
              <w:rPr>
                <w:rFonts w:hint="eastAsia" w:ascii="宋体" w:hAnsi="Times New Roman" w:eastAsia="宋体" w:cs="宋体"/>
                <w:sz w:val="32"/>
                <w:szCs w:val="32"/>
              </w:rPr>
              <w:t>万元，项目支出</w:t>
            </w:r>
            <w:r>
              <w:rPr>
                <w:rFonts w:ascii="宋体" w:hAnsi="Times New Roman" w:eastAsia="宋体" w:cs="宋体"/>
                <w:sz w:val="32"/>
                <w:szCs w:val="32"/>
              </w:rPr>
              <w:t>164.00</w:t>
            </w:r>
            <w:r>
              <w:rPr>
                <w:rFonts w:hint="eastAsia" w:ascii="宋体" w:hAnsi="Times New Roman" w:eastAsia="宋体" w:cs="宋体"/>
                <w:sz w:val="32"/>
                <w:szCs w:val="32"/>
              </w:rPr>
              <w:t>万元，详见文尾附表中单位预算公开表格的表</w:t>
            </w:r>
            <w:r>
              <w:rPr>
                <w:rFonts w:ascii="宋体" w:hAnsi="Times New Roman" w:eastAsia="宋体" w:cs="宋体"/>
                <w:sz w:val="32"/>
                <w:szCs w:val="32"/>
              </w:rPr>
              <w:t>21-22</w:t>
            </w:r>
            <w:r>
              <w:rPr>
                <w:rFonts w:hint="eastAsia" w:ascii="宋体" w:hAnsi="Times New Roman" w:eastAsia="宋体" w:cs="宋体"/>
                <w:sz w:val="32"/>
                <w:szCs w:val="32"/>
              </w:rPr>
              <w:t>。</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Dialog" w:hAnsi="Times New Roman" w:eastAsia="Dialog" w:cs="Dialog"/>
                <w:sz w:val="32"/>
                <w:szCs w:val="32"/>
              </w:rPr>
            </w:pPr>
            <w:r>
              <w:rPr>
                <w:rFonts w:ascii="Dialog" w:hAnsi="Times New Roman" w:eastAsia="Dialog" w:cs="Dialog"/>
                <w:sz w:val="32"/>
                <w:szCs w:val="32"/>
              </w:rPr>
              <w:t xml:space="preserve">  </w:t>
            </w:r>
            <w:r>
              <w:rPr>
                <w:rFonts w:hint="eastAsia" w:ascii="Dialog" w:hAnsi="Times New Roman" w:eastAsia="Dialog" w:cs="Dialog"/>
                <w:sz w:val="32"/>
                <w:szCs w:val="32"/>
              </w:rPr>
              <w:t>七、名词解释</w:t>
            </w:r>
          </w:p>
        </w:tc>
      </w:tr>
      <w:tr>
        <w:tblPrEx>
          <w:tblCellMar>
            <w:top w:w="0" w:type="dxa"/>
            <w:left w:w="0" w:type="dxa"/>
            <w:bottom w:w="0" w:type="dxa"/>
            <w:right w:w="0" w:type="dxa"/>
          </w:tblCellMar>
        </w:tblPrEx>
        <w:trPr>
          <w:trHeight w:val="1105"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1</w:t>
            </w:r>
            <w:r>
              <w:rPr>
                <w:rFonts w:hint="eastAsia" w:ascii="宋体" w:hAnsi="Times New Roman" w:eastAsia="宋体" w:cs="宋体"/>
                <w:sz w:val="32"/>
                <w:szCs w:val="32"/>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tc>
      </w:tr>
      <w:tr>
        <w:tblPrEx>
          <w:tblCellMar>
            <w:top w:w="0" w:type="dxa"/>
            <w:left w:w="0" w:type="dxa"/>
            <w:bottom w:w="0" w:type="dxa"/>
            <w:right w:w="0" w:type="dxa"/>
          </w:tblCellMar>
        </w:tblPrEx>
        <w:trPr>
          <w:trHeight w:val="1105"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 xml:space="preserve">  2</w:t>
            </w:r>
            <w:r>
              <w:rPr>
                <w:rFonts w:hint="eastAsia" w:ascii="宋体" w:hAnsi="Times New Roman" w:eastAsia="宋体" w:cs="宋体"/>
                <w:sz w:val="32"/>
                <w:szCs w:val="32"/>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0" w:type="dxa"/>
            <w:bottom w:w="0" w:type="dxa"/>
            <w:right w:w="0" w:type="dxa"/>
          </w:tblCellMar>
        </w:tblPrEx>
        <w:trPr>
          <w:trHeight w:val="182" w:hRule="atLeast"/>
        </w:trPr>
        <w:tc>
          <w:tcPr>
            <w:tcW w:w="15306" w:type="dxa"/>
            <w:tcBorders>
              <w:top w:val="single" w:color="FFFFFF" w:sz="8" w:space="0"/>
              <w:left w:val="single" w:color="FFFFFF" w:sz="8" w:space="0"/>
              <w:bottom w:val="single" w:color="FFFFFF" w:sz="8" w:space="0"/>
              <w:right w:val="single" w:color="FFFFFF" w:sz="8" w:space="0"/>
            </w:tcBorders>
            <w:shd w:val="clear" w:color="auto" w:fill="FFFFFF"/>
            <w:vAlign w:val="center"/>
          </w:tcPr>
          <w:p>
            <w:pPr>
              <w:rPr>
                <w:rFonts w:ascii="Times New Roman" w:hAnsi="Times New Roman" w:cs="Times New Roman"/>
                <w:color w:val="auto"/>
              </w:rPr>
            </w:pPr>
          </w:p>
        </w:tc>
      </w:tr>
      <w:tr>
        <w:tblPrEx>
          <w:tblCellMar>
            <w:top w:w="0" w:type="dxa"/>
            <w:left w:w="0" w:type="dxa"/>
            <w:bottom w:w="0" w:type="dxa"/>
            <w:right w:w="0" w:type="dxa"/>
          </w:tblCellMar>
        </w:tblPrEx>
        <w:trPr>
          <w:trHeight w:val="182" w:hRule="atLeast"/>
        </w:trPr>
        <w:tc>
          <w:tcPr>
            <w:tcW w:w="15306" w:type="dxa"/>
            <w:tcBorders>
              <w:top w:val="single" w:color="FFFFFF" w:sz="8" w:space="0"/>
              <w:left w:val="single" w:color="FFFFFF" w:sz="8" w:space="0"/>
              <w:bottom w:val="single" w:color="FFFFFF" w:sz="8" w:space="0"/>
              <w:right w:val="single" w:color="FFFFFF" w:sz="8" w:space="0"/>
            </w:tcBorders>
            <w:shd w:val="clear" w:color="auto" w:fill="FFFFFF"/>
            <w:vAlign w:val="center"/>
          </w:tcPr>
          <w:p>
            <w:pPr>
              <w:rPr>
                <w:rFonts w:ascii="Times New Roman" w:hAnsi="Times New Roman" w:cs="Times New Roman"/>
                <w:color w:val="auto"/>
              </w:rPr>
            </w:pPr>
          </w:p>
        </w:tc>
      </w:tr>
      <w:tr>
        <w:tblPrEx>
          <w:tblCellMar>
            <w:top w:w="0" w:type="dxa"/>
            <w:left w:w="0" w:type="dxa"/>
            <w:bottom w:w="0" w:type="dxa"/>
            <w:right w:w="0" w:type="dxa"/>
          </w:tblCellMar>
        </w:tblPrEx>
        <w:trPr>
          <w:trHeight w:val="182" w:hRule="atLeast"/>
        </w:trPr>
        <w:tc>
          <w:tcPr>
            <w:tcW w:w="15306" w:type="dxa"/>
            <w:tcBorders>
              <w:top w:val="single" w:color="FFFFFF" w:sz="8" w:space="0"/>
              <w:left w:val="single" w:color="FFFFFF" w:sz="8" w:space="0"/>
              <w:bottom w:val="single" w:color="FFFFFF" w:sz="8" w:space="0"/>
              <w:right w:val="single" w:color="FFFFFF" w:sz="8" w:space="0"/>
            </w:tcBorders>
            <w:shd w:val="clear" w:color="auto" w:fill="FFFFFF"/>
            <w:vAlign w:val="center"/>
          </w:tcPr>
          <w:p>
            <w:pPr>
              <w:rPr>
                <w:rFonts w:ascii="Times New Roman" w:hAnsi="Times New Roman" w:cs="Times New Roman"/>
                <w:color w:val="auto"/>
              </w:rPr>
            </w:pP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jc w:val="center"/>
              <w:rPr>
                <w:rFonts w:ascii="Dialog" w:hAnsi="Times New Roman" w:eastAsia="Dialog" w:cs="Dialog"/>
                <w:sz w:val="32"/>
                <w:szCs w:val="32"/>
              </w:rPr>
            </w:pPr>
            <w:r>
              <w:rPr>
                <w:rFonts w:hint="eastAsia" w:ascii="Dialog" w:hAnsi="Times New Roman" w:eastAsia="Dialog" w:cs="Dialog"/>
                <w:sz w:val="32"/>
                <w:szCs w:val="32"/>
              </w:rPr>
              <w:t>第二部分</w:t>
            </w:r>
            <w:r>
              <w:rPr>
                <w:rFonts w:ascii="Dialog" w:hAnsi="Times New Roman" w:eastAsia="Dialog" w:cs="Dialog"/>
                <w:sz w:val="32"/>
                <w:szCs w:val="32"/>
              </w:rPr>
              <w:t xml:space="preserve">  2024</w:t>
            </w:r>
            <w:r>
              <w:rPr>
                <w:rFonts w:hint="eastAsia" w:ascii="Dialog" w:hAnsi="Times New Roman" w:eastAsia="Dialog" w:cs="Dialog"/>
                <w:sz w:val="32"/>
                <w:szCs w:val="32"/>
              </w:rPr>
              <w:t>年单位预算公开表格</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w:t>
            </w:r>
            <w:r>
              <w:rPr>
                <w:rFonts w:hint="eastAsia" w:ascii="宋体" w:hAnsi="Times New Roman" w:eastAsia="宋体" w:cs="宋体"/>
                <w:sz w:val="32"/>
                <w:szCs w:val="32"/>
              </w:rPr>
              <w:t>、收支总表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2</w:t>
            </w:r>
            <w:r>
              <w:rPr>
                <w:rFonts w:hint="eastAsia" w:ascii="宋体" w:hAnsi="Times New Roman" w:eastAsia="宋体" w:cs="宋体"/>
                <w:sz w:val="32"/>
                <w:szCs w:val="32"/>
              </w:rPr>
              <w:t>、收入总表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3</w:t>
            </w:r>
            <w:r>
              <w:rPr>
                <w:rFonts w:hint="eastAsia" w:ascii="宋体" w:hAnsi="Times New Roman" w:eastAsia="宋体" w:cs="宋体"/>
                <w:sz w:val="32"/>
                <w:szCs w:val="32"/>
              </w:rPr>
              <w:t>、支出总表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4</w:t>
            </w:r>
            <w:r>
              <w:rPr>
                <w:rFonts w:hint="eastAsia" w:ascii="宋体" w:hAnsi="Times New Roman" w:eastAsia="宋体" w:cs="宋体"/>
                <w:sz w:val="32"/>
                <w:szCs w:val="32"/>
              </w:rPr>
              <w:t>、支出预算分类汇总表（按政府预算经济分类）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5</w:t>
            </w:r>
            <w:r>
              <w:rPr>
                <w:rFonts w:hint="eastAsia" w:ascii="宋体" w:hAnsi="Times New Roman" w:eastAsia="宋体" w:cs="宋体"/>
                <w:sz w:val="32"/>
                <w:szCs w:val="32"/>
              </w:rPr>
              <w:t>、支出预算分类汇总表（按部门预算经济分类）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6</w:t>
            </w:r>
            <w:r>
              <w:rPr>
                <w:rFonts w:hint="eastAsia" w:ascii="宋体" w:hAnsi="Times New Roman" w:eastAsia="宋体" w:cs="宋体"/>
                <w:sz w:val="32"/>
                <w:szCs w:val="32"/>
              </w:rPr>
              <w:t>、财政拨款收支总表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7</w:t>
            </w:r>
            <w:r>
              <w:rPr>
                <w:rFonts w:hint="eastAsia" w:ascii="宋体" w:hAnsi="Times New Roman" w:eastAsia="宋体" w:cs="宋体"/>
                <w:sz w:val="32"/>
                <w:szCs w:val="32"/>
              </w:rPr>
              <w:t>、一般公共预算支出表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8</w:t>
            </w:r>
            <w:r>
              <w:rPr>
                <w:rFonts w:hint="eastAsia" w:ascii="宋体" w:hAnsi="Times New Roman" w:eastAsia="宋体" w:cs="宋体"/>
                <w:sz w:val="32"/>
                <w:szCs w:val="32"/>
              </w:rPr>
              <w:t>、一般公共预算基本支出表</w:t>
            </w:r>
            <w:r>
              <w:rPr>
                <w:rFonts w:ascii="宋体" w:hAnsi="Times New Roman" w:eastAsia="宋体" w:cs="宋体"/>
                <w:sz w:val="32"/>
                <w:szCs w:val="32"/>
              </w:rPr>
              <w:t>-</w:t>
            </w:r>
            <w:r>
              <w:rPr>
                <w:rFonts w:hint="eastAsia" w:ascii="宋体" w:hAnsi="Times New Roman" w:eastAsia="宋体" w:cs="宋体"/>
                <w:sz w:val="32"/>
                <w:szCs w:val="32"/>
              </w:rPr>
              <w:t>人员经费（工资福利支出）（按政府预算经济分类）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9</w:t>
            </w:r>
            <w:r>
              <w:rPr>
                <w:rFonts w:hint="eastAsia" w:ascii="宋体" w:hAnsi="Times New Roman" w:eastAsia="宋体" w:cs="宋体"/>
                <w:sz w:val="32"/>
                <w:szCs w:val="32"/>
              </w:rPr>
              <w:t>、一般公共预算基本支出表</w:t>
            </w:r>
            <w:r>
              <w:rPr>
                <w:rFonts w:ascii="宋体" w:hAnsi="Times New Roman" w:eastAsia="宋体" w:cs="宋体"/>
                <w:sz w:val="32"/>
                <w:szCs w:val="32"/>
              </w:rPr>
              <w:t>-</w:t>
            </w:r>
            <w:r>
              <w:rPr>
                <w:rFonts w:hint="eastAsia" w:ascii="宋体" w:hAnsi="Times New Roman" w:eastAsia="宋体" w:cs="宋体"/>
                <w:sz w:val="32"/>
                <w:szCs w:val="32"/>
              </w:rPr>
              <w:t>人员经费（工资福利支出）（按部门预算经济分类）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10</w:t>
            </w:r>
            <w:r>
              <w:rPr>
                <w:rFonts w:hint="eastAsia" w:ascii="宋体" w:hAnsi="Times New Roman" w:eastAsia="宋体" w:cs="宋体"/>
                <w:sz w:val="32"/>
                <w:szCs w:val="32"/>
              </w:rPr>
              <w:t>、一般公共预算基本支出表</w:t>
            </w:r>
            <w:r>
              <w:rPr>
                <w:rFonts w:ascii="宋体" w:hAnsi="Times New Roman" w:eastAsia="宋体" w:cs="宋体"/>
                <w:sz w:val="32"/>
                <w:szCs w:val="32"/>
              </w:rPr>
              <w:t>-</w:t>
            </w:r>
            <w:r>
              <w:rPr>
                <w:rFonts w:hint="eastAsia" w:ascii="宋体" w:hAnsi="Times New Roman" w:eastAsia="宋体" w:cs="宋体"/>
                <w:sz w:val="32"/>
                <w:szCs w:val="32"/>
              </w:rPr>
              <w:t>人员经费（对个人和家庭的补助）（按政府预算经济分类）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11</w:t>
            </w:r>
            <w:r>
              <w:rPr>
                <w:rFonts w:hint="eastAsia" w:ascii="宋体" w:hAnsi="Times New Roman" w:eastAsia="宋体" w:cs="宋体"/>
                <w:sz w:val="32"/>
                <w:szCs w:val="32"/>
              </w:rPr>
              <w:t>、一般公共预算基本支出表</w:t>
            </w:r>
            <w:r>
              <w:rPr>
                <w:rFonts w:ascii="宋体" w:hAnsi="Times New Roman" w:eastAsia="宋体" w:cs="宋体"/>
                <w:sz w:val="32"/>
                <w:szCs w:val="32"/>
              </w:rPr>
              <w:t>-</w:t>
            </w:r>
            <w:r>
              <w:rPr>
                <w:rFonts w:hint="eastAsia" w:ascii="宋体" w:hAnsi="Times New Roman" w:eastAsia="宋体" w:cs="宋体"/>
                <w:sz w:val="32"/>
                <w:szCs w:val="32"/>
              </w:rPr>
              <w:t>人员经费（对个人和家庭的补助）（按部门预算经济分类）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12</w:t>
            </w:r>
            <w:r>
              <w:rPr>
                <w:rFonts w:hint="eastAsia" w:ascii="宋体" w:hAnsi="Times New Roman" w:eastAsia="宋体" w:cs="宋体"/>
                <w:sz w:val="32"/>
                <w:szCs w:val="32"/>
              </w:rPr>
              <w:t>、一般公共预算基本支出表</w:t>
            </w:r>
            <w:r>
              <w:rPr>
                <w:rFonts w:ascii="宋体" w:hAnsi="Times New Roman" w:eastAsia="宋体" w:cs="宋体"/>
                <w:sz w:val="32"/>
                <w:szCs w:val="32"/>
              </w:rPr>
              <w:t>-</w:t>
            </w:r>
            <w:r>
              <w:rPr>
                <w:rFonts w:hint="eastAsia" w:ascii="宋体" w:hAnsi="Times New Roman" w:eastAsia="宋体" w:cs="宋体"/>
                <w:sz w:val="32"/>
                <w:szCs w:val="32"/>
              </w:rPr>
              <w:t>公用经费（商品和服务支出）（按政府预算经济分类）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13</w:t>
            </w:r>
            <w:r>
              <w:rPr>
                <w:rFonts w:hint="eastAsia" w:ascii="宋体" w:hAnsi="Times New Roman" w:eastAsia="宋体" w:cs="宋体"/>
                <w:sz w:val="32"/>
                <w:szCs w:val="32"/>
              </w:rPr>
              <w:t>、一般公共预算基本支出表</w:t>
            </w:r>
            <w:r>
              <w:rPr>
                <w:rFonts w:ascii="宋体" w:hAnsi="Times New Roman" w:eastAsia="宋体" w:cs="宋体"/>
                <w:sz w:val="32"/>
                <w:szCs w:val="32"/>
              </w:rPr>
              <w:t>-</w:t>
            </w:r>
            <w:r>
              <w:rPr>
                <w:rFonts w:hint="eastAsia" w:ascii="宋体" w:hAnsi="Times New Roman" w:eastAsia="宋体" w:cs="宋体"/>
                <w:sz w:val="32"/>
                <w:szCs w:val="32"/>
              </w:rPr>
              <w:t>公用经费（商品和服务支出）（按部门预算经济分类）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14</w:t>
            </w:r>
            <w:r>
              <w:rPr>
                <w:rFonts w:hint="eastAsia" w:ascii="宋体" w:hAnsi="Times New Roman" w:eastAsia="宋体" w:cs="宋体"/>
                <w:sz w:val="32"/>
                <w:szCs w:val="32"/>
              </w:rPr>
              <w:t>、一般公共预算“三公”经费支出表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15</w:t>
            </w:r>
            <w:r>
              <w:rPr>
                <w:rFonts w:hint="eastAsia" w:ascii="宋体" w:hAnsi="Times New Roman" w:eastAsia="宋体" w:cs="宋体"/>
                <w:sz w:val="32"/>
                <w:szCs w:val="32"/>
              </w:rPr>
              <w:t>、政府性基金预算支出表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16</w:t>
            </w:r>
            <w:r>
              <w:rPr>
                <w:rFonts w:hint="eastAsia" w:ascii="宋体" w:hAnsi="Times New Roman" w:eastAsia="宋体" w:cs="宋体"/>
                <w:sz w:val="32"/>
                <w:szCs w:val="32"/>
              </w:rPr>
              <w:t>、政府性基金预算支出分类汇总表（按政府预算经济分类）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17</w:t>
            </w:r>
            <w:r>
              <w:rPr>
                <w:rFonts w:hint="eastAsia" w:ascii="宋体" w:hAnsi="Times New Roman" w:eastAsia="宋体" w:cs="宋体"/>
                <w:sz w:val="32"/>
                <w:szCs w:val="32"/>
              </w:rPr>
              <w:t>、政府性基金预算支出分类汇总表（按部门预算经济分类）</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18</w:t>
            </w:r>
            <w:r>
              <w:rPr>
                <w:rFonts w:hint="eastAsia" w:ascii="宋体" w:hAnsi="Times New Roman" w:eastAsia="宋体" w:cs="宋体"/>
                <w:sz w:val="32"/>
                <w:szCs w:val="32"/>
              </w:rPr>
              <w:t>、国有资本经营预算支出表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19</w:t>
            </w:r>
            <w:r>
              <w:rPr>
                <w:rFonts w:hint="eastAsia" w:ascii="宋体" w:hAnsi="Times New Roman" w:eastAsia="宋体" w:cs="宋体"/>
                <w:sz w:val="32"/>
                <w:szCs w:val="32"/>
              </w:rPr>
              <w:t>、财政专户管理资金预算支出表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20</w:t>
            </w:r>
            <w:r>
              <w:rPr>
                <w:rFonts w:hint="eastAsia" w:ascii="宋体" w:hAnsi="Times New Roman" w:eastAsia="宋体" w:cs="宋体"/>
                <w:sz w:val="32"/>
                <w:szCs w:val="32"/>
              </w:rPr>
              <w:t>、专项资金预算汇总表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21</w:t>
            </w:r>
            <w:r>
              <w:rPr>
                <w:rFonts w:hint="eastAsia" w:ascii="宋体" w:hAnsi="Times New Roman" w:eastAsia="宋体" w:cs="宋体"/>
                <w:sz w:val="32"/>
                <w:szCs w:val="32"/>
              </w:rPr>
              <w:t>、项目支出绩效目标表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22</w:t>
            </w:r>
            <w:r>
              <w:rPr>
                <w:rFonts w:hint="eastAsia" w:ascii="宋体" w:hAnsi="Times New Roman" w:eastAsia="宋体" w:cs="宋体"/>
                <w:sz w:val="32"/>
                <w:szCs w:val="32"/>
              </w:rPr>
              <w:t>、单位整体支出绩效目标表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sz w:val="32"/>
                <w:szCs w:val="32"/>
              </w:rPr>
            </w:pPr>
            <w:r>
              <w:rPr>
                <w:rFonts w:ascii="宋体" w:hAnsi="Times New Roman" w:eastAsia="宋体" w:cs="宋体"/>
                <w:sz w:val="32"/>
                <w:szCs w:val="32"/>
              </w:rPr>
              <w:t>23</w:t>
            </w:r>
            <w:r>
              <w:rPr>
                <w:rFonts w:hint="eastAsia" w:ascii="宋体" w:hAnsi="Times New Roman" w:eastAsia="宋体" w:cs="宋体"/>
                <w:sz w:val="32"/>
                <w:szCs w:val="32"/>
              </w:rPr>
              <w:t>、一般公共预算基本支出表</w:t>
            </w:r>
          </w:p>
        </w:tc>
      </w:tr>
      <w:tr>
        <w:tblPrEx>
          <w:tblCellMar>
            <w:top w:w="0" w:type="dxa"/>
            <w:left w:w="0" w:type="dxa"/>
            <w:bottom w:w="0" w:type="dxa"/>
            <w:right w:w="0" w:type="dxa"/>
          </w:tblCellMar>
        </w:tblPrEx>
        <w:trPr>
          <w:trHeight w:val="364" w:hRule="atLeast"/>
        </w:trPr>
        <w:tc>
          <w:tcPr>
            <w:tcW w:w="15306"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375" w:lineRule="exact"/>
              <w:ind w:left="20"/>
              <w:rPr>
                <w:rFonts w:ascii="宋体" w:hAnsi="Times New Roman" w:eastAsia="宋体" w:cs="宋体"/>
                <w:color w:val="FF0000"/>
                <w:sz w:val="32"/>
                <w:szCs w:val="32"/>
              </w:rPr>
            </w:pPr>
            <w:r>
              <w:rPr>
                <w:rFonts w:hint="eastAsia" w:ascii="宋体" w:hAnsi="Times New Roman" w:eastAsia="宋体" w:cs="宋体"/>
                <w:b/>
                <w:bCs/>
                <w:color w:val="FF0000"/>
                <w:sz w:val="32"/>
                <w:szCs w:val="32"/>
              </w:rPr>
              <w:t>注：以上单位预算公开报表中，空表表示本单位无相关收支情况。</w:t>
            </w:r>
          </w:p>
        </w:tc>
      </w:tr>
    </w:tbl>
    <w:p/>
    <w:sectPr>
      <w:pgSz w:w="18708" w:h="15840"/>
      <w:pgMar w:top="388" w:right="1080" w:bottom="388" w:left="10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Dialog">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yNTA4MzYzMjZhZWYzN2MyMTVkZDY3ZGUwNjQ0Y2IifQ=="/>
  </w:docVars>
  <w:rsids>
    <w:rsidRoot w:val="0011238A"/>
    <w:rsid w:val="0011238A"/>
    <w:rsid w:val="006D1D77"/>
    <w:rsid w:val="09427984"/>
    <w:rsid w:val="0B8B080F"/>
    <w:rsid w:val="1D152B3D"/>
    <w:rsid w:val="28281FD6"/>
    <w:rsid w:val="28411D77"/>
    <w:rsid w:val="5F3C5F10"/>
    <w:rsid w:val="63C5607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99"/>
    <w:pPr>
      <w:widowControl w:val="0"/>
      <w:autoSpaceDE w:val="0"/>
      <w:autoSpaceDN w:val="0"/>
      <w:adjustRightInd w:val="0"/>
    </w:pPr>
    <w:rPr>
      <w:rFonts w:ascii="Arial" w:hAnsi="Arial" w:cs="Arial" w:eastAsiaTheme="minorEastAsia"/>
      <w:color w:val="000000"/>
      <w:kern w:val="0"/>
      <w:sz w:val="24"/>
      <w:szCs w:val="24"/>
      <w:lang w:val="en-US" w:eastAsia="zh-CN" w:bidi="ar-SA"/>
    </w:rPr>
  </w:style>
  <w:style w:type="paragraph" w:styleId="3">
    <w:name w:val="heading 1"/>
    <w:basedOn w:val="1"/>
    <w:next w:val="1"/>
    <w:link w:val="10"/>
    <w:autoRedefine/>
    <w:qFormat/>
    <w:uiPriority w:val="9"/>
    <w:pPr>
      <w:outlineLvl w:val="0"/>
    </w:pPr>
    <w:rPr>
      <w:b/>
      <w:bCs/>
      <w:sz w:val="32"/>
      <w:szCs w:val="32"/>
    </w:rPr>
  </w:style>
  <w:style w:type="paragraph" w:styleId="4">
    <w:name w:val="heading 2"/>
    <w:basedOn w:val="1"/>
    <w:next w:val="1"/>
    <w:link w:val="11"/>
    <w:autoRedefine/>
    <w:qFormat/>
    <w:uiPriority w:val="99"/>
    <w:pPr>
      <w:outlineLvl w:val="1"/>
    </w:pPr>
    <w:rPr>
      <w:b/>
      <w:bCs/>
      <w:i/>
      <w:iCs/>
      <w:sz w:val="28"/>
      <w:szCs w:val="28"/>
    </w:rPr>
  </w:style>
  <w:style w:type="paragraph" w:styleId="5">
    <w:name w:val="heading 3"/>
    <w:basedOn w:val="1"/>
    <w:next w:val="1"/>
    <w:link w:val="12"/>
    <w:autoRedefine/>
    <w:qFormat/>
    <w:uiPriority w:val="99"/>
    <w:pPr>
      <w:outlineLvl w:val="2"/>
    </w:pPr>
    <w:rPr>
      <w:b/>
      <w:bCs/>
      <w:sz w:val="26"/>
      <w:szCs w:val="26"/>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99"/>
    <w:pPr>
      <w:spacing w:before="120" w:after="200" w:line="276" w:lineRule="auto"/>
    </w:pPr>
    <w:rPr>
      <w:rFonts w:ascii="Arial" w:hAnsi="Arial"/>
      <w:sz w:val="24"/>
    </w:rPr>
  </w:style>
  <w:style w:type="paragraph" w:styleId="6">
    <w:name w:val="footer"/>
    <w:basedOn w:val="1"/>
    <w:link w:val="14"/>
    <w:autoRedefine/>
    <w:semiHidden/>
    <w:unhideWhenUsed/>
    <w:qFormat/>
    <w:uiPriority w:val="99"/>
    <w:pPr>
      <w:tabs>
        <w:tab w:val="center" w:pos="4153"/>
        <w:tab w:val="right" w:pos="8306"/>
      </w:tabs>
      <w:snapToGrid w:val="0"/>
    </w:pPr>
    <w:rPr>
      <w:sz w:val="18"/>
      <w:szCs w:val="18"/>
    </w:rPr>
  </w:style>
  <w:style w:type="paragraph" w:styleId="7">
    <w:name w:val="header"/>
    <w:basedOn w:val="1"/>
    <w:link w:val="13"/>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1 Char"/>
    <w:basedOn w:val="9"/>
    <w:link w:val="3"/>
    <w:autoRedefine/>
    <w:qFormat/>
    <w:uiPriority w:val="9"/>
    <w:rPr>
      <w:b/>
      <w:bCs/>
      <w:kern w:val="44"/>
      <w:sz w:val="44"/>
      <w:szCs w:val="44"/>
    </w:rPr>
  </w:style>
  <w:style w:type="character" w:customStyle="1" w:styleId="11">
    <w:name w:val="标题 2 Char"/>
    <w:basedOn w:val="9"/>
    <w:link w:val="4"/>
    <w:autoRedefine/>
    <w:semiHidden/>
    <w:qFormat/>
    <w:uiPriority w:val="9"/>
    <w:rPr>
      <w:rFonts w:asciiTheme="majorHAnsi" w:hAnsiTheme="majorHAnsi" w:eastAsiaTheme="majorEastAsia" w:cstheme="majorBidi"/>
      <w:b/>
      <w:bCs/>
      <w:sz w:val="32"/>
      <w:szCs w:val="32"/>
    </w:rPr>
  </w:style>
  <w:style w:type="character" w:customStyle="1" w:styleId="12">
    <w:name w:val="标题 3 Char"/>
    <w:basedOn w:val="9"/>
    <w:link w:val="5"/>
    <w:autoRedefine/>
    <w:semiHidden/>
    <w:qFormat/>
    <w:uiPriority w:val="9"/>
    <w:rPr>
      <w:b/>
      <w:bCs/>
      <w:sz w:val="32"/>
      <w:szCs w:val="32"/>
    </w:rPr>
  </w:style>
  <w:style w:type="character" w:customStyle="1" w:styleId="13">
    <w:name w:val="页眉 Char"/>
    <w:basedOn w:val="9"/>
    <w:link w:val="7"/>
    <w:autoRedefine/>
    <w:semiHidden/>
    <w:qFormat/>
    <w:uiPriority w:val="99"/>
    <w:rPr>
      <w:rFonts w:ascii="Arial" w:hAnsi="Arial" w:cs="Arial"/>
      <w:color w:val="000000"/>
      <w:kern w:val="0"/>
      <w:sz w:val="18"/>
      <w:szCs w:val="18"/>
    </w:rPr>
  </w:style>
  <w:style w:type="character" w:customStyle="1" w:styleId="14">
    <w:name w:val="页脚 Char"/>
    <w:basedOn w:val="9"/>
    <w:link w:val="6"/>
    <w:autoRedefine/>
    <w:semiHidden/>
    <w:qFormat/>
    <w:uiPriority w:val="99"/>
    <w:rPr>
      <w:rFonts w:ascii="Arial" w:hAnsi="Arial" w:cs="Arial"/>
      <w:color w:val="000000"/>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577</Words>
  <Characters>3293</Characters>
  <Lines>27</Lines>
  <Paragraphs>7</Paragraphs>
  <TotalTime>12</TotalTime>
  <ScaleCrop>false</ScaleCrop>
  <LinksUpToDate>false</LinksUpToDate>
  <CharactersWithSpaces>3863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2024-03-20T08:51:00Z</dcterms:created>
  <dc:creator>Microsoft</dc:creator>
  <cp:lastModifiedBy>晨煜鲤</cp:lastModifiedBy>
  <dcterms:modified xsi:type="dcterms:W3CDTF">2024-04-28T08:38:21Z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8CC5D28ACFF24E74998559B556FD1AD2_13</vt:lpwstr>
  </property>
</Properties>
</file>