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岳阳市202</w:t>
      </w:r>
      <w:r>
        <w:rPr>
          <w:rFonts w:hint="eastAsia" w:eastAsia="方正小标宋简体"/>
          <w:bCs/>
          <w:sz w:val="46"/>
          <w:szCs w:val="46"/>
          <w:lang w:val="en-US" w:eastAsia="zh-CN"/>
        </w:rPr>
        <w:t>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val="en-US" w:eastAsia="zh-CN"/>
        </w:rPr>
        <w:t>岳阳市医疗保障局</w:t>
      </w:r>
      <w:r>
        <w:rPr>
          <w:rFonts w:hint="eastAsia"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30601</w:t>
      </w:r>
      <w:r>
        <w:rPr>
          <w:rFonts w:hint="eastAsia"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10</w:t>
      </w:r>
      <w:r>
        <w:rPr>
          <w:rFonts w:hint="eastAsia" w:eastAsia="仿宋_GB2312"/>
          <w:sz w:val="32"/>
        </w:rPr>
        <w:t xml:space="preserve"> 日</w:t>
      </w:r>
    </w:p>
    <w:p>
      <w:pPr>
        <w:autoSpaceDN w:val="0"/>
        <w:jc w:val="center"/>
        <w:textAlignment w:val="center"/>
        <w:rPr>
          <w:rFonts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247" w:right="1588" w:bottom="1247"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10"/>
        <w:tblW w:w="97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348"/>
        <w:gridCol w:w="1339"/>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707" w:type="dxa"/>
            <w:gridSpan w:val="15"/>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48" w:type="dxa"/>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774" w:type="dxa"/>
            <w:gridSpan w:val="5"/>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方维略</w:t>
            </w:r>
          </w:p>
        </w:tc>
        <w:tc>
          <w:tcPr>
            <w:tcW w:w="1479" w:type="dxa"/>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8251770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48" w:type="dxa"/>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774" w:type="dxa"/>
            <w:gridSpan w:val="5"/>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w:t>
            </w:r>
          </w:p>
        </w:tc>
        <w:tc>
          <w:tcPr>
            <w:tcW w:w="1479" w:type="dxa"/>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348" w:type="dxa"/>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359" w:type="dxa"/>
            <w:gridSpan w:val="14"/>
            <w:vAlign w:val="center"/>
          </w:tcPr>
          <w:p>
            <w:pPr>
              <w:pStyle w:val="4"/>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（一）拟订全市社会医疗保险、生育保险、医疗救助等医疗保障制度及相关社会职能的政策、规划、标准并组织实施。</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（二）组织制定并实施全市医疗保障基金监督管理办法，监督管理各项医疗保障基金,建立健全医疗保障基金安全防控机制，推进医疗保障基金支付方式改革。</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（三）组织制定全市医疗保障筹资和待遇政策，完善动态调整和区域调剂平衡机制，统筹城乡医疗保障待遇标准，建立健全与筹资水平相适应的待遇调整机制，组织拟订并实施长期护理保险制度改革方案。</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（四）执行全省城乡统一的药品、医用耗材、医疗服务项目、医疗服务设施等医保目录和支付标准。</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五）根据上级部门药品、医用耗材价格和医疗服务项目、医疗服务设施收费等政策，建立合理的医保支付医药服务价格和确定动态调整机制，推动建立市场主导的社会医药服务价格形成机制，建立价格信息监测和信息发布制度。</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（六）执行国家和省药品、医用耗材的招标采购政策并监督实施。</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（七）制定全市定点医药机构协议和支付管理办法并组织实施，建立健全医疗保障信用评价体系和信息披露制度，监督管理纳入医保范围内的医疗服务行为和医疗费用，依法查处医疗保障领域违法违规行为。</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八）负责全市医疗保障经办管理、公共服务体系和信息化建设。指导和监督全市医疗保险、生育保险、医疗救助等医疗保障经办业务工作。组织制定和完善异地就医管理和费用结算政策。建立健全医疗保障关系转移接续制度。</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（九）执行国家和省城乡医疗救助和医保扶贫政策，负责全市医疗救助和医保扶贫政策的制定、监督、实施工作。</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（十）完成国家、省医疗保障局和市委、市政府交办的其他任务。</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十一）职能转变。按照党中央、国务院关于转变政府职能、深化放管服改革，深入推进审批服务便民化的决策部署，组织推进本部门转变政府职能。完善全市统一的城乡居民基本医疗保险制度和大病保险制度，巩固完善城乡居民医疗救助制度。建立健全覆盖全民、城乡统筹的多层次保障体系。不断提高医疗保障水平，确保医保资金合理使用、安全可控。按照职责分工推进医疗、医保、医药“三医联动”改革，更好地保障人民群众就医需求、减轻医药费用负担。</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（十二）与市卫健委的有关职责分工。市卫健委、市医保局等部门在医疗、医保、医药等方面加强制度、政策衔接，建立沟通协商机制，协同推进改革，提高医疗资源使用效率和医疗保障水平。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348" w:type="dxa"/>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359" w:type="dxa"/>
            <w:gridSpan w:val="14"/>
            <w:vAlign w:val="center"/>
          </w:tcPr>
          <w:p>
            <w:pPr>
              <w:pStyle w:val="4"/>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任务一：全面深化医保领域改革</w:t>
            </w:r>
          </w:p>
          <w:p>
            <w:pPr>
              <w:pStyle w:val="4"/>
              <w:keepNext w:val="0"/>
              <w:keepLines w:val="0"/>
              <w:pageBreakBefore w:val="0"/>
              <w:widowControl w:val="0"/>
              <w:numPr>
                <w:ilvl w:val="0"/>
                <w:numId w:val="2"/>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加快推进市级统筹改革。</w:t>
            </w:r>
          </w:p>
          <w:p>
            <w:pPr>
              <w:pStyle w:val="4"/>
              <w:keepNext w:val="0"/>
              <w:keepLines w:val="0"/>
              <w:pageBreakBefore w:val="0"/>
              <w:widowControl w:val="0"/>
              <w:numPr>
                <w:ilvl w:val="0"/>
                <w:numId w:val="2"/>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全面落实城乡居民医保门诊统筹改革。</w:t>
            </w:r>
          </w:p>
          <w:p>
            <w:pPr>
              <w:pStyle w:val="4"/>
              <w:keepNext w:val="0"/>
              <w:keepLines w:val="0"/>
              <w:pageBreakBefore w:val="0"/>
              <w:widowControl w:val="0"/>
              <w:numPr>
                <w:ilvl w:val="0"/>
                <w:numId w:val="2"/>
              </w:numPr>
              <w:suppressLineNumbers w:val="0"/>
              <w:kinsoku/>
              <w:wordWrap/>
              <w:overflowPunct/>
              <w:topLinePunct w:val="0"/>
              <w:autoSpaceDE/>
              <w:autoSpaceDN/>
              <w:bidi w:val="0"/>
              <w:adjustRightInd/>
              <w:spacing w:before="0" w:beforeAutospacing="0" w:after="0" w:afterAutospacing="0" w:line="560" w:lineRule="exact"/>
              <w:ind w:left="0" w:leftChars="0" w:right="0" w:firstLine="480" w:firstLineChars="20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全面落实药械集中采购工作。</w:t>
            </w:r>
          </w:p>
          <w:p>
            <w:pPr>
              <w:pStyle w:val="4"/>
              <w:keepNext w:val="0"/>
              <w:keepLines w:val="0"/>
              <w:pageBreakBefore w:val="0"/>
              <w:widowControl w:val="0"/>
              <w:numPr>
                <w:ilvl w:val="0"/>
                <w:numId w:val="2"/>
              </w:numPr>
              <w:suppressLineNumbers w:val="0"/>
              <w:kinsoku/>
              <w:wordWrap/>
              <w:overflowPunct/>
              <w:topLinePunct w:val="0"/>
              <w:autoSpaceDE/>
              <w:autoSpaceDN/>
              <w:bidi w:val="0"/>
              <w:adjustRightInd/>
              <w:spacing w:before="0" w:beforeAutospacing="0" w:after="0" w:afterAutospacing="0" w:line="560" w:lineRule="exact"/>
              <w:ind w:left="0" w:leftChars="0" w:right="0" w:firstLine="480" w:firstLineChars="20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加快我市医疗服务价格调整政策落实。</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任务二：加强医保基金监督管理</w:t>
            </w:r>
          </w:p>
          <w:p>
            <w:pPr>
              <w:pStyle w:val="4"/>
              <w:keepNext w:val="0"/>
              <w:keepLines w:val="0"/>
              <w:pageBreakBefore w:val="0"/>
              <w:widowControl w:val="0"/>
              <w:numPr>
                <w:ilvl w:val="0"/>
                <w:numId w:val="3"/>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持续开展打击欺诈骗保。</w:t>
            </w:r>
          </w:p>
          <w:p>
            <w:pPr>
              <w:pStyle w:val="4"/>
              <w:keepNext w:val="0"/>
              <w:keepLines w:val="0"/>
              <w:pageBreakBefore w:val="0"/>
              <w:widowControl w:val="0"/>
              <w:numPr>
                <w:ilvl w:val="0"/>
                <w:numId w:val="3"/>
              </w:numPr>
              <w:suppressLineNumbers w:val="0"/>
              <w:kinsoku/>
              <w:wordWrap/>
              <w:overflowPunct/>
              <w:topLinePunct w:val="0"/>
              <w:autoSpaceDE/>
              <w:autoSpaceDN/>
              <w:bidi w:val="0"/>
              <w:adjustRightInd/>
              <w:spacing w:before="0" w:beforeAutospacing="0" w:after="0" w:afterAutospacing="0" w:line="560" w:lineRule="exact"/>
              <w:ind w:left="0" w:leftChars="0" w:right="0" w:firstLine="480" w:firstLineChars="20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加强基金安全宣传力度。</w:t>
            </w:r>
          </w:p>
          <w:p>
            <w:pPr>
              <w:pStyle w:val="4"/>
              <w:keepNext w:val="0"/>
              <w:keepLines w:val="0"/>
              <w:pageBreakBefore w:val="0"/>
              <w:widowControl w:val="0"/>
              <w:numPr>
                <w:ilvl w:val="0"/>
                <w:numId w:val="3"/>
              </w:numPr>
              <w:suppressLineNumbers w:val="0"/>
              <w:kinsoku/>
              <w:wordWrap/>
              <w:overflowPunct/>
              <w:topLinePunct w:val="0"/>
              <w:autoSpaceDE/>
              <w:autoSpaceDN/>
              <w:bidi w:val="0"/>
              <w:adjustRightInd/>
              <w:spacing w:before="0" w:beforeAutospacing="0" w:after="0" w:afterAutospacing="0" w:line="560" w:lineRule="exact"/>
              <w:ind w:left="0" w:leftChars="0" w:right="0" w:firstLine="480" w:firstLineChars="20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规范投诉举报处理。</w:t>
            </w:r>
          </w:p>
          <w:p>
            <w:pPr>
              <w:pStyle w:val="4"/>
              <w:keepNext w:val="0"/>
              <w:keepLines w:val="0"/>
              <w:pageBreakBefore w:val="0"/>
              <w:widowControl w:val="0"/>
              <w:numPr>
                <w:ilvl w:val="0"/>
                <w:numId w:val="3"/>
              </w:numPr>
              <w:suppressLineNumbers w:val="0"/>
              <w:kinsoku/>
              <w:wordWrap/>
              <w:overflowPunct/>
              <w:topLinePunct w:val="0"/>
              <w:autoSpaceDE/>
              <w:autoSpaceDN/>
              <w:bidi w:val="0"/>
              <w:adjustRightInd/>
              <w:spacing w:before="0" w:beforeAutospacing="0" w:after="0" w:afterAutospacing="0" w:line="560" w:lineRule="exact"/>
              <w:ind w:left="0" w:leftChars="0" w:right="0" w:firstLine="480" w:firstLineChars="20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完善智能审核监管系统。</w:t>
            </w:r>
          </w:p>
          <w:p>
            <w:pPr>
              <w:pStyle w:val="4"/>
              <w:keepNext w:val="0"/>
              <w:keepLines w:val="0"/>
              <w:pageBreakBefore w:val="0"/>
              <w:widowControl w:val="0"/>
              <w:numPr>
                <w:ilvl w:val="0"/>
                <w:numId w:val="3"/>
              </w:numPr>
              <w:suppressLineNumbers w:val="0"/>
              <w:kinsoku/>
              <w:wordWrap/>
              <w:overflowPunct/>
              <w:topLinePunct w:val="0"/>
              <w:autoSpaceDE/>
              <w:autoSpaceDN/>
              <w:bidi w:val="0"/>
              <w:adjustRightInd/>
              <w:spacing w:before="0" w:beforeAutospacing="0" w:after="0" w:afterAutospacing="0" w:line="560" w:lineRule="exact"/>
              <w:ind w:left="0" w:leftChars="0" w:right="0" w:firstLine="480" w:firstLineChars="20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完善内控机制建设。</w:t>
            </w:r>
          </w:p>
          <w:p>
            <w:pPr>
              <w:pStyle w:val="4"/>
              <w:keepNext w:val="0"/>
              <w:keepLines w:val="0"/>
              <w:pageBreakBefore w:val="0"/>
              <w:widowControl w:val="0"/>
              <w:numPr>
                <w:ilvl w:val="0"/>
                <w:numId w:val="3"/>
              </w:numPr>
              <w:suppressLineNumbers w:val="0"/>
              <w:kinsoku/>
              <w:wordWrap/>
              <w:overflowPunct/>
              <w:topLinePunct w:val="0"/>
              <w:autoSpaceDE/>
              <w:autoSpaceDN/>
              <w:bidi w:val="0"/>
              <w:adjustRightInd/>
              <w:spacing w:before="0" w:beforeAutospacing="0" w:after="0" w:afterAutospacing="0" w:line="560" w:lineRule="exact"/>
              <w:ind w:left="0" w:leftChars="0" w:right="0" w:firstLine="480" w:firstLineChars="20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强化日常稽核检查。</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任务三：全面夯实医保工作基础</w:t>
            </w:r>
          </w:p>
          <w:p>
            <w:pPr>
              <w:pStyle w:val="4"/>
              <w:keepNext w:val="0"/>
              <w:keepLines w:val="0"/>
              <w:pageBreakBefore w:val="0"/>
              <w:widowControl w:val="0"/>
              <w:numPr>
                <w:ilvl w:val="0"/>
                <w:numId w:val="4"/>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建立健全全市统一的医保工作制度。</w:t>
            </w:r>
          </w:p>
          <w:p>
            <w:pPr>
              <w:pStyle w:val="4"/>
              <w:keepNext w:val="0"/>
              <w:keepLines w:val="0"/>
              <w:pageBreakBefore w:val="0"/>
              <w:widowControl w:val="0"/>
              <w:numPr>
                <w:ilvl w:val="0"/>
                <w:numId w:val="4"/>
              </w:numPr>
              <w:suppressLineNumbers w:val="0"/>
              <w:kinsoku/>
              <w:wordWrap/>
              <w:overflowPunct/>
              <w:topLinePunct w:val="0"/>
              <w:autoSpaceDE/>
              <w:autoSpaceDN/>
              <w:bidi w:val="0"/>
              <w:adjustRightInd/>
              <w:spacing w:before="0" w:beforeAutospacing="0" w:after="0" w:afterAutospacing="0" w:line="560" w:lineRule="exact"/>
              <w:ind w:left="0" w:leftChars="0" w:right="0" w:firstLine="480" w:firstLineChars="20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积极加快信息化建设。</w:t>
            </w:r>
          </w:p>
          <w:p>
            <w:pPr>
              <w:pStyle w:val="4"/>
              <w:keepNext w:val="0"/>
              <w:keepLines w:val="0"/>
              <w:pageBreakBefore w:val="0"/>
              <w:widowControl w:val="0"/>
              <w:numPr>
                <w:ilvl w:val="0"/>
                <w:numId w:val="4"/>
              </w:numPr>
              <w:suppressLineNumbers w:val="0"/>
              <w:kinsoku/>
              <w:wordWrap/>
              <w:overflowPunct/>
              <w:topLinePunct w:val="0"/>
              <w:autoSpaceDE/>
              <w:autoSpaceDN/>
              <w:bidi w:val="0"/>
              <w:adjustRightInd/>
              <w:spacing w:before="0" w:beforeAutospacing="0" w:after="0" w:afterAutospacing="0" w:line="560" w:lineRule="exact"/>
              <w:ind w:left="0" w:leftChars="0" w:right="0" w:firstLine="480" w:firstLineChars="20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全面加强绩效管理。</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default" w:ascii="仿宋_GB2312" w:hAnsi="仿宋_GB2312" w:eastAsia="仿宋_GB2312" w:cs="仿宋_GB2312"/>
                <w:color w:val="4F81BD" w:themeColor="accent1"/>
                <w:kern w:val="2"/>
                <w:sz w:val="24"/>
                <w:szCs w:val="24"/>
                <w:lang w:val="en-US" w:eastAsia="zh-CN" w:bidi="ar-SA"/>
                <w14:textFill>
                  <w14:solidFill>
                    <w14:schemeClr w14:val="accent1"/>
                  </w14:solidFill>
                </w14:textFill>
              </w:rPr>
            </w:pPr>
            <w:r>
              <w:rPr>
                <w:rFonts w:hint="eastAsia" w:ascii="仿宋_GB2312" w:hAnsi="仿宋_GB2312" w:eastAsia="仿宋_GB2312" w:cs="仿宋_GB2312"/>
                <w:color w:val="auto"/>
                <w:kern w:val="2"/>
                <w:sz w:val="24"/>
                <w:szCs w:val="24"/>
                <w:lang w:val="en-US" w:eastAsia="zh-CN" w:bidi="ar-SA"/>
              </w:rPr>
              <w:t>（四）强化医保法制建设。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348" w:type="dxa"/>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359" w:type="dxa"/>
            <w:gridSpan w:val="14"/>
            <w:vAlign w:val="center"/>
          </w:tcPr>
          <w:p>
            <w:pPr>
              <w:pStyle w:val="4"/>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2021年，岳阳市医疗保障局坚持以习近平新时代中国特色社会义主思想为指导，坚决贯彻市委市政府决策部署，紧扣目标任务，努力进取，真抓实干，较好地完成了全年各项工作任务。</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一、提高政治站位，做好新形势下机关党建工作。一是打牢机关党建工作基础。以创建“三表率一模范”政治机关为契机，全面提高机关党建设工作质量。进一步强化党风廉政建设，召开全市医疗保障系统党风廉政建设工作会议，印发《机关党建工作要点》《党风廉政建设工作要点》。严格落实基层党组织“三会一课”、“主题党日”等制度，局党组成员以双重身份参加党支部各项活动，认真开展了支部书记“双述双评”和民主评议党员，将机关党建纳入年底绩效考评内容，做到了机关党建与中心工作同谋划、同部署、同推进、同考核。二是深入开展党史学习教育。贯彻落实中央、省委、市委的决策部署和工作要求，围绕“学史明理”“学史增信”“学史崇德”“学史力行”四个专题深入开展党史学习教育活动。制定《岳阳市医疗保障局党史学习教育活动方案》和《党史学习教育工作安排表》，成立党史学习教育领导小组，并在微信公众号开设“党史百年天天读”学习专栏。同时，结合党史学习教育活动，认真落实为群众办实事工作，重点抓好了市政府重点民生实事医疗救助工作的落实。三是高质量落实巡察整改工作。2021年4月至5月，市委第四巡察组对我局进行了集中巡察。9月10日，反馈了巡察意见。我局党组强化政治担当，认真履行第一责任人责任，坚持把巡察整改作为提升全市医疗保障工作水平的重要机遇来抓，坚决把每一个问题的整改都当作“必答题”，严格对照巡察整改任务实行挂图作战、销号管理，列清单、建台账、倒排工期，解决一个、销号一个、巩固一个。巡察反馈的3个方面9类33个具体问题全部按照要求整改到位并长期坚持，确保整改工作真到位、严到位、全到位。</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二、努力真抓实干，全面落实督查激励措施。制定了《2021年度全市医保系统真抓实干做实医保市级统筹工作考评方案》，强化工作措施，狠抓任务落实，圆满完成了全年目标任务。一是实现了参保全覆盖。2021度全市基本医疗保险参保人数549.73万人，常住人口参保率108.82%；落实脱贫人口、低保对象、特困人员、重度残疾人等困难群众资助参保38.7万人，未参保困难群众动态清零。二是落实了“两病”用药保障。截至11月底，共落实城乡居民参保人员享受高血压门诊待遇38.39万人，享受糖尿病门诊待遇14.01万人，其中纳入基层卫生机构规范化管理的城乡居民参保“两病”患者29.62万人全部按政策享受待遇。三是强化了医保基金监管。2021年以来，严格按照省市要求，开展了打击欺诈骗保套保挪用贪占医保基金集中整治，采取督促医药机构自查自纠、交叉飞行检查等形式，今年以来，我局将维护医保基金安全作为重要政治任务，建立健全严密有力的基金监管机制，始终保持打击欺诈骗保的高压态势。全市通过自查和排查，发现各类问题线索1663条，立行立改1324条，立案130起，暂停医保协议5家，解除医保协议29家，移送公安机关案件11起、纪检监察机关6起、卫健部门8起，追回违规资金3360.07万元。四是在全省率先建立医保基金运行风险预警机制。</w:t>
            </w:r>
            <w:r>
              <w:rPr>
                <w:rFonts w:hint="default" w:ascii="仿宋_GB2312" w:hAnsi="仿宋_GB2312" w:eastAsia="仿宋_GB2312" w:cs="仿宋_GB2312"/>
                <w:color w:val="000000"/>
                <w:kern w:val="2"/>
                <w:sz w:val="24"/>
                <w:szCs w:val="24"/>
                <w:lang w:val="en-US" w:eastAsia="zh-CN" w:bidi="ar-SA"/>
              </w:rPr>
              <w:t>11月17日</w:t>
            </w:r>
            <w:r>
              <w:rPr>
                <w:rFonts w:hint="eastAsia" w:ascii="仿宋_GB2312" w:hAnsi="仿宋_GB2312" w:eastAsia="仿宋_GB2312" w:cs="仿宋_GB2312"/>
                <w:color w:val="000000"/>
                <w:kern w:val="2"/>
                <w:sz w:val="24"/>
                <w:szCs w:val="24"/>
                <w:lang w:val="en-US" w:eastAsia="zh-CN" w:bidi="ar-SA"/>
              </w:rPr>
              <w:t>，市人民</w:t>
            </w:r>
            <w:r>
              <w:rPr>
                <w:rFonts w:hint="default" w:ascii="仿宋_GB2312" w:hAnsi="仿宋_GB2312" w:eastAsia="仿宋_GB2312" w:cs="仿宋_GB2312"/>
                <w:color w:val="000000"/>
                <w:kern w:val="2"/>
                <w:sz w:val="24"/>
                <w:szCs w:val="24"/>
                <w:lang w:val="en-US" w:eastAsia="zh-CN" w:bidi="ar-SA"/>
              </w:rPr>
              <w:t>政府</w:t>
            </w:r>
            <w:r>
              <w:rPr>
                <w:rFonts w:hint="eastAsia" w:ascii="仿宋_GB2312" w:hAnsi="仿宋_GB2312" w:eastAsia="仿宋_GB2312" w:cs="仿宋_GB2312"/>
                <w:color w:val="000000"/>
                <w:kern w:val="2"/>
                <w:sz w:val="24"/>
                <w:szCs w:val="24"/>
                <w:lang w:val="en-US" w:eastAsia="zh-CN" w:bidi="ar-SA"/>
              </w:rPr>
              <w:t>市长李爱武主持召开第60次市政府</w:t>
            </w:r>
            <w:r>
              <w:rPr>
                <w:rFonts w:hint="default" w:ascii="仿宋_GB2312" w:hAnsi="仿宋_GB2312" w:eastAsia="仿宋_GB2312" w:cs="仿宋_GB2312"/>
                <w:color w:val="000000"/>
                <w:kern w:val="2"/>
                <w:sz w:val="24"/>
                <w:szCs w:val="24"/>
                <w:lang w:val="en-US" w:eastAsia="zh-CN" w:bidi="ar-SA"/>
              </w:rPr>
              <w:t>常务会议</w:t>
            </w:r>
            <w:r>
              <w:rPr>
                <w:rFonts w:hint="eastAsia" w:ascii="仿宋_GB2312" w:hAnsi="仿宋_GB2312" w:eastAsia="仿宋_GB2312" w:cs="仿宋_GB2312"/>
                <w:color w:val="000000"/>
                <w:kern w:val="2"/>
                <w:sz w:val="24"/>
                <w:szCs w:val="24"/>
                <w:lang w:val="en-US" w:eastAsia="zh-CN" w:bidi="ar-SA"/>
              </w:rPr>
              <w:t>，</w:t>
            </w:r>
            <w:r>
              <w:rPr>
                <w:rFonts w:hint="default" w:ascii="仿宋_GB2312" w:hAnsi="仿宋_GB2312" w:eastAsia="仿宋_GB2312" w:cs="仿宋_GB2312"/>
                <w:color w:val="000000"/>
                <w:kern w:val="2"/>
                <w:sz w:val="24"/>
                <w:szCs w:val="24"/>
                <w:lang w:val="en-US" w:eastAsia="zh-CN" w:bidi="ar-SA"/>
              </w:rPr>
              <w:t>审议通过了</w:t>
            </w:r>
            <w:r>
              <w:rPr>
                <w:rFonts w:hint="eastAsia" w:ascii="仿宋_GB2312" w:hAnsi="仿宋_GB2312" w:eastAsia="仿宋_GB2312" w:cs="仿宋_GB2312"/>
                <w:color w:val="000000"/>
                <w:kern w:val="2"/>
                <w:sz w:val="24"/>
                <w:szCs w:val="24"/>
                <w:lang w:val="en-US" w:eastAsia="zh-CN" w:bidi="ar-SA"/>
              </w:rPr>
              <w:t>《岳阳市基本医疗保险基金运行风险预警制度》。通过建立基本医疗保险基金运行风险预警制度，不仅可以及时发现全市医保基金的运行风险，而且有力强化了属地管理责任。对于医保基金存在支付风险或管理风险的县市区，由市人民政府向县市区人民政府下发医保基金风险预警通知，压实属地政府的责任。对于涉刑案件司法移交和医保内部工作人员违规违法的处置等情况进行监控，做到依法处理到位，责任追究到位。五是推进了国家、省集采药品落地。第一批国家集采药品两个周期完成约定采购量的150.2%和164.2%，第二批国家集采药品完成约定采购量的153.8%，第三批国家集采药品完成约定采购量的142.8%。扎实推进低值耗材集采工作，中选供应商1150家，中选产品数23733个，招标代理费用由1.2%下降至0.95%，耗材价格平均降幅11.84%，实现费用与价格“双下降”。落实集采结余留用政策，拨付第一批国家药品集采结余留用资金275.36万元。我局真抓实干督查激励工作在全省医保系统排名前列。</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三、突出工作重点，全面深化医保制度改革。紧扣医改重点任务，扎实推进医保领域各项重点改革。一是加快医保市级统筹落实落细。印发了《岳阳市基本医疗保险市级统筹实施细则》，统一了全市医疗保障待遇政策，规范了医保经办流程。发挥医保政策调节作用，实施医保差别化支付向基层倾斜，规范进行双向转诊，参保患者一个医保年度内多次住院的，累计起付标准2300元封顶，有力推进分级诊疗制度落地。二是巩固医保脱贫攻坚成果与乡村振兴有效衔接。出台了《关于巩固拓展医疗保障脱贫攻坚成果有效衔接乡村振兴战略的实施方案》，确保贫困人口应保尽保。今年全市贫困人口县域内住院“一站式”结算45218人次，医疗总费用18733.86万元，报销总金额16392.74万元，平均报销比例87.5%。三是完善多层次医疗保障体系。进一步健全完善医疗救助制度，完善医疗救助托底功能，拟订了《岳阳市医疗救助实施细则》。2021年落实医疗救助30.3万人次，其中资助参保20.83万人，门诊和住院医疗救助9.47万人，完成市政府重点民生实事目标任务的113.97%。同时，积极推行普惠型商业补充医疗保险“巴陵e惠保”，让更多的老百姓享受医保实惠。四是深化医疗服务价格改革。取消医用耗材加成政策后，对856项医疗服务价格进行了调整，平均上调13%；新增医疗服务价格项目51个；新增胃息肉等54个单病种，按病种收付费达160个，建立完善了灵敏有度的价格调整机制。</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四、积极主动作为，全面落实医保部门职责。一是强化协议管理，落实绩效考核。对市本级72家协议医疗机构和532家协议零售药店执行医保服务协议情况，开展了年度绩效考核，严格按照考核结果兑现奖惩，促进定点医药机构规范诊疗行为。县市区也严格落实协议管理要求，强化协议考核兑现。二是全力助推我市中医药事业振兴发展。出台了《关于加强医疗保障支持中医药传承创新发展若干试行措施的通知》，建立了中医服务的门诊报销机制，降低了中医医院医保报销的起付线（三级医院200元，二级医院100元），提高了中医药服务报销比例5%，调整了部分中医医疗服务项目价格，预计全市各级中医院增收6000万元以上。三是全力保障了新冠疫苗及接种费用。共向省财政专户上解疫苗采购专项资金5.49亿元，累计拨付新冠疫苗接种费用6612.9万元。四是全面改进了医保经办服务。深化“放管服”改革，通过简化异地就医备案手续、全面落实“一件事一次办”、推行“日间手术”、特殊病种门诊群众购药不再定点等有力措施，进一步方便了群众就医购药。五是加快医保信息化建设。稳妥做好国家医保信息平台上线前期基础工作，10月30日我市正式上线后，平台日结算量超2万笔，稳居全省前三位。 </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default" w:ascii="仿宋_GB2312" w:hAnsi="仿宋_GB2312" w:eastAsia="仿宋_GB2312" w:cs="仿宋_GB2312"/>
                <w:color w:val="4F81BD" w:themeColor="accent1"/>
                <w:sz w:val="24"/>
                <w14:textFill>
                  <w14:solidFill>
                    <w14:schemeClr w14:val="accent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707" w:type="dxa"/>
            <w:gridSpan w:val="15"/>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707" w:type="dxa"/>
            <w:gridSpan w:val="15"/>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48" w:type="dxa"/>
            <w:vMerge w:val="restart"/>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339" w:type="dxa"/>
            <w:vMerge w:val="restart"/>
            <w:tcBorders>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348" w:type="dxa"/>
            <w:vMerge w:val="continue"/>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1339" w:type="dxa"/>
            <w:vMerge w:val="continue"/>
            <w:tcBorders>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1355" w:type="dxa"/>
            <w:gridSpan w:val="2"/>
            <w:tcBorders>
              <w:lef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348" w:type="dxa"/>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339" w:type="dxa"/>
            <w:tcBorders>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2060.76</w:t>
            </w:r>
          </w:p>
        </w:tc>
        <w:tc>
          <w:tcPr>
            <w:tcW w:w="1355" w:type="dxa"/>
            <w:gridSpan w:val="2"/>
            <w:tcBorders>
              <w:left w:val="single" w:color="auto" w:sz="4" w:space="0"/>
            </w:tcBorders>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33.14</w:t>
            </w:r>
          </w:p>
        </w:tc>
        <w:tc>
          <w:tcPr>
            <w:tcW w:w="1080" w:type="dxa"/>
            <w:gridSpan w:val="2"/>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1997.12</w:t>
            </w:r>
          </w:p>
        </w:tc>
        <w:tc>
          <w:tcPr>
            <w:tcW w:w="1705" w:type="dxa"/>
            <w:gridSpan w:val="2"/>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p>
        </w:tc>
        <w:tc>
          <w:tcPr>
            <w:tcW w:w="1800" w:type="dxa"/>
            <w:gridSpan w:val="4"/>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1080" w:type="dxa"/>
            <w:gridSpan w:val="3"/>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48" w:type="dxa"/>
            <w:vAlign w:val="center"/>
          </w:tcPr>
          <w:p>
            <w:pPr>
              <w:keepNext w:val="0"/>
              <w:keepLines w:val="0"/>
              <w:suppressLineNumbers w:val="0"/>
              <w:spacing w:before="0" w:beforeAutospacing="0" w:after="0" w:afterAutospacing="0" w:line="320" w:lineRule="exact"/>
              <w:ind w:left="0" w:right="0"/>
              <w:rPr>
                <w:rFonts w:hint="default" w:ascii="仿宋_GB2312" w:hAnsi="仿宋_GB2312" w:eastAsia="仿宋_GB2312" w:cs="仿宋_GB2312"/>
                <w:sz w:val="24"/>
              </w:rPr>
            </w:pPr>
            <w:r>
              <w:rPr>
                <w:rFonts w:hint="eastAsia" w:ascii="仿宋_GB2312" w:hAnsi="仿宋_GB2312" w:eastAsia="仿宋_GB2312" w:cs="仿宋_GB2312"/>
                <w:sz w:val="24"/>
              </w:rPr>
              <w:t>1、局机关</w:t>
            </w:r>
          </w:p>
        </w:tc>
        <w:tc>
          <w:tcPr>
            <w:tcW w:w="1339" w:type="dxa"/>
            <w:tcBorders>
              <w:right w:val="single" w:color="auto" w:sz="4" w:space="0"/>
            </w:tcBorders>
            <w:vAlign w:val="center"/>
          </w:tcPr>
          <w:p>
            <w:pPr>
              <w:keepNext w:val="0"/>
              <w:keepLines w:val="0"/>
              <w:suppressLineNumbers w:val="0"/>
              <w:autoSpaceDN w:val="0"/>
              <w:spacing w:before="0" w:beforeAutospacing="0" w:after="0" w:afterAutospacing="0" w:line="320" w:lineRule="exact"/>
              <w:ind w:left="0" w:leftChars="0" w:right="0" w:rightChars="0"/>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2060.76</w:t>
            </w:r>
          </w:p>
        </w:tc>
        <w:tc>
          <w:tcPr>
            <w:tcW w:w="1355" w:type="dxa"/>
            <w:gridSpan w:val="2"/>
            <w:tcBorders>
              <w:left w:val="single" w:color="auto" w:sz="4" w:space="0"/>
            </w:tcBorders>
            <w:vAlign w:val="center"/>
          </w:tcPr>
          <w:p>
            <w:pPr>
              <w:keepNext w:val="0"/>
              <w:keepLines w:val="0"/>
              <w:suppressLineNumbers w:val="0"/>
              <w:autoSpaceDN w:val="0"/>
              <w:spacing w:before="0" w:beforeAutospacing="0" w:after="0" w:afterAutospacing="0" w:line="320" w:lineRule="exact"/>
              <w:ind w:left="0" w:leftChars="0" w:right="0" w:rightChars="0"/>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33.14</w:t>
            </w:r>
          </w:p>
        </w:tc>
        <w:tc>
          <w:tcPr>
            <w:tcW w:w="1080" w:type="dxa"/>
            <w:gridSpan w:val="2"/>
            <w:vAlign w:val="center"/>
          </w:tcPr>
          <w:p>
            <w:pPr>
              <w:keepNext w:val="0"/>
              <w:keepLines w:val="0"/>
              <w:suppressLineNumbers w:val="0"/>
              <w:autoSpaceDN w:val="0"/>
              <w:spacing w:before="0" w:beforeAutospacing="0" w:after="0" w:afterAutospacing="0" w:line="320" w:lineRule="exact"/>
              <w:ind w:left="0" w:leftChars="0" w:right="0" w:rightChars="0"/>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1997.12</w:t>
            </w:r>
          </w:p>
        </w:tc>
        <w:tc>
          <w:tcPr>
            <w:tcW w:w="1705" w:type="dxa"/>
            <w:gridSpan w:val="2"/>
            <w:vAlign w:val="center"/>
          </w:tcPr>
          <w:p>
            <w:pPr>
              <w:keepNext w:val="0"/>
              <w:keepLines w:val="0"/>
              <w:suppressLineNumbers w:val="0"/>
              <w:autoSpaceDN w:val="0"/>
              <w:spacing w:before="0" w:beforeAutospacing="0" w:after="0" w:afterAutospacing="0" w:line="320" w:lineRule="exact"/>
              <w:ind w:left="0" w:leftChars="0" w:right="0" w:rightChars="0"/>
              <w:jc w:val="left"/>
              <w:textAlignment w:val="center"/>
              <w:rPr>
                <w:rFonts w:hint="default" w:ascii="仿宋_GB2312" w:hAnsi="仿宋_GB2312" w:eastAsia="仿宋_GB2312" w:cs="仿宋_GB2312"/>
                <w:color w:val="000000"/>
                <w:kern w:val="2"/>
                <w:sz w:val="24"/>
                <w:szCs w:val="24"/>
                <w:lang w:val="en-US" w:eastAsia="zh-CN" w:bidi="ar-SA"/>
              </w:rPr>
            </w:pPr>
          </w:p>
        </w:tc>
        <w:tc>
          <w:tcPr>
            <w:tcW w:w="1800" w:type="dxa"/>
            <w:gridSpan w:val="4"/>
            <w:vAlign w:val="center"/>
          </w:tcPr>
          <w:p>
            <w:pPr>
              <w:keepNext w:val="0"/>
              <w:keepLines w:val="0"/>
              <w:suppressLineNumbers w:val="0"/>
              <w:autoSpaceDN w:val="0"/>
              <w:spacing w:before="0" w:beforeAutospacing="0" w:after="0" w:afterAutospacing="0" w:line="320" w:lineRule="exact"/>
              <w:ind w:left="0" w:leftChars="0" w:right="0" w:rightChars="0"/>
              <w:jc w:val="center"/>
              <w:textAlignment w:val="center"/>
              <w:rPr>
                <w:rFonts w:hint="default" w:ascii="仿宋_GB2312" w:hAnsi="仿宋_GB2312" w:eastAsia="仿宋_GB2312" w:cs="仿宋_GB2312"/>
                <w:color w:val="000000"/>
                <w:kern w:val="2"/>
                <w:sz w:val="24"/>
                <w:szCs w:val="24"/>
                <w:lang w:val="en-US" w:eastAsia="zh-CN" w:bidi="ar-SA"/>
              </w:rPr>
            </w:pPr>
          </w:p>
        </w:tc>
        <w:tc>
          <w:tcPr>
            <w:tcW w:w="1080" w:type="dxa"/>
            <w:gridSpan w:val="3"/>
            <w:vAlign w:val="center"/>
          </w:tcPr>
          <w:p>
            <w:pPr>
              <w:keepNext w:val="0"/>
              <w:keepLines w:val="0"/>
              <w:suppressLineNumbers w:val="0"/>
              <w:autoSpaceDN w:val="0"/>
              <w:spacing w:before="0" w:beforeAutospacing="0" w:after="0" w:afterAutospacing="0" w:line="320" w:lineRule="exact"/>
              <w:ind w:left="0" w:leftChars="0" w:right="0" w:rightChars="0"/>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707" w:type="dxa"/>
            <w:gridSpan w:val="15"/>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48" w:type="dxa"/>
            <w:vMerge w:val="restart"/>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机构名称</w:t>
            </w:r>
          </w:p>
        </w:tc>
        <w:tc>
          <w:tcPr>
            <w:tcW w:w="1339" w:type="dxa"/>
            <w:vMerge w:val="restart"/>
            <w:tcBorders>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48"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仿宋_GB2312" w:hAnsi="仿宋_GB2312" w:eastAsia="仿宋_GB2312" w:cs="仿宋_GB2312"/>
                <w:sz w:val="24"/>
              </w:rPr>
            </w:pPr>
          </w:p>
        </w:tc>
        <w:tc>
          <w:tcPr>
            <w:tcW w:w="1339" w:type="dxa"/>
            <w:vMerge w:val="continue"/>
            <w:tcBorders>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48"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仿宋_GB2312" w:hAnsi="仿宋_GB2312" w:eastAsia="仿宋_GB2312" w:cs="仿宋_GB2312"/>
                <w:sz w:val="24"/>
              </w:rPr>
            </w:pPr>
          </w:p>
        </w:tc>
        <w:tc>
          <w:tcPr>
            <w:tcW w:w="1339" w:type="dxa"/>
            <w:vMerge w:val="continue"/>
            <w:tcBorders>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1080" w:type="dxa"/>
            <w:gridSpan w:val="2"/>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625" w:type="dxa"/>
            <w:vMerge w:val="continue"/>
            <w:tcBorders>
              <w:lef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348" w:type="dxa"/>
            <w:vAlign w:val="center"/>
          </w:tcPr>
          <w:p>
            <w:pPr>
              <w:keepNext w:val="0"/>
              <w:keepLines w:val="0"/>
              <w:suppressLineNumbers w:val="0"/>
              <w:spacing w:before="0" w:beforeAutospacing="0" w:after="0" w:afterAutospacing="0" w:line="320" w:lineRule="exact"/>
              <w:ind w:left="0" w:right="0"/>
              <w:jc w:val="left"/>
              <w:rPr>
                <w:rFonts w:hint="default"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339" w:type="dxa"/>
            <w:tcBorders>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2042.46</w:t>
            </w:r>
          </w:p>
        </w:tc>
        <w:tc>
          <w:tcPr>
            <w:tcW w:w="1355" w:type="dxa"/>
            <w:gridSpan w:val="2"/>
            <w:tcBorders>
              <w:lef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1308.21</w:t>
            </w:r>
          </w:p>
        </w:tc>
        <w:tc>
          <w:tcPr>
            <w:tcW w:w="1080" w:type="dxa"/>
            <w:gridSpan w:val="2"/>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1121.27</w:t>
            </w:r>
          </w:p>
        </w:tc>
        <w:tc>
          <w:tcPr>
            <w:tcW w:w="2160" w:type="dxa"/>
            <w:gridSpan w:val="4"/>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185.98</w:t>
            </w:r>
          </w:p>
        </w:tc>
        <w:tc>
          <w:tcPr>
            <w:tcW w:w="1080" w:type="dxa"/>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734.25</w:t>
            </w:r>
          </w:p>
        </w:tc>
        <w:tc>
          <w:tcPr>
            <w:tcW w:w="720" w:type="dxa"/>
            <w:gridSpan w:val="3"/>
            <w:tcBorders>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both"/>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18.3</w:t>
            </w:r>
          </w:p>
        </w:tc>
        <w:tc>
          <w:tcPr>
            <w:tcW w:w="625" w:type="dxa"/>
            <w:tcBorders>
              <w:lef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48" w:type="dxa"/>
            <w:vAlign w:val="center"/>
          </w:tcPr>
          <w:p>
            <w:pPr>
              <w:keepNext w:val="0"/>
              <w:keepLines w:val="0"/>
              <w:suppressLineNumbers w:val="0"/>
              <w:spacing w:before="0" w:beforeAutospacing="0" w:after="0" w:afterAutospacing="0" w:line="320" w:lineRule="exact"/>
              <w:ind w:left="0" w:right="0"/>
              <w:jc w:val="left"/>
              <w:rPr>
                <w:rFonts w:hint="default"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339" w:type="dxa"/>
            <w:tcBorders>
              <w:right w:val="single" w:color="auto" w:sz="4" w:space="0"/>
            </w:tcBorders>
            <w:vAlign w:val="center"/>
          </w:tcPr>
          <w:p>
            <w:pPr>
              <w:keepNext w:val="0"/>
              <w:keepLines w:val="0"/>
              <w:suppressLineNumbers w:val="0"/>
              <w:autoSpaceDN w:val="0"/>
              <w:spacing w:before="0" w:beforeAutospacing="0" w:after="0" w:afterAutospacing="0" w:line="320" w:lineRule="exact"/>
              <w:ind w:left="0" w:leftChars="0" w:right="0" w:rightChars="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kern w:val="2"/>
                <w:sz w:val="24"/>
                <w:szCs w:val="24"/>
                <w:lang w:val="en-US" w:eastAsia="zh-CN" w:bidi="ar-SA"/>
              </w:rPr>
              <w:t>2042.46</w:t>
            </w:r>
          </w:p>
        </w:tc>
        <w:tc>
          <w:tcPr>
            <w:tcW w:w="1355" w:type="dxa"/>
            <w:gridSpan w:val="2"/>
            <w:tcBorders>
              <w:left w:val="single" w:color="auto" w:sz="4" w:space="0"/>
            </w:tcBorders>
            <w:vAlign w:val="center"/>
          </w:tcPr>
          <w:p>
            <w:pPr>
              <w:keepNext w:val="0"/>
              <w:keepLines w:val="0"/>
              <w:suppressLineNumbers w:val="0"/>
              <w:autoSpaceDN w:val="0"/>
              <w:spacing w:before="0" w:beforeAutospacing="0" w:after="0" w:afterAutospacing="0" w:line="320" w:lineRule="exact"/>
              <w:ind w:left="0" w:leftChars="0" w:right="0" w:rightChars="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kern w:val="2"/>
                <w:sz w:val="24"/>
                <w:szCs w:val="24"/>
                <w:lang w:val="en-US" w:eastAsia="zh-CN" w:bidi="ar-SA"/>
              </w:rPr>
              <w:t>1308.21</w:t>
            </w:r>
          </w:p>
        </w:tc>
        <w:tc>
          <w:tcPr>
            <w:tcW w:w="1080" w:type="dxa"/>
            <w:gridSpan w:val="2"/>
            <w:vAlign w:val="center"/>
          </w:tcPr>
          <w:p>
            <w:pPr>
              <w:keepNext w:val="0"/>
              <w:keepLines w:val="0"/>
              <w:suppressLineNumbers w:val="0"/>
              <w:autoSpaceDN w:val="0"/>
              <w:spacing w:before="0" w:beforeAutospacing="0" w:after="0" w:afterAutospacing="0" w:line="320" w:lineRule="exact"/>
              <w:ind w:left="0" w:leftChars="0" w:right="0" w:rightChars="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1121.27</w:t>
            </w:r>
          </w:p>
        </w:tc>
        <w:tc>
          <w:tcPr>
            <w:tcW w:w="2160" w:type="dxa"/>
            <w:gridSpan w:val="4"/>
            <w:vAlign w:val="center"/>
          </w:tcPr>
          <w:p>
            <w:pPr>
              <w:keepNext w:val="0"/>
              <w:keepLines w:val="0"/>
              <w:suppressLineNumbers w:val="0"/>
              <w:autoSpaceDN w:val="0"/>
              <w:spacing w:before="0" w:beforeAutospacing="0" w:after="0" w:afterAutospacing="0" w:line="320" w:lineRule="exact"/>
              <w:ind w:left="0" w:leftChars="0" w:right="0" w:rightChars="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kern w:val="2"/>
                <w:sz w:val="24"/>
                <w:szCs w:val="24"/>
                <w:lang w:val="en-US" w:eastAsia="zh-CN" w:bidi="ar-SA"/>
              </w:rPr>
              <w:t>185.98</w:t>
            </w:r>
          </w:p>
        </w:tc>
        <w:tc>
          <w:tcPr>
            <w:tcW w:w="1080" w:type="dxa"/>
            <w:vAlign w:val="center"/>
          </w:tcPr>
          <w:p>
            <w:pPr>
              <w:keepNext w:val="0"/>
              <w:keepLines w:val="0"/>
              <w:suppressLineNumbers w:val="0"/>
              <w:autoSpaceDN w:val="0"/>
              <w:spacing w:before="0" w:beforeAutospacing="0" w:after="0" w:afterAutospacing="0" w:line="320" w:lineRule="exact"/>
              <w:ind w:left="0" w:leftChars="0" w:right="0" w:rightChars="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kern w:val="2"/>
                <w:sz w:val="24"/>
                <w:szCs w:val="24"/>
                <w:lang w:val="en-US" w:eastAsia="zh-CN" w:bidi="ar-SA"/>
              </w:rPr>
              <w:t>734.25</w:t>
            </w:r>
          </w:p>
        </w:tc>
        <w:tc>
          <w:tcPr>
            <w:tcW w:w="720" w:type="dxa"/>
            <w:gridSpan w:val="3"/>
            <w:tcBorders>
              <w:right w:val="single" w:color="auto" w:sz="4" w:space="0"/>
            </w:tcBorders>
            <w:vAlign w:val="center"/>
          </w:tcPr>
          <w:p>
            <w:pPr>
              <w:keepNext w:val="0"/>
              <w:keepLines w:val="0"/>
              <w:suppressLineNumbers w:val="0"/>
              <w:autoSpaceDN w:val="0"/>
              <w:spacing w:before="0" w:beforeAutospacing="0" w:after="0" w:afterAutospacing="0" w:line="320" w:lineRule="exact"/>
              <w:ind w:left="0" w:leftChars="0" w:right="0" w:rightChars="0"/>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kern w:val="2"/>
                <w:sz w:val="24"/>
                <w:szCs w:val="24"/>
                <w:lang w:val="en-US" w:eastAsia="zh-CN" w:bidi="ar-SA"/>
              </w:rPr>
              <w:t>18.3</w:t>
            </w:r>
          </w:p>
        </w:tc>
        <w:tc>
          <w:tcPr>
            <w:tcW w:w="625" w:type="dxa"/>
            <w:tcBorders>
              <w:left w:val="single" w:color="auto" w:sz="4" w:space="0"/>
            </w:tcBorders>
            <w:vAlign w:val="center"/>
          </w:tcPr>
          <w:p>
            <w:pPr>
              <w:keepNext w:val="0"/>
              <w:keepLines w:val="0"/>
              <w:suppressLineNumbers w:val="0"/>
              <w:autoSpaceDN w:val="0"/>
              <w:spacing w:before="0" w:beforeAutospacing="0" w:after="0" w:afterAutospacing="0" w:line="320" w:lineRule="exact"/>
              <w:ind w:left="0" w:leftChars="0" w:right="0" w:rightChars="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kern w:val="2"/>
                <w:sz w:val="24"/>
                <w:szCs w:val="24"/>
                <w:lang w:val="en-US" w:eastAsia="zh-CN" w:bidi="ar-SA"/>
              </w:rPr>
              <w:t>18.3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48" w:type="dxa"/>
            <w:vMerge w:val="restart"/>
            <w:vAlign w:val="center"/>
          </w:tcPr>
          <w:p>
            <w:pPr>
              <w:keepNext w:val="0"/>
              <w:keepLines w:val="0"/>
              <w:suppressLineNumbers w:val="0"/>
              <w:spacing w:before="0" w:beforeAutospacing="0" w:after="0" w:afterAutospacing="0" w:line="32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机构名称</w:t>
            </w:r>
          </w:p>
        </w:tc>
        <w:tc>
          <w:tcPr>
            <w:tcW w:w="1339" w:type="dxa"/>
            <w:vMerge w:val="restart"/>
            <w:tcBorders>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48"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仿宋_GB2312" w:hAnsi="仿宋_GB2312" w:eastAsia="仿宋_GB2312" w:cs="仿宋_GB2312"/>
                <w:sz w:val="24"/>
              </w:rPr>
            </w:pPr>
          </w:p>
        </w:tc>
        <w:tc>
          <w:tcPr>
            <w:tcW w:w="1339" w:type="dxa"/>
            <w:vMerge w:val="continue"/>
            <w:tcBorders>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1355" w:type="dxa"/>
            <w:gridSpan w:val="2"/>
            <w:tcBorders>
              <w:lef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348" w:type="dxa"/>
            <w:vAlign w:val="center"/>
          </w:tcPr>
          <w:p>
            <w:pPr>
              <w:keepNext w:val="0"/>
              <w:keepLines w:val="0"/>
              <w:suppressLineNumbers w:val="0"/>
              <w:spacing w:before="0" w:beforeAutospacing="0" w:after="0" w:afterAutospacing="0" w:line="320" w:lineRule="exact"/>
              <w:ind w:left="0" w:right="0"/>
              <w:jc w:val="left"/>
              <w:rPr>
                <w:rFonts w:hint="default"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339" w:type="dxa"/>
            <w:tcBorders>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8.07</w:t>
            </w:r>
          </w:p>
        </w:tc>
        <w:tc>
          <w:tcPr>
            <w:tcW w:w="1355" w:type="dxa"/>
            <w:gridSpan w:val="2"/>
            <w:tcBorders>
              <w:lef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5.29</w:t>
            </w:r>
          </w:p>
        </w:tc>
        <w:tc>
          <w:tcPr>
            <w:tcW w:w="1080" w:type="dxa"/>
            <w:gridSpan w:val="2"/>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2.78</w:t>
            </w:r>
          </w:p>
        </w:tc>
        <w:tc>
          <w:tcPr>
            <w:tcW w:w="2160" w:type="dxa"/>
            <w:gridSpan w:val="4"/>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48" w:type="dxa"/>
            <w:vAlign w:val="center"/>
          </w:tcPr>
          <w:p>
            <w:pPr>
              <w:keepNext w:val="0"/>
              <w:keepLines w:val="0"/>
              <w:suppressLineNumbers w:val="0"/>
              <w:spacing w:before="0" w:beforeAutospacing="0" w:after="0" w:afterAutospacing="0" w:line="320" w:lineRule="exact"/>
              <w:ind w:left="0" w:right="0"/>
              <w:jc w:val="left"/>
              <w:rPr>
                <w:rFonts w:hint="default" w:ascii="仿宋_GB2312" w:hAnsi="仿宋_GB2312" w:eastAsia="仿宋_GB2312" w:cs="仿宋_GB2312"/>
                <w:sz w:val="24"/>
              </w:rPr>
            </w:pPr>
            <w:r>
              <w:rPr>
                <w:rFonts w:hint="eastAsia" w:ascii="仿宋_GB2312" w:hAnsi="仿宋_GB2312" w:eastAsia="仿宋_GB2312" w:cs="仿宋_GB2312"/>
                <w:sz w:val="24"/>
              </w:rPr>
              <w:t>1、局机关</w:t>
            </w:r>
          </w:p>
        </w:tc>
        <w:tc>
          <w:tcPr>
            <w:tcW w:w="1339" w:type="dxa"/>
            <w:tcBorders>
              <w:right w:val="single" w:color="auto" w:sz="4" w:space="0"/>
            </w:tcBorders>
            <w:vAlign w:val="center"/>
          </w:tcPr>
          <w:p>
            <w:pPr>
              <w:keepNext w:val="0"/>
              <w:keepLines w:val="0"/>
              <w:suppressLineNumbers w:val="0"/>
              <w:autoSpaceDN w:val="0"/>
              <w:spacing w:before="0" w:beforeAutospacing="0" w:after="0" w:afterAutospacing="0" w:line="320" w:lineRule="exact"/>
              <w:ind w:left="0" w:leftChars="0" w:right="0" w:rightChars="0"/>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8.07</w:t>
            </w:r>
          </w:p>
        </w:tc>
        <w:tc>
          <w:tcPr>
            <w:tcW w:w="1355" w:type="dxa"/>
            <w:gridSpan w:val="2"/>
            <w:tcBorders>
              <w:left w:val="single" w:color="auto" w:sz="4" w:space="0"/>
            </w:tcBorders>
            <w:vAlign w:val="center"/>
          </w:tcPr>
          <w:p>
            <w:pPr>
              <w:keepNext w:val="0"/>
              <w:keepLines w:val="0"/>
              <w:suppressLineNumbers w:val="0"/>
              <w:autoSpaceDN w:val="0"/>
              <w:spacing w:before="0" w:beforeAutospacing="0" w:after="0" w:afterAutospacing="0" w:line="320" w:lineRule="exact"/>
              <w:ind w:left="0" w:leftChars="0" w:right="0" w:rightChars="0"/>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5.29</w:t>
            </w:r>
          </w:p>
        </w:tc>
        <w:tc>
          <w:tcPr>
            <w:tcW w:w="1080" w:type="dxa"/>
            <w:gridSpan w:val="2"/>
            <w:vAlign w:val="center"/>
          </w:tcPr>
          <w:p>
            <w:pPr>
              <w:keepNext w:val="0"/>
              <w:keepLines w:val="0"/>
              <w:suppressLineNumbers w:val="0"/>
              <w:autoSpaceDN w:val="0"/>
              <w:spacing w:before="0" w:beforeAutospacing="0" w:after="0" w:afterAutospacing="0" w:line="320" w:lineRule="exact"/>
              <w:ind w:left="0" w:leftChars="0" w:right="0" w:rightChars="0"/>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2.78</w:t>
            </w:r>
          </w:p>
        </w:tc>
        <w:tc>
          <w:tcPr>
            <w:tcW w:w="2160" w:type="dxa"/>
            <w:gridSpan w:val="4"/>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2425" w:type="dxa"/>
            <w:gridSpan w:val="5"/>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48" w:type="dxa"/>
            <w:vMerge w:val="restart"/>
            <w:vAlign w:val="center"/>
          </w:tcPr>
          <w:p>
            <w:pPr>
              <w:keepNext w:val="0"/>
              <w:keepLines w:val="0"/>
              <w:suppressLineNumbers w:val="0"/>
              <w:spacing w:before="0" w:beforeAutospacing="0" w:after="0" w:afterAutospacing="0" w:line="32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机构名称</w:t>
            </w:r>
          </w:p>
        </w:tc>
        <w:tc>
          <w:tcPr>
            <w:tcW w:w="1339" w:type="dxa"/>
            <w:vMerge w:val="restart"/>
            <w:tcBorders>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48"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仿宋_GB2312" w:hAnsi="仿宋_GB2312" w:eastAsia="仿宋_GB2312" w:cs="仿宋_GB2312"/>
                <w:sz w:val="24"/>
              </w:rPr>
            </w:pPr>
          </w:p>
        </w:tc>
        <w:tc>
          <w:tcPr>
            <w:tcW w:w="1339" w:type="dxa"/>
            <w:vMerge w:val="continue"/>
            <w:tcBorders>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2435" w:type="dxa"/>
            <w:gridSpan w:val="4"/>
            <w:tcBorders>
              <w:lef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348" w:type="dxa"/>
            <w:vAlign w:val="center"/>
          </w:tcPr>
          <w:p>
            <w:pPr>
              <w:keepNext w:val="0"/>
              <w:keepLines w:val="0"/>
              <w:suppressLineNumbers w:val="0"/>
              <w:spacing w:before="0" w:beforeAutospacing="0" w:after="0" w:afterAutospacing="0" w:line="320" w:lineRule="exact"/>
              <w:ind w:left="0" w:right="0"/>
              <w:jc w:val="left"/>
              <w:rPr>
                <w:rFonts w:hint="default"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339" w:type="dxa"/>
            <w:tcBorders>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223.85</w:t>
            </w:r>
          </w:p>
        </w:tc>
        <w:tc>
          <w:tcPr>
            <w:tcW w:w="2435" w:type="dxa"/>
            <w:gridSpan w:val="4"/>
            <w:tcBorders>
              <w:left w:val="single" w:color="auto" w:sz="4" w:space="0"/>
            </w:tcBorders>
            <w:vAlign w:val="center"/>
          </w:tcPr>
          <w:p>
            <w:pPr>
              <w:keepNext w:val="0"/>
              <w:keepLines w:val="0"/>
              <w:suppressLineNumbers w:val="0"/>
              <w:autoSpaceDN w:val="0"/>
              <w:spacing w:before="0" w:beforeAutospacing="0" w:after="0" w:afterAutospacing="0" w:line="320" w:lineRule="exact"/>
              <w:ind w:left="0" w:leftChars="0" w:right="0" w:rightChars="0"/>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223.85</w:t>
            </w:r>
          </w:p>
        </w:tc>
        <w:tc>
          <w:tcPr>
            <w:tcW w:w="3644" w:type="dxa"/>
            <w:gridSpan w:val="7"/>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941" w:type="dxa"/>
            <w:gridSpan w:val="2"/>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48" w:type="dxa"/>
            <w:vAlign w:val="center"/>
          </w:tcPr>
          <w:p>
            <w:pPr>
              <w:keepNext w:val="0"/>
              <w:keepLines w:val="0"/>
              <w:suppressLineNumbers w:val="0"/>
              <w:spacing w:before="0" w:beforeAutospacing="0" w:after="0" w:afterAutospacing="0" w:line="320" w:lineRule="exact"/>
              <w:ind w:left="0" w:right="0"/>
              <w:jc w:val="left"/>
              <w:rPr>
                <w:rFonts w:hint="default" w:ascii="仿宋_GB2312" w:hAnsi="仿宋_GB2312" w:eastAsia="仿宋_GB2312" w:cs="仿宋_GB2312"/>
                <w:sz w:val="24"/>
              </w:rPr>
            </w:pPr>
            <w:r>
              <w:rPr>
                <w:rFonts w:hint="eastAsia" w:ascii="仿宋_GB2312" w:hAnsi="仿宋_GB2312" w:eastAsia="仿宋_GB2312" w:cs="仿宋_GB2312"/>
                <w:sz w:val="24"/>
              </w:rPr>
              <w:t>1、局机关</w:t>
            </w:r>
          </w:p>
        </w:tc>
        <w:tc>
          <w:tcPr>
            <w:tcW w:w="1339" w:type="dxa"/>
            <w:tcBorders>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223.85</w:t>
            </w:r>
          </w:p>
        </w:tc>
        <w:tc>
          <w:tcPr>
            <w:tcW w:w="2435" w:type="dxa"/>
            <w:gridSpan w:val="4"/>
            <w:tcBorders>
              <w:left w:val="single" w:color="auto" w:sz="4" w:space="0"/>
            </w:tcBorders>
            <w:vAlign w:val="center"/>
          </w:tcPr>
          <w:p>
            <w:pPr>
              <w:keepNext w:val="0"/>
              <w:keepLines w:val="0"/>
              <w:suppressLineNumbers w:val="0"/>
              <w:autoSpaceDN w:val="0"/>
              <w:spacing w:before="0" w:beforeAutospacing="0" w:after="0" w:afterAutospacing="0" w:line="320" w:lineRule="exact"/>
              <w:ind w:left="0" w:leftChars="0" w:right="0" w:rightChars="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223.85</w:t>
            </w:r>
          </w:p>
        </w:tc>
        <w:tc>
          <w:tcPr>
            <w:tcW w:w="3644" w:type="dxa"/>
            <w:gridSpan w:val="7"/>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707" w:type="dxa"/>
            <w:gridSpan w:val="15"/>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48" w:type="dxa"/>
            <w:vMerge w:val="restart"/>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3774" w:type="dxa"/>
            <w:gridSpan w:val="5"/>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auto"/>
                <w:sz w:val="24"/>
              </w:rPr>
            </w:pPr>
            <w:r>
              <w:rPr>
                <w:rFonts w:hint="eastAsia" w:ascii="仿宋_GB2312" w:hAnsi="仿宋_GB2312" w:eastAsia="仿宋_GB2312" w:cs="仿宋_GB2312"/>
                <w:color w:val="auto"/>
                <w:sz w:val="24"/>
              </w:rPr>
              <w:t>预期目标</w:t>
            </w:r>
          </w:p>
        </w:tc>
        <w:tc>
          <w:tcPr>
            <w:tcW w:w="4585" w:type="dxa"/>
            <w:gridSpan w:val="9"/>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auto"/>
                <w:sz w:val="24"/>
              </w:rPr>
            </w:pPr>
            <w:r>
              <w:rPr>
                <w:rFonts w:hint="eastAsia" w:ascii="仿宋_GB2312" w:hAnsi="仿宋_GB2312" w:eastAsia="仿宋_GB2312" w:cs="仿宋_GB2312"/>
                <w:color w:val="auto"/>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348" w:type="dxa"/>
            <w:vMerge w:val="continue"/>
            <w:vAlign w:val="center"/>
          </w:tcPr>
          <w:p>
            <w:pPr>
              <w:keepNext w:val="0"/>
              <w:keepLines w:val="0"/>
              <w:suppressLineNumbers w:val="0"/>
              <w:spacing w:before="0" w:beforeAutospacing="0" w:after="0" w:afterAutospacing="0" w:line="320" w:lineRule="exact"/>
              <w:ind w:left="0" w:right="0"/>
              <w:rPr>
                <w:rFonts w:hint="default" w:ascii="仿宋_GB2312" w:hAnsi="仿宋_GB2312" w:eastAsia="仿宋_GB2312" w:cs="仿宋_GB2312"/>
                <w:sz w:val="24"/>
              </w:rPr>
            </w:pPr>
          </w:p>
        </w:tc>
        <w:tc>
          <w:tcPr>
            <w:tcW w:w="3774" w:type="dxa"/>
            <w:gridSpan w:val="5"/>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auto"/>
                <w:sz w:val="24"/>
              </w:rPr>
            </w:pPr>
            <w:r>
              <w:rPr>
                <w:rFonts w:hint="eastAsia" w:ascii="仿宋_GB2312" w:hAnsi="仿宋_GB2312" w:eastAsia="仿宋_GB2312" w:cs="仿宋_GB2312"/>
                <w:color w:val="auto"/>
                <w:sz w:val="24"/>
              </w:rPr>
              <w:t>目标1：全面深化医保领域改革</w:t>
            </w: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auto"/>
                <w:sz w:val="24"/>
              </w:rPr>
            </w:pPr>
            <w:r>
              <w:rPr>
                <w:rFonts w:hint="eastAsia" w:ascii="仿宋_GB2312" w:hAnsi="仿宋_GB2312" w:eastAsia="仿宋_GB2312" w:cs="仿宋_GB2312"/>
                <w:color w:val="auto"/>
                <w:sz w:val="24"/>
              </w:rPr>
              <w:t>目标2：加强医保基金监督管理</w:t>
            </w: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auto"/>
                <w:sz w:val="24"/>
              </w:rPr>
            </w:pPr>
            <w:r>
              <w:rPr>
                <w:rFonts w:hint="eastAsia" w:ascii="仿宋_GB2312" w:hAnsi="仿宋_GB2312" w:eastAsia="仿宋_GB2312" w:cs="仿宋_GB2312"/>
                <w:color w:val="auto"/>
                <w:sz w:val="24"/>
              </w:rPr>
              <w:t>目标3：全面夯实医保工作基础</w:t>
            </w:r>
          </w:p>
        </w:tc>
        <w:tc>
          <w:tcPr>
            <w:tcW w:w="4585" w:type="dxa"/>
            <w:gridSpan w:val="9"/>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均按任务要求完成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48" w:type="dxa"/>
            <w:vMerge w:val="continue"/>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2966" w:type="dxa"/>
            <w:gridSpan w:val="4"/>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auto"/>
                <w:sz w:val="24"/>
              </w:rPr>
            </w:pPr>
            <w:r>
              <w:rPr>
                <w:rFonts w:hint="eastAsia" w:ascii="仿宋_GB2312" w:hAnsi="仿宋_GB2312" w:eastAsia="仿宋_GB2312" w:cs="仿宋_GB2312"/>
                <w:color w:val="auto"/>
                <w:sz w:val="24"/>
              </w:rPr>
              <w:t>评价内容</w:t>
            </w:r>
          </w:p>
        </w:tc>
        <w:tc>
          <w:tcPr>
            <w:tcW w:w="2709" w:type="dxa"/>
            <w:gridSpan w:val="4"/>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auto"/>
                <w:sz w:val="24"/>
              </w:rPr>
            </w:pPr>
            <w:r>
              <w:rPr>
                <w:rFonts w:hint="eastAsia" w:ascii="仿宋_GB2312" w:hAnsi="仿宋_GB2312" w:eastAsia="仿宋_GB2312" w:cs="仿宋_GB2312"/>
                <w:color w:val="auto"/>
                <w:sz w:val="24"/>
              </w:rPr>
              <w:t>绩效目标</w:t>
            </w:r>
          </w:p>
        </w:tc>
        <w:tc>
          <w:tcPr>
            <w:tcW w:w="2684" w:type="dxa"/>
            <w:gridSpan w:val="6"/>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auto"/>
                <w:sz w:val="24"/>
              </w:rPr>
            </w:pPr>
            <w:r>
              <w:rPr>
                <w:rFonts w:hint="eastAsia" w:ascii="仿宋_GB2312" w:hAnsi="仿宋_GB2312" w:eastAsia="仿宋_GB2312" w:cs="仿宋_GB2312"/>
                <w:color w:val="auto"/>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48" w:type="dxa"/>
            <w:vMerge w:val="continue"/>
            <w:vAlign w:val="center"/>
          </w:tcPr>
          <w:p>
            <w:pPr>
              <w:keepNext w:val="0"/>
              <w:keepLines w:val="0"/>
              <w:suppressLineNumbers w:val="0"/>
              <w:spacing w:before="0" w:beforeAutospacing="0" w:after="0" w:afterAutospacing="0" w:line="320" w:lineRule="exact"/>
              <w:ind w:left="0" w:right="0"/>
              <w:rPr>
                <w:rFonts w:hint="default" w:ascii="仿宋_GB2312" w:hAnsi="仿宋_GB2312" w:eastAsia="仿宋_GB2312" w:cs="仿宋_GB2312"/>
                <w:sz w:val="24"/>
              </w:rPr>
            </w:pPr>
          </w:p>
        </w:tc>
        <w:tc>
          <w:tcPr>
            <w:tcW w:w="1549" w:type="dxa"/>
            <w:gridSpan w:val="2"/>
            <w:vMerge w:val="restart"/>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auto"/>
                <w:sz w:val="24"/>
              </w:rPr>
            </w:pPr>
            <w:r>
              <w:rPr>
                <w:rFonts w:hint="eastAsia" w:ascii="仿宋_GB2312" w:hAnsi="仿宋_GB2312" w:eastAsia="仿宋_GB2312" w:cs="仿宋_GB2312"/>
                <w:color w:val="auto"/>
                <w:sz w:val="24"/>
              </w:rPr>
              <w:t>产出目标</w:t>
            </w:r>
          </w:p>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auto"/>
                <w:sz w:val="24"/>
              </w:rPr>
            </w:pPr>
            <w:r>
              <w:rPr>
                <w:rFonts w:hint="eastAsia" w:ascii="仿宋_GB2312" w:hAnsi="仿宋_GB2312" w:eastAsia="仿宋_GB2312" w:cs="仿宋_GB2312"/>
                <w:color w:val="auto"/>
                <w:sz w:val="24"/>
              </w:rPr>
              <w:t>（部门工作实绩，包含上级部门和市委市政府布置的重点工作、实事任务等，根据部门实际进行调整细化）</w:t>
            </w:r>
          </w:p>
        </w:tc>
        <w:tc>
          <w:tcPr>
            <w:tcW w:w="1417" w:type="dxa"/>
            <w:gridSpan w:val="2"/>
            <w:vMerge w:val="restart"/>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auto"/>
                <w:sz w:val="24"/>
              </w:rPr>
            </w:pPr>
            <w:r>
              <w:rPr>
                <w:rFonts w:hint="eastAsia" w:ascii="仿宋_GB2312" w:hAnsi="仿宋_GB2312" w:eastAsia="仿宋_GB2312" w:cs="仿宋_GB2312"/>
                <w:color w:val="auto"/>
                <w:sz w:val="24"/>
              </w:rPr>
              <w:t>质量指标</w:t>
            </w:r>
          </w:p>
        </w:tc>
        <w:tc>
          <w:tcPr>
            <w:tcW w:w="2709" w:type="dxa"/>
            <w:gridSpan w:val="4"/>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b w:val="0"/>
                <w:bCs w:val="0"/>
                <w:color w:val="auto"/>
                <w:sz w:val="24"/>
                <w:lang w:val="en-US"/>
              </w:rPr>
            </w:pPr>
            <w:r>
              <w:rPr>
                <w:rFonts w:hint="eastAsia" w:ascii="仿宋_GB2312" w:hAnsi="仿宋_GB2312" w:eastAsia="仿宋_GB2312" w:cs="仿宋_GB2312"/>
                <w:color w:val="auto"/>
                <w:kern w:val="2"/>
                <w:sz w:val="24"/>
                <w:szCs w:val="24"/>
                <w:lang w:val="en-US" w:eastAsia="zh-CN" w:bidi="ar"/>
              </w:rPr>
              <w:t>指标1：重复、虚报参保人数</w:t>
            </w:r>
          </w:p>
        </w:tc>
        <w:tc>
          <w:tcPr>
            <w:tcW w:w="2684" w:type="dxa"/>
            <w:gridSpan w:val="6"/>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b w:val="0"/>
                <w:bCs w:val="0"/>
                <w:color w:val="auto"/>
                <w:sz w:val="24"/>
                <w:lang w:val="en-US" w:eastAsia="zh-CN"/>
              </w:rPr>
            </w:pPr>
            <w:r>
              <w:rPr>
                <w:rFonts w:hint="eastAsia" w:ascii="仿宋_GB2312" w:hAnsi="仿宋_GB2312" w:eastAsia="仿宋_GB2312" w:cs="仿宋_GB2312"/>
                <w:b/>
                <w:bCs w:val="0"/>
                <w:color w:val="auto"/>
                <w:kern w:val="2"/>
                <w:sz w:val="24"/>
                <w:szCs w:val="24"/>
                <w:lang w:val="en-US" w:eastAsia="zh-CN"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83" w:hRule="atLeast"/>
          <w:jc w:val="center"/>
        </w:trPr>
        <w:tc>
          <w:tcPr>
            <w:tcW w:w="1348" w:type="dxa"/>
            <w:vMerge w:val="continue"/>
            <w:vAlign w:val="center"/>
          </w:tcPr>
          <w:p>
            <w:pPr>
              <w:keepNext w:val="0"/>
              <w:keepLines w:val="0"/>
              <w:suppressLineNumbers w:val="0"/>
              <w:spacing w:before="0" w:beforeAutospacing="0" w:after="0" w:afterAutospacing="0" w:line="320" w:lineRule="exact"/>
              <w:ind w:left="0" w:right="0"/>
              <w:rPr>
                <w:rFonts w:hint="default" w:ascii="仿宋_GB2312" w:hAnsi="仿宋_GB2312" w:eastAsia="仿宋_GB2312" w:cs="仿宋_GB2312"/>
                <w:sz w:val="24"/>
              </w:rPr>
            </w:pPr>
          </w:p>
        </w:tc>
        <w:tc>
          <w:tcPr>
            <w:tcW w:w="1549" w:type="dxa"/>
            <w:gridSpan w:val="2"/>
            <w:vMerge w:val="continue"/>
            <w:vAlign w:val="center"/>
          </w:tcPr>
          <w:p>
            <w:pPr>
              <w:keepNext w:val="0"/>
              <w:keepLines w:val="0"/>
              <w:suppressLineNumbers w:val="0"/>
              <w:autoSpaceDN w:val="0"/>
              <w:spacing w:before="0" w:beforeAutospacing="0" w:after="0" w:afterAutospacing="0" w:line="320" w:lineRule="exact"/>
              <w:ind w:left="0" w:right="0"/>
              <w:rPr>
                <w:rFonts w:hint="default" w:ascii="仿宋_GB2312" w:hAnsi="仿宋_GB2312" w:eastAsia="仿宋_GB2312" w:cs="仿宋_GB2312"/>
                <w:color w:val="auto"/>
                <w:sz w:val="24"/>
              </w:rPr>
            </w:pPr>
          </w:p>
        </w:tc>
        <w:tc>
          <w:tcPr>
            <w:tcW w:w="1417" w:type="dxa"/>
            <w:gridSpan w:val="2"/>
            <w:vMerge w:val="continue"/>
            <w:vAlign w:val="center"/>
          </w:tcPr>
          <w:p>
            <w:pPr>
              <w:keepNext w:val="0"/>
              <w:keepLines w:val="0"/>
              <w:suppressLineNumbers w:val="0"/>
              <w:spacing w:before="0" w:beforeAutospacing="0" w:after="0" w:afterAutospacing="0" w:line="320" w:lineRule="exact"/>
              <w:ind w:left="0" w:right="0"/>
              <w:rPr>
                <w:rFonts w:hint="default" w:ascii="仿宋_GB2312" w:hAnsi="仿宋_GB2312" w:eastAsia="仿宋_GB2312" w:cs="仿宋_GB2312"/>
                <w:color w:val="auto"/>
                <w:sz w:val="24"/>
              </w:rPr>
            </w:pPr>
          </w:p>
        </w:tc>
        <w:tc>
          <w:tcPr>
            <w:tcW w:w="2709" w:type="dxa"/>
            <w:gridSpan w:val="4"/>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auto"/>
                <w:sz w:val="24"/>
              </w:rPr>
            </w:pPr>
            <w:r>
              <w:rPr>
                <w:rFonts w:hint="eastAsia" w:ascii="仿宋_GB2312" w:hAnsi="仿宋_GB2312" w:eastAsia="仿宋_GB2312" w:cs="仿宋_GB2312"/>
                <w:color w:val="auto"/>
                <w:kern w:val="2"/>
                <w:sz w:val="24"/>
                <w:szCs w:val="24"/>
                <w:lang w:val="en-US" w:eastAsia="zh-CN" w:bidi="ar"/>
              </w:rPr>
              <w:t>指标2：确保医疗待遇支付及时，使用合理合规</w:t>
            </w:r>
          </w:p>
        </w:tc>
        <w:tc>
          <w:tcPr>
            <w:tcW w:w="2684" w:type="dxa"/>
            <w:gridSpan w:val="6"/>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b/>
                <w:color w:val="auto"/>
                <w:sz w:val="24"/>
                <w:lang w:val="en-US" w:eastAsia="zh-CN"/>
              </w:rPr>
            </w:pPr>
            <w:r>
              <w:rPr>
                <w:rFonts w:hint="eastAsia" w:ascii="仿宋_GB2312" w:hAnsi="仿宋_GB2312" w:eastAsia="仿宋_GB2312" w:cs="仿宋_GB2312"/>
                <w:color w:val="auto"/>
                <w:kern w:val="2"/>
                <w:sz w:val="24"/>
                <w:szCs w:val="24"/>
                <w:lang w:val="en-US" w:eastAsia="zh-CN" w:bidi="ar"/>
              </w:rPr>
              <w:t>支付及时，合理合规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48" w:type="dxa"/>
            <w:vMerge w:val="continue"/>
            <w:vAlign w:val="center"/>
          </w:tcPr>
          <w:p>
            <w:pPr>
              <w:keepNext w:val="0"/>
              <w:keepLines w:val="0"/>
              <w:suppressLineNumbers w:val="0"/>
              <w:spacing w:before="0" w:beforeAutospacing="0" w:after="0" w:afterAutospacing="0" w:line="320" w:lineRule="exact"/>
              <w:ind w:left="0" w:right="0"/>
              <w:rPr>
                <w:rFonts w:hint="default" w:ascii="仿宋_GB2312" w:hAnsi="仿宋_GB2312" w:eastAsia="仿宋_GB2312" w:cs="仿宋_GB2312"/>
                <w:sz w:val="24"/>
              </w:rPr>
            </w:pPr>
          </w:p>
        </w:tc>
        <w:tc>
          <w:tcPr>
            <w:tcW w:w="1549" w:type="dxa"/>
            <w:gridSpan w:val="2"/>
            <w:vMerge w:val="continue"/>
            <w:vAlign w:val="center"/>
          </w:tcPr>
          <w:p>
            <w:pPr>
              <w:keepNext w:val="0"/>
              <w:keepLines w:val="0"/>
              <w:suppressLineNumbers w:val="0"/>
              <w:autoSpaceDN w:val="0"/>
              <w:spacing w:before="0" w:beforeAutospacing="0" w:after="0" w:afterAutospacing="0" w:line="320" w:lineRule="exact"/>
              <w:ind w:left="0" w:right="0"/>
              <w:rPr>
                <w:rFonts w:hint="default" w:ascii="仿宋_GB2312" w:hAnsi="仿宋_GB2312" w:eastAsia="仿宋_GB2312" w:cs="仿宋_GB2312"/>
                <w:color w:val="auto"/>
                <w:sz w:val="24"/>
              </w:rPr>
            </w:pPr>
          </w:p>
        </w:tc>
        <w:tc>
          <w:tcPr>
            <w:tcW w:w="1417" w:type="dxa"/>
            <w:gridSpan w:val="2"/>
            <w:vMerge w:val="continue"/>
            <w:vAlign w:val="center"/>
          </w:tcPr>
          <w:p>
            <w:pPr>
              <w:keepNext w:val="0"/>
              <w:keepLines w:val="0"/>
              <w:suppressLineNumbers w:val="0"/>
              <w:spacing w:before="0" w:beforeAutospacing="0" w:after="0" w:afterAutospacing="0" w:line="320" w:lineRule="exact"/>
              <w:ind w:left="0" w:right="0"/>
              <w:rPr>
                <w:rFonts w:hint="default" w:ascii="仿宋_GB2312" w:hAnsi="仿宋_GB2312" w:eastAsia="仿宋_GB2312" w:cs="仿宋_GB2312"/>
                <w:color w:val="auto"/>
                <w:sz w:val="24"/>
              </w:rPr>
            </w:pPr>
          </w:p>
        </w:tc>
        <w:tc>
          <w:tcPr>
            <w:tcW w:w="2709" w:type="dxa"/>
            <w:gridSpan w:val="4"/>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指标3：基金预警和风险防控能力有所提高</w:t>
            </w:r>
          </w:p>
        </w:tc>
        <w:tc>
          <w:tcPr>
            <w:tcW w:w="2684" w:type="dxa"/>
            <w:gridSpan w:val="6"/>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b/>
                <w:color w:val="auto"/>
                <w:sz w:val="24"/>
                <w:lang w:val="en-US" w:eastAsia="zh-CN"/>
              </w:rPr>
            </w:pPr>
            <w:r>
              <w:rPr>
                <w:rFonts w:hint="eastAsia" w:ascii="仿宋_GB2312" w:hAnsi="仿宋_GB2312" w:eastAsia="仿宋_GB2312" w:cs="仿宋_GB2312"/>
                <w:color w:val="auto"/>
                <w:kern w:val="2"/>
                <w:sz w:val="24"/>
                <w:szCs w:val="24"/>
                <w:lang w:val="en-US" w:eastAsia="zh-CN" w:bidi="ar"/>
              </w:rPr>
              <w:t>有所提高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348" w:type="dxa"/>
            <w:vMerge w:val="continue"/>
            <w:vAlign w:val="center"/>
          </w:tcPr>
          <w:p>
            <w:pPr>
              <w:keepNext w:val="0"/>
              <w:keepLines w:val="0"/>
              <w:suppressLineNumbers w:val="0"/>
              <w:spacing w:before="0" w:beforeAutospacing="0" w:after="0" w:afterAutospacing="0" w:line="320" w:lineRule="exact"/>
              <w:ind w:left="0" w:right="0"/>
              <w:rPr>
                <w:rFonts w:hint="default" w:ascii="仿宋_GB2312" w:hAnsi="仿宋_GB2312" w:eastAsia="仿宋_GB2312" w:cs="仿宋_GB2312"/>
                <w:sz w:val="24"/>
              </w:rPr>
            </w:pPr>
          </w:p>
        </w:tc>
        <w:tc>
          <w:tcPr>
            <w:tcW w:w="1549" w:type="dxa"/>
            <w:gridSpan w:val="2"/>
            <w:vMerge w:val="continue"/>
            <w:vAlign w:val="center"/>
          </w:tcPr>
          <w:p>
            <w:pPr>
              <w:keepNext w:val="0"/>
              <w:keepLines w:val="0"/>
              <w:suppressLineNumbers w:val="0"/>
              <w:autoSpaceDN w:val="0"/>
              <w:spacing w:before="0" w:beforeAutospacing="0" w:after="0" w:afterAutospacing="0" w:line="320" w:lineRule="exact"/>
              <w:ind w:left="0" w:right="0"/>
              <w:rPr>
                <w:rFonts w:hint="default" w:ascii="仿宋_GB2312" w:hAnsi="仿宋_GB2312" w:eastAsia="仿宋_GB2312" w:cs="仿宋_GB2312"/>
                <w:color w:val="auto"/>
                <w:sz w:val="24"/>
              </w:rPr>
            </w:pPr>
          </w:p>
        </w:tc>
        <w:tc>
          <w:tcPr>
            <w:tcW w:w="1417" w:type="dxa"/>
            <w:gridSpan w:val="2"/>
            <w:vMerge w:val="restart"/>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auto"/>
                <w:sz w:val="24"/>
              </w:rPr>
            </w:pPr>
            <w:r>
              <w:rPr>
                <w:rFonts w:hint="eastAsia" w:ascii="仿宋_GB2312" w:hAnsi="仿宋_GB2312" w:eastAsia="仿宋_GB2312" w:cs="仿宋_GB2312"/>
                <w:color w:val="auto"/>
                <w:sz w:val="24"/>
              </w:rPr>
              <w:t>数量指标</w:t>
            </w:r>
          </w:p>
        </w:tc>
        <w:tc>
          <w:tcPr>
            <w:tcW w:w="2709" w:type="dxa"/>
            <w:gridSpan w:val="4"/>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kern w:val="2"/>
                <w:sz w:val="24"/>
                <w:szCs w:val="24"/>
                <w:lang w:val="en-US" w:eastAsia="zh-CN" w:bidi="ar"/>
              </w:rPr>
              <w:t>指标1：参保率</w:t>
            </w:r>
            <w:r>
              <w:rPr>
                <w:rFonts w:hint="default" w:ascii="Arial" w:hAnsi="Arial" w:eastAsia="仿宋_GB2312" w:cs="Arial"/>
                <w:color w:val="auto"/>
                <w:kern w:val="2"/>
                <w:sz w:val="24"/>
                <w:szCs w:val="24"/>
                <w:lang w:val="en-US" w:eastAsia="zh-CN" w:bidi="ar"/>
              </w:rPr>
              <w:t>≥</w:t>
            </w:r>
            <w:r>
              <w:rPr>
                <w:rFonts w:hint="eastAsia" w:ascii="仿宋_GB2312" w:hAnsi="仿宋_GB2312" w:eastAsia="仿宋_GB2312" w:cs="仿宋_GB2312"/>
                <w:color w:val="auto"/>
                <w:kern w:val="2"/>
                <w:sz w:val="24"/>
                <w:szCs w:val="24"/>
                <w:lang w:val="en-US" w:eastAsia="zh-CN" w:bidi="ar"/>
              </w:rPr>
              <w:t>95%</w:t>
            </w:r>
          </w:p>
        </w:tc>
        <w:tc>
          <w:tcPr>
            <w:tcW w:w="2684" w:type="dxa"/>
            <w:gridSpan w:val="6"/>
            <w:vAlign w:val="center"/>
          </w:tcPr>
          <w:p>
            <w:pPr>
              <w:keepNext w:val="0"/>
              <w:keepLines w:val="0"/>
              <w:suppressLineNumbers w:val="0"/>
              <w:autoSpaceDN w:val="0"/>
              <w:spacing w:before="0" w:beforeAutospacing="0" w:after="0" w:afterAutospacing="0" w:line="320" w:lineRule="exact"/>
              <w:ind w:left="0" w:right="0" w:firstLine="480" w:firstLineChars="200"/>
              <w:jc w:val="center"/>
              <w:textAlignment w:val="center"/>
              <w:rPr>
                <w:rFonts w:hint="default" w:ascii="仿宋_GB2312" w:hAnsi="仿宋_GB2312" w:eastAsia="仿宋_GB2312" w:cs="仿宋_GB2312"/>
                <w:b/>
                <w:color w:val="auto"/>
                <w:sz w:val="24"/>
                <w:lang w:val="en-US" w:eastAsia="zh-CN"/>
              </w:rPr>
            </w:pPr>
            <w:r>
              <w:rPr>
                <w:rFonts w:hint="eastAsia" w:ascii="仿宋_GB2312" w:hAnsi="仿宋_GB2312" w:eastAsia="仿宋_GB2312" w:cs="仿宋_GB2312"/>
                <w:b w:val="0"/>
                <w:bCs/>
                <w:color w:val="auto"/>
                <w:sz w:val="24"/>
                <w:lang w:val="en-US" w:eastAsia="zh-CN"/>
              </w:rPr>
              <w:t>参保率108.83%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348" w:type="dxa"/>
            <w:vMerge w:val="continue"/>
            <w:vAlign w:val="center"/>
          </w:tcPr>
          <w:p>
            <w:pPr>
              <w:keepNext w:val="0"/>
              <w:keepLines w:val="0"/>
              <w:suppressLineNumbers w:val="0"/>
              <w:spacing w:before="0" w:beforeAutospacing="0" w:after="0" w:afterAutospacing="0" w:line="320" w:lineRule="exact"/>
              <w:ind w:left="0" w:right="0"/>
              <w:rPr>
                <w:rFonts w:hint="default" w:ascii="仿宋_GB2312" w:hAnsi="仿宋_GB2312" w:eastAsia="仿宋_GB2312" w:cs="仿宋_GB2312"/>
                <w:sz w:val="24"/>
              </w:rPr>
            </w:pPr>
          </w:p>
        </w:tc>
        <w:tc>
          <w:tcPr>
            <w:tcW w:w="1549" w:type="dxa"/>
            <w:gridSpan w:val="2"/>
            <w:vMerge w:val="continue"/>
            <w:vAlign w:val="center"/>
          </w:tcPr>
          <w:p>
            <w:pPr>
              <w:keepNext w:val="0"/>
              <w:keepLines w:val="0"/>
              <w:suppressLineNumbers w:val="0"/>
              <w:autoSpaceDN w:val="0"/>
              <w:spacing w:before="0" w:beforeAutospacing="0" w:after="0" w:afterAutospacing="0" w:line="320" w:lineRule="exact"/>
              <w:ind w:left="0" w:right="0"/>
              <w:rPr>
                <w:rFonts w:hint="default" w:ascii="仿宋_GB2312" w:hAnsi="仿宋_GB2312" w:eastAsia="仿宋_GB2312" w:cs="仿宋_GB2312"/>
                <w:color w:val="auto"/>
                <w:sz w:val="24"/>
              </w:rPr>
            </w:pPr>
          </w:p>
        </w:tc>
        <w:tc>
          <w:tcPr>
            <w:tcW w:w="1417" w:type="dxa"/>
            <w:gridSpan w:val="2"/>
            <w:vMerge w:val="continue"/>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auto"/>
                <w:sz w:val="24"/>
              </w:rPr>
            </w:pPr>
          </w:p>
        </w:tc>
        <w:tc>
          <w:tcPr>
            <w:tcW w:w="2709" w:type="dxa"/>
            <w:gridSpan w:val="4"/>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b w:val="0"/>
                <w:bCs w:val="0"/>
                <w:color w:val="auto"/>
                <w:sz w:val="24"/>
              </w:rPr>
            </w:pPr>
            <w:r>
              <w:rPr>
                <w:rFonts w:hint="eastAsia" w:ascii="仿宋_GB2312" w:hAnsi="仿宋_GB2312" w:eastAsia="仿宋_GB2312" w:cs="仿宋_GB2312"/>
                <w:color w:val="auto"/>
                <w:kern w:val="2"/>
                <w:sz w:val="24"/>
                <w:szCs w:val="24"/>
                <w:lang w:val="en-US" w:eastAsia="zh-CN" w:bidi="ar"/>
              </w:rPr>
              <w:t>指标2：逐步提高医疗救助水平</w:t>
            </w:r>
          </w:p>
        </w:tc>
        <w:tc>
          <w:tcPr>
            <w:tcW w:w="2684" w:type="dxa"/>
            <w:gridSpan w:val="6"/>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b w:val="0"/>
                <w:bCs w:val="0"/>
                <w:color w:val="auto"/>
                <w:sz w:val="24"/>
              </w:rPr>
            </w:pPr>
            <w:r>
              <w:rPr>
                <w:rFonts w:hint="eastAsia" w:ascii="仿宋_GB2312" w:hAnsi="仿宋_GB2312" w:eastAsia="仿宋_GB2312" w:cs="仿宋_GB2312"/>
                <w:color w:val="auto"/>
                <w:kern w:val="2"/>
                <w:sz w:val="24"/>
                <w:szCs w:val="24"/>
                <w:lang w:val="en-US" w:eastAsia="zh-CN" w:bidi="ar"/>
              </w:rPr>
              <w:t>不断提高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348" w:type="dxa"/>
            <w:vMerge w:val="continue"/>
            <w:vAlign w:val="center"/>
          </w:tcPr>
          <w:p>
            <w:pPr>
              <w:keepNext w:val="0"/>
              <w:keepLines w:val="0"/>
              <w:suppressLineNumbers w:val="0"/>
              <w:spacing w:before="0" w:beforeAutospacing="0" w:after="0" w:afterAutospacing="0" w:line="320" w:lineRule="exact"/>
              <w:ind w:left="0" w:right="0"/>
              <w:rPr>
                <w:rFonts w:hint="default" w:ascii="仿宋_GB2312" w:hAnsi="仿宋_GB2312" w:eastAsia="仿宋_GB2312" w:cs="仿宋_GB2312"/>
                <w:sz w:val="24"/>
              </w:rPr>
            </w:pPr>
          </w:p>
        </w:tc>
        <w:tc>
          <w:tcPr>
            <w:tcW w:w="1549" w:type="dxa"/>
            <w:gridSpan w:val="2"/>
            <w:vMerge w:val="continue"/>
            <w:vAlign w:val="center"/>
          </w:tcPr>
          <w:p>
            <w:pPr>
              <w:keepNext w:val="0"/>
              <w:keepLines w:val="0"/>
              <w:suppressLineNumbers w:val="0"/>
              <w:autoSpaceDN w:val="0"/>
              <w:spacing w:before="0" w:beforeAutospacing="0" w:after="0" w:afterAutospacing="0" w:line="320" w:lineRule="exact"/>
              <w:ind w:left="0" w:right="0"/>
              <w:rPr>
                <w:rFonts w:hint="default" w:ascii="仿宋_GB2312" w:hAnsi="仿宋_GB2312" w:eastAsia="仿宋_GB2312" w:cs="仿宋_GB2312"/>
                <w:color w:val="auto"/>
                <w:sz w:val="24"/>
              </w:rPr>
            </w:pPr>
          </w:p>
        </w:tc>
        <w:tc>
          <w:tcPr>
            <w:tcW w:w="1417" w:type="dxa"/>
            <w:gridSpan w:val="2"/>
            <w:vMerge w:val="continue"/>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auto"/>
                <w:sz w:val="24"/>
              </w:rPr>
            </w:pPr>
          </w:p>
        </w:tc>
        <w:tc>
          <w:tcPr>
            <w:tcW w:w="2709" w:type="dxa"/>
            <w:gridSpan w:val="4"/>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指标3：医保信息系统运行率</w:t>
            </w:r>
            <w:r>
              <w:rPr>
                <w:rFonts w:hint="default" w:ascii="Arial" w:hAnsi="Arial" w:eastAsia="仿宋_GB2312" w:cs="Arial"/>
                <w:color w:val="auto"/>
                <w:kern w:val="2"/>
                <w:sz w:val="24"/>
                <w:szCs w:val="24"/>
                <w:lang w:val="en-US" w:eastAsia="zh-CN" w:bidi="ar"/>
              </w:rPr>
              <w:t>≥</w:t>
            </w:r>
            <w:r>
              <w:rPr>
                <w:rFonts w:hint="eastAsia" w:ascii="仿宋_GB2312" w:hAnsi="仿宋_GB2312" w:eastAsia="仿宋_GB2312" w:cs="仿宋_GB2312"/>
                <w:color w:val="auto"/>
                <w:kern w:val="2"/>
                <w:sz w:val="24"/>
                <w:szCs w:val="24"/>
                <w:lang w:val="en-US" w:eastAsia="zh-CN" w:bidi="ar"/>
              </w:rPr>
              <w:t>90%</w:t>
            </w:r>
          </w:p>
        </w:tc>
        <w:tc>
          <w:tcPr>
            <w:tcW w:w="2684" w:type="dxa"/>
            <w:gridSpan w:val="6"/>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b/>
                <w:color w:val="auto"/>
                <w:sz w:val="24"/>
                <w:lang w:val="en-US" w:eastAsia="zh-CN"/>
              </w:rPr>
            </w:pPr>
            <w:r>
              <w:rPr>
                <w:rFonts w:hint="eastAsia" w:ascii="仿宋_GB2312" w:hAnsi="仿宋_GB2312" w:eastAsia="仿宋_GB2312" w:cs="仿宋_GB2312"/>
                <w:color w:val="auto"/>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48" w:type="dxa"/>
            <w:vMerge w:val="continue"/>
            <w:vAlign w:val="center"/>
          </w:tcPr>
          <w:p>
            <w:pPr>
              <w:keepNext w:val="0"/>
              <w:keepLines w:val="0"/>
              <w:suppressLineNumbers w:val="0"/>
              <w:spacing w:before="0" w:beforeAutospacing="0" w:after="0" w:afterAutospacing="0" w:line="320" w:lineRule="exact"/>
              <w:ind w:left="0" w:right="0"/>
              <w:rPr>
                <w:rFonts w:hint="default" w:ascii="仿宋_GB2312" w:hAnsi="仿宋_GB2312" w:eastAsia="仿宋_GB2312" w:cs="仿宋_GB2312"/>
                <w:sz w:val="24"/>
              </w:rPr>
            </w:pPr>
          </w:p>
        </w:tc>
        <w:tc>
          <w:tcPr>
            <w:tcW w:w="1549" w:type="dxa"/>
            <w:gridSpan w:val="2"/>
            <w:vMerge w:val="continue"/>
            <w:vAlign w:val="center"/>
          </w:tcPr>
          <w:p>
            <w:pPr>
              <w:keepNext w:val="0"/>
              <w:keepLines w:val="0"/>
              <w:suppressLineNumbers w:val="0"/>
              <w:autoSpaceDN w:val="0"/>
              <w:spacing w:before="0" w:beforeAutospacing="0" w:after="0" w:afterAutospacing="0" w:line="320" w:lineRule="exact"/>
              <w:ind w:left="0" w:right="0"/>
              <w:rPr>
                <w:rFonts w:hint="default" w:ascii="仿宋_GB2312" w:hAnsi="仿宋_GB2312" w:eastAsia="仿宋_GB2312" w:cs="仿宋_GB2312"/>
                <w:color w:val="auto"/>
                <w:sz w:val="24"/>
              </w:rPr>
            </w:pPr>
          </w:p>
        </w:tc>
        <w:tc>
          <w:tcPr>
            <w:tcW w:w="1417" w:type="dxa"/>
            <w:gridSpan w:val="2"/>
            <w:vMerge w:val="restart"/>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auto"/>
                <w:sz w:val="24"/>
              </w:rPr>
            </w:pPr>
            <w:r>
              <w:rPr>
                <w:rFonts w:hint="eastAsia" w:ascii="仿宋_GB2312" w:hAnsi="仿宋_GB2312" w:eastAsia="仿宋_GB2312" w:cs="仿宋_GB2312"/>
                <w:color w:val="auto"/>
                <w:sz w:val="24"/>
              </w:rPr>
              <w:t>时效指标</w:t>
            </w:r>
          </w:p>
        </w:tc>
        <w:tc>
          <w:tcPr>
            <w:tcW w:w="2709" w:type="dxa"/>
            <w:gridSpan w:val="4"/>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auto"/>
                <w:sz w:val="24"/>
              </w:rPr>
            </w:pPr>
            <w:r>
              <w:rPr>
                <w:rFonts w:hint="eastAsia" w:ascii="仿宋_GB2312" w:hAnsi="仿宋_GB2312" w:eastAsia="仿宋_GB2312" w:cs="仿宋_GB2312"/>
                <w:color w:val="auto"/>
                <w:kern w:val="2"/>
                <w:sz w:val="24"/>
                <w:szCs w:val="24"/>
                <w:lang w:val="en-US" w:eastAsia="zh-CN" w:bidi="ar"/>
              </w:rPr>
              <w:t>指标1：“一站式”及时结算覆盖地区</w:t>
            </w:r>
          </w:p>
        </w:tc>
        <w:tc>
          <w:tcPr>
            <w:tcW w:w="2684" w:type="dxa"/>
            <w:gridSpan w:val="6"/>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b/>
                <w:color w:val="auto"/>
                <w:sz w:val="24"/>
                <w:lang w:val="en-US" w:eastAsia="zh-CN"/>
              </w:rPr>
            </w:pPr>
            <w:r>
              <w:rPr>
                <w:rFonts w:hint="eastAsia" w:ascii="仿宋_GB2312" w:hAnsi="仿宋_GB2312" w:eastAsia="仿宋_GB2312" w:cs="仿宋_GB2312"/>
                <w:color w:val="auto"/>
                <w:kern w:val="2"/>
                <w:sz w:val="24"/>
                <w:szCs w:val="24"/>
                <w:lang w:val="en-US" w:eastAsia="zh-CN" w:bidi="ar"/>
              </w:rPr>
              <w:t>全覆盖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48" w:type="dxa"/>
            <w:vMerge w:val="continue"/>
            <w:vAlign w:val="center"/>
          </w:tcPr>
          <w:p>
            <w:pPr>
              <w:keepNext w:val="0"/>
              <w:keepLines w:val="0"/>
              <w:suppressLineNumbers w:val="0"/>
              <w:spacing w:before="0" w:beforeAutospacing="0" w:after="0" w:afterAutospacing="0" w:line="320" w:lineRule="exact"/>
              <w:ind w:left="0" w:right="0"/>
              <w:rPr>
                <w:rFonts w:hint="default" w:ascii="仿宋_GB2312" w:hAnsi="仿宋_GB2312" w:eastAsia="仿宋_GB2312" w:cs="仿宋_GB2312"/>
                <w:sz w:val="24"/>
              </w:rPr>
            </w:pPr>
          </w:p>
        </w:tc>
        <w:tc>
          <w:tcPr>
            <w:tcW w:w="1549" w:type="dxa"/>
            <w:gridSpan w:val="2"/>
            <w:vMerge w:val="continue"/>
            <w:vAlign w:val="center"/>
          </w:tcPr>
          <w:p>
            <w:pPr>
              <w:keepNext w:val="0"/>
              <w:keepLines w:val="0"/>
              <w:suppressLineNumbers w:val="0"/>
              <w:autoSpaceDN w:val="0"/>
              <w:spacing w:before="0" w:beforeAutospacing="0" w:after="0" w:afterAutospacing="0" w:line="320" w:lineRule="exact"/>
              <w:ind w:left="0" w:right="0"/>
              <w:rPr>
                <w:rFonts w:hint="default" w:ascii="仿宋_GB2312" w:hAnsi="仿宋_GB2312" w:eastAsia="仿宋_GB2312" w:cs="仿宋_GB2312"/>
                <w:color w:val="auto"/>
                <w:sz w:val="24"/>
              </w:rPr>
            </w:pPr>
          </w:p>
        </w:tc>
        <w:tc>
          <w:tcPr>
            <w:tcW w:w="1417" w:type="dxa"/>
            <w:gridSpan w:val="2"/>
            <w:vMerge w:val="continue"/>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auto"/>
                <w:sz w:val="24"/>
              </w:rPr>
            </w:pPr>
          </w:p>
        </w:tc>
        <w:tc>
          <w:tcPr>
            <w:tcW w:w="2709" w:type="dxa"/>
            <w:gridSpan w:val="4"/>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auto"/>
                <w:sz w:val="24"/>
              </w:rPr>
            </w:pPr>
            <w:r>
              <w:rPr>
                <w:rFonts w:hint="eastAsia" w:ascii="仿宋_GB2312" w:hAnsi="仿宋_GB2312" w:eastAsia="仿宋_GB2312" w:cs="仿宋_GB2312"/>
                <w:color w:val="auto"/>
                <w:kern w:val="2"/>
                <w:sz w:val="24"/>
                <w:szCs w:val="24"/>
                <w:lang w:val="en-US" w:eastAsia="zh-CN" w:bidi="ar"/>
              </w:rPr>
              <w:t>指标2：当年各级财政补助到位率</w:t>
            </w:r>
          </w:p>
        </w:tc>
        <w:tc>
          <w:tcPr>
            <w:tcW w:w="2684" w:type="dxa"/>
            <w:gridSpan w:val="6"/>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b/>
                <w:color w:val="auto"/>
                <w:sz w:val="24"/>
                <w:lang w:val="en-US" w:eastAsia="zh-CN"/>
              </w:rPr>
            </w:pPr>
            <w:r>
              <w:rPr>
                <w:rFonts w:hint="eastAsia" w:ascii="仿宋_GB2312" w:hAnsi="仿宋_GB2312" w:eastAsia="仿宋_GB2312" w:cs="仿宋_GB2312"/>
                <w:color w:val="auto"/>
                <w:kern w:val="2"/>
                <w:sz w:val="24"/>
                <w:szCs w:val="24"/>
                <w:lang w:val="en-US" w:eastAsia="zh-CN"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48" w:type="dxa"/>
            <w:vMerge w:val="continue"/>
            <w:vAlign w:val="center"/>
          </w:tcPr>
          <w:p>
            <w:pPr>
              <w:keepNext w:val="0"/>
              <w:keepLines w:val="0"/>
              <w:suppressLineNumbers w:val="0"/>
              <w:spacing w:before="0" w:beforeAutospacing="0" w:after="0" w:afterAutospacing="0" w:line="320" w:lineRule="exact"/>
              <w:ind w:left="0" w:right="0"/>
              <w:rPr>
                <w:rFonts w:hint="default" w:ascii="仿宋_GB2312" w:hAnsi="仿宋_GB2312" w:eastAsia="仿宋_GB2312" w:cs="仿宋_GB2312"/>
                <w:sz w:val="24"/>
              </w:rPr>
            </w:pPr>
          </w:p>
        </w:tc>
        <w:tc>
          <w:tcPr>
            <w:tcW w:w="1549" w:type="dxa"/>
            <w:gridSpan w:val="2"/>
            <w:vMerge w:val="continue"/>
            <w:vAlign w:val="center"/>
          </w:tcPr>
          <w:p>
            <w:pPr>
              <w:keepNext w:val="0"/>
              <w:keepLines w:val="0"/>
              <w:suppressLineNumbers w:val="0"/>
              <w:autoSpaceDN w:val="0"/>
              <w:spacing w:before="0" w:beforeAutospacing="0" w:after="0" w:afterAutospacing="0" w:line="320" w:lineRule="exact"/>
              <w:ind w:left="0" w:right="0"/>
              <w:rPr>
                <w:rFonts w:hint="default" w:ascii="仿宋_GB2312" w:hAnsi="仿宋_GB2312" w:eastAsia="仿宋_GB2312" w:cs="仿宋_GB2312"/>
                <w:color w:val="auto"/>
                <w:sz w:val="24"/>
              </w:rPr>
            </w:pPr>
          </w:p>
        </w:tc>
        <w:tc>
          <w:tcPr>
            <w:tcW w:w="1417" w:type="dxa"/>
            <w:gridSpan w:val="2"/>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auto"/>
                <w:sz w:val="24"/>
              </w:rPr>
            </w:pPr>
            <w:r>
              <w:rPr>
                <w:rFonts w:hint="eastAsia" w:ascii="仿宋_GB2312" w:hAnsi="仿宋_GB2312" w:eastAsia="仿宋_GB2312" w:cs="仿宋_GB2312"/>
                <w:color w:val="auto"/>
                <w:sz w:val="24"/>
              </w:rPr>
              <w:t>成本指标</w:t>
            </w:r>
          </w:p>
        </w:tc>
        <w:tc>
          <w:tcPr>
            <w:tcW w:w="2709" w:type="dxa"/>
            <w:gridSpan w:val="4"/>
            <w:vAlign w:val="center"/>
          </w:tcPr>
          <w:p>
            <w:pPr>
              <w:keepNext w:val="0"/>
              <w:keepLines w:val="0"/>
              <w:suppressLineNumbers w:val="0"/>
              <w:bidi w:val="0"/>
              <w:spacing w:before="0" w:beforeAutospacing="0" w:after="0" w:afterAutospacing="0"/>
              <w:ind w:left="0" w:right="0"/>
              <w:jc w:val="left"/>
              <w:rPr>
                <w:rFonts w:hint="default" w:ascii="Times New Roman" w:hAnsi="Times New Roman" w:eastAsia="宋体" w:cs="Times New Roman"/>
                <w:color w:val="auto"/>
                <w:kern w:val="2"/>
                <w:sz w:val="21"/>
                <w:szCs w:val="24"/>
                <w:lang w:val="en-US" w:eastAsia="zh-CN" w:bidi="ar-SA"/>
              </w:rPr>
            </w:pPr>
            <w:r>
              <w:rPr>
                <w:rFonts w:hint="eastAsia" w:ascii="仿宋_GB2312" w:hAnsi="仿宋_GB2312" w:eastAsia="仿宋_GB2312" w:cs="仿宋_GB2312"/>
                <w:color w:val="auto"/>
                <w:kern w:val="2"/>
                <w:sz w:val="24"/>
                <w:szCs w:val="24"/>
                <w:lang w:val="en-US" w:eastAsia="zh-CN" w:bidi="ar"/>
              </w:rPr>
              <w:t>指标1：资金使用控制在预算额度内</w:t>
            </w:r>
          </w:p>
        </w:tc>
        <w:tc>
          <w:tcPr>
            <w:tcW w:w="2684" w:type="dxa"/>
            <w:gridSpan w:val="6"/>
            <w:vAlign w:val="center"/>
          </w:tcPr>
          <w:p>
            <w:pPr>
              <w:keepNext w:val="0"/>
              <w:keepLines w:val="0"/>
              <w:suppressLineNumbers w:val="0"/>
              <w:tabs>
                <w:tab w:val="left" w:pos="710"/>
              </w:tabs>
              <w:autoSpaceDN w:val="0"/>
              <w:spacing w:before="0" w:beforeAutospacing="0" w:after="0" w:afterAutospacing="0" w:line="320" w:lineRule="exact"/>
              <w:ind w:left="0" w:right="0"/>
              <w:jc w:val="center"/>
              <w:textAlignment w:val="center"/>
              <w:rPr>
                <w:rFonts w:hint="eastAsia" w:ascii="仿宋_GB2312" w:hAnsi="仿宋_GB2312" w:eastAsia="仿宋_GB2312" w:cs="仿宋_GB2312"/>
                <w:b/>
                <w:color w:val="auto"/>
                <w:sz w:val="24"/>
                <w:lang w:eastAsia="zh-CN"/>
              </w:rPr>
            </w:pPr>
            <w:r>
              <w:rPr>
                <w:rFonts w:hint="eastAsia" w:ascii="仿宋_GB2312" w:hAnsi="仿宋_GB2312" w:eastAsia="仿宋_GB2312" w:cs="仿宋_GB2312"/>
                <w:color w:val="auto"/>
                <w:kern w:val="2"/>
                <w:sz w:val="24"/>
                <w:szCs w:val="24"/>
                <w:lang w:val="en-US" w:eastAsia="zh-CN" w:bidi="ar"/>
              </w:rPr>
              <w:t>无超支，略有结余。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39" w:hRule="atLeast"/>
          <w:jc w:val="center"/>
        </w:trPr>
        <w:tc>
          <w:tcPr>
            <w:tcW w:w="1348" w:type="dxa"/>
            <w:vMerge w:val="continue"/>
            <w:vAlign w:val="center"/>
          </w:tcPr>
          <w:p>
            <w:pPr>
              <w:keepNext w:val="0"/>
              <w:keepLines w:val="0"/>
              <w:suppressLineNumbers w:val="0"/>
              <w:spacing w:before="0" w:beforeAutospacing="0" w:after="0" w:afterAutospacing="0" w:line="320" w:lineRule="exact"/>
              <w:ind w:left="0" w:right="0"/>
              <w:rPr>
                <w:rFonts w:hint="default" w:ascii="仿宋_GB2312" w:hAnsi="仿宋_GB2312" w:eastAsia="仿宋_GB2312" w:cs="仿宋_GB2312"/>
                <w:sz w:val="24"/>
              </w:rPr>
            </w:pPr>
          </w:p>
        </w:tc>
        <w:tc>
          <w:tcPr>
            <w:tcW w:w="1549" w:type="dxa"/>
            <w:gridSpan w:val="2"/>
            <w:vMerge w:val="restart"/>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auto"/>
                <w:sz w:val="24"/>
              </w:rPr>
            </w:pPr>
            <w:r>
              <w:rPr>
                <w:rFonts w:hint="eastAsia" w:ascii="仿宋_GB2312" w:hAnsi="仿宋_GB2312" w:eastAsia="仿宋_GB2312" w:cs="仿宋_GB2312"/>
                <w:color w:val="auto"/>
                <w:sz w:val="24"/>
              </w:rPr>
              <w:t>效益目标</w:t>
            </w:r>
          </w:p>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auto"/>
                <w:sz w:val="24"/>
              </w:rPr>
            </w:pPr>
            <w:r>
              <w:rPr>
                <w:rFonts w:hint="eastAsia" w:ascii="仿宋_GB2312" w:hAnsi="仿宋_GB2312" w:eastAsia="仿宋_GB2312" w:cs="仿宋_GB2312"/>
                <w:color w:val="auto"/>
                <w:sz w:val="24"/>
              </w:rPr>
              <w:t>（预期实现的效益）</w:t>
            </w:r>
          </w:p>
        </w:tc>
        <w:tc>
          <w:tcPr>
            <w:tcW w:w="1417" w:type="dxa"/>
            <w:gridSpan w:val="2"/>
            <w:vMerge w:val="restart"/>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auto"/>
                <w:sz w:val="24"/>
              </w:rPr>
            </w:pPr>
            <w:r>
              <w:rPr>
                <w:rFonts w:hint="eastAsia" w:ascii="仿宋_GB2312" w:hAnsi="仿宋_GB2312" w:eastAsia="仿宋_GB2312" w:cs="仿宋_GB2312"/>
                <w:color w:val="auto"/>
                <w:sz w:val="24"/>
              </w:rPr>
              <w:t>社会效益</w:t>
            </w:r>
          </w:p>
        </w:tc>
        <w:tc>
          <w:tcPr>
            <w:tcW w:w="2709" w:type="dxa"/>
            <w:gridSpan w:val="4"/>
            <w:tcBorders>
              <w:bottom w:val="single" w:color="auto" w:sz="4" w:space="0"/>
            </w:tcBorders>
            <w:vAlign w:val="center"/>
          </w:tcPr>
          <w:p>
            <w:pPr>
              <w:keepNext w:val="0"/>
              <w:keepLines w:val="0"/>
              <w:widowControl w:val="0"/>
              <w:suppressLineNumbers w:val="0"/>
              <w:autoSpaceDE/>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auto"/>
                <w:sz w:val="24"/>
              </w:rPr>
            </w:pPr>
            <w:r>
              <w:rPr>
                <w:rFonts w:hint="eastAsia" w:ascii="仿宋_GB2312" w:hAnsi="仿宋_GB2312" w:eastAsia="仿宋_GB2312" w:cs="仿宋_GB2312"/>
                <w:color w:val="auto"/>
                <w:kern w:val="2"/>
                <w:sz w:val="24"/>
                <w:szCs w:val="24"/>
                <w:lang w:val="en-US" w:eastAsia="zh-CN" w:bidi="ar"/>
              </w:rPr>
              <w:t>指标1：医疗救助对象覆盖范围</w:t>
            </w:r>
          </w:p>
        </w:tc>
        <w:tc>
          <w:tcPr>
            <w:tcW w:w="2684" w:type="dxa"/>
            <w:gridSpan w:val="6"/>
            <w:tcBorders>
              <w:bottom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b w:val="0"/>
                <w:bCs/>
                <w:color w:val="auto"/>
                <w:sz w:val="24"/>
                <w:lang w:val="en-US" w:eastAsia="zh-CN"/>
              </w:rPr>
            </w:pPr>
            <w:r>
              <w:rPr>
                <w:rFonts w:hint="eastAsia" w:ascii="仿宋_GB2312" w:hAnsi="仿宋_GB2312" w:eastAsia="仿宋_GB2312" w:cs="仿宋_GB2312"/>
                <w:color w:val="auto"/>
                <w:kern w:val="2"/>
                <w:sz w:val="24"/>
                <w:szCs w:val="24"/>
                <w:lang w:val="en-US" w:eastAsia="zh-CN" w:bidi="ar"/>
              </w:rPr>
              <w:t>稳步拓展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51" w:hRule="atLeast"/>
          <w:jc w:val="center"/>
        </w:trPr>
        <w:tc>
          <w:tcPr>
            <w:tcW w:w="1348" w:type="dxa"/>
            <w:vMerge w:val="continue"/>
            <w:vAlign w:val="center"/>
          </w:tcPr>
          <w:p>
            <w:pPr>
              <w:keepNext w:val="0"/>
              <w:keepLines w:val="0"/>
              <w:suppressLineNumbers w:val="0"/>
              <w:spacing w:before="0" w:beforeAutospacing="0" w:after="0" w:afterAutospacing="0" w:line="320" w:lineRule="exact"/>
              <w:ind w:left="0" w:right="0"/>
              <w:rPr>
                <w:rFonts w:hint="default" w:ascii="仿宋_GB2312" w:hAnsi="仿宋_GB2312" w:eastAsia="仿宋_GB2312" w:cs="仿宋_GB2312"/>
                <w:sz w:val="24"/>
              </w:rPr>
            </w:pPr>
          </w:p>
        </w:tc>
        <w:tc>
          <w:tcPr>
            <w:tcW w:w="1549" w:type="dxa"/>
            <w:gridSpan w:val="2"/>
            <w:vMerge w:val="continue"/>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auto"/>
                <w:sz w:val="24"/>
              </w:rPr>
            </w:pPr>
          </w:p>
        </w:tc>
        <w:tc>
          <w:tcPr>
            <w:tcW w:w="1417" w:type="dxa"/>
            <w:gridSpan w:val="2"/>
            <w:vMerge w:val="continue"/>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auto"/>
                <w:sz w:val="24"/>
              </w:rPr>
            </w:pPr>
          </w:p>
        </w:tc>
        <w:tc>
          <w:tcPr>
            <w:tcW w:w="2709" w:type="dxa"/>
            <w:gridSpan w:val="4"/>
            <w:tcBorders>
              <w:top w:val="single" w:color="auto" w:sz="4" w:space="0"/>
            </w:tcBorders>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auto"/>
                <w:kern w:val="2"/>
                <w:sz w:val="24"/>
                <w:szCs w:val="24"/>
                <w:lang w:val="en-US" w:eastAsia="zh-CN" w:bidi="ar"/>
              </w:rPr>
            </w:pPr>
            <w:r>
              <w:rPr>
                <w:rFonts w:hint="eastAsia" w:ascii="仿宋_GB2312" w:hAnsi="仿宋_GB2312" w:eastAsia="仿宋_GB2312" w:cs="仿宋_GB2312"/>
                <w:color w:val="auto"/>
                <w:kern w:val="2"/>
                <w:sz w:val="24"/>
                <w:szCs w:val="24"/>
                <w:lang w:val="en-US" w:eastAsia="zh-CN" w:bidi="ar"/>
              </w:rPr>
              <w:t>指标2：困难群众就医负担减轻程度</w:t>
            </w:r>
          </w:p>
        </w:tc>
        <w:tc>
          <w:tcPr>
            <w:tcW w:w="2684" w:type="dxa"/>
            <w:gridSpan w:val="6"/>
            <w:tcBorders>
              <w:top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b w:val="0"/>
                <w:bCs/>
                <w:color w:val="auto"/>
                <w:sz w:val="24"/>
                <w:lang w:val="en-US" w:eastAsia="zh-CN"/>
              </w:rPr>
            </w:pPr>
            <w:r>
              <w:rPr>
                <w:rFonts w:hint="eastAsia" w:ascii="仿宋_GB2312" w:hAnsi="仿宋_GB2312" w:eastAsia="仿宋_GB2312" w:cs="仿宋_GB2312"/>
                <w:color w:val="auto"/>
                <w:kern w:val="2"/>
                <w:sz w:val="24"/>
                <w:szCs w:val="24"/>
                <w:lang w:val="en-US" w:eastAsia="zh-CN" w:bidi="ar"/>
              </w:rPr>
              <w:t>有效缓解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48" w:type="dxa"/>
            <w:vMerge w:val="continue"/>
            <w:vAlign w:val="center"/>
          </w:tcPr>
          <w:p>
            <w:pPr>
              <w:keepNext w:val="0"/>
              <w:keepLines w:val="0"/>
              <w:suppressLineNumbers w:val="0"/>
              <w:spacing w:before="0" w:beforeAutospacing="0" w:after="0" w:afterAutospacing="0" w:line="320" w:lineRule="exact"/>
              <w:ind w:left="0" w:right="0"/>
              <w:rPr>
                <w:rFonts w:hint="default" w:ascii="仿宋_GB2312" w:hAnsi="仿宋_GB2312" w:eastAsia="仿宋_GB2312" w:cs="仿宋_GB2312"/>
                <w:sz w:val="24"/>
              </w:rPr>
            </w:pPr>
          </w:p>
        </w:tc>
        <w:tc>
          <w:tcPr>
            <w:tcW w:w="1549" w:type="dxa"/>
            <w:gridSpan w:val="2"/>
            <w:vMerge w:val="continue"/>
            <w:vAlign w:val="center"/>
          </w:tcPr>
          <w:p>
            <w:pPr>
              <w:keepNext w:val="0"/>
              <w:keepLines w:val="0"/>
              <w:suppressLineNumbers w:val="0"/>
              <w:autoSpaceDN w:val="0"/>
              <w:spacing w:before="0" w:beforeAutospacing="0" w:after="0" w:afterAutospacing="0" w:line="320" w:lineRule="exact"/>
              <w:ind w:left="0" w:right="0"/>
              <w:rPr>
                <w:rFonts w:hint="default" w:ascii="仿宋_GB2312" w:hAnsi="仿宋_GB2312" w:eastAsia="仿宋_GB2312" w:cs="仿宋_GB2312"/>
                <w:color w:val="auto"/>
                <w:sz w:val="24"/>
              </w:rPr>
            </w:pPr>
          </w:p>
        </w:tc>
        <w:tc>
          <w:tcPr>
            <w:tcW w:w="1417" w:type="dxa"/>
            <w:gridSpan w:val="2"/>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auto"/>
                <w:sz w:val="24"/>
              </w:rPr>
            </w:pPr>
            <w:r>
              <w:rPr>
                <w:rFonts w:hint="eastAsia" w:ascii="仿宋_GB2312" w:hAnsi="仿宋_GB2312" w:eastAsia="仿宋_GB2312" w:cs="仿宋_GB2312"/>
                <w:color w:val="auto"/>
                <w:sz w:val="24"/>
              </w:rPr>
              <w:t>经济效益</w:t>
            </w:r>
          </w:p>
        </w:tc>
        <w:tc>
          <w:tcPr>
            <w:tcW w:w="2709" w:type="dxa"/>
            <w:gridSpan w:val="4"/>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指标1：加快国家集采药品工作落地见效</w:t>
            </w:r>
          </w:p>
        </w:tc>
        <w:tc>
          <w:tcPr>
            <w:tcW w:w="2684" w:type="dxa"/>
            <w:gridSpan w:val="6"/>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b w:val="0"/>
                <w:bCs/>
                <w:color w:val="auto"/>
                <w:sz w:val="24"/>
                <w:lang w:val="en-US" w:eastAsia="zh-CN"/>
              </w:rPr>
            </w:pPr>
            <w:r>
              <w:rPr>
                <w:rFonts w:hint="eastAsia" w:ascii="仿宋_GB2312" w:hAnsi="仿宋_GB2312" w:eastAsia="仿宋_GB2312" w:cs="仿宋_GB2312"/>
                <w:b w:val="0"/>
                <w:bCs/>
                <w:color w:val="auto"/>
                <w:sz w:val="24"/>
                <w:lang w:val="en-US" w:eastAsia="zh-CN"/>
              </w:rPr>
              <w:t>有效降价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48" w:type="dxa"/>
            <w:vMerge w:val="continue"/>
            <w:vAlign w:val="center"/>
          </w:tcPr>
          <w:p>
            <w:pPr>
              <w:keepNext w:val="0"/>
              <w:keepLines w:val="0"/>
              <w:suppressLineNumbers w:val="0"/>
              <w:spacing w:before="0" w:beforeAutospacing="0" w:after="0" w:afterAutospacing="0" w:line="320" w:lineRule="exact"/>
              <w:ind w:left="0" w:right="0"/>
              <w:rPr>
                <w:rFonts w:hint="default" w:ascii="仿宋_GB2312" w:hAnsi="仿宋_GB2312" w:eastAsia="仿宋_GB2312" w:cs="仿宋_GB2312"/>
                <w:sz w:val="24"/>
              </w:rPr>
            </w:pPr>
          </w:p>
        </w:tc>
        <w:tc>
          <w:tcPr>
            <w:tcW w:w="1549" w:type="dxa"/>
            <w:gridSpan w:val="2"/>
            <w:vMerge w:val="continue"/>
            <w:vAlign w:val="center"/>
          </w:tcPr>
          <w:p>
            <w:pPr>
              <w:keepNext w:val="0"/>
              <w:keepLines w:val="0"/>
              <w:suppressLineNumbers w:val="0"/>
              <w:autoSpaceDN w:val="0"/>
              <w:spacing w:before="0" w:beforeAutospacing="0" w:after="0" w:afterAutospacing="0" w:line="320" w:lineRule="exact"/>
              <w:ind w:left="0" w:right="0"/>
              <w:rPr>
                <w:rFonts w:hint="default" w:ascii="仿宋_GB2312" w:hAnsi="仿宋_GB2312" w:eastAsia="仿宋_GB2312" w:cs="仿宋_GB2312"/>
                <w:color w:val="auto"/>
                <w:sz w:val="24"/>
              </w:rPr>
            </w:pPr>
          </w:p>
        </w:tc>
        <w:tc>
          <w:tcPr>
            <w:tcW w:w="1417" w:type="dxa"/>
            <w:gridSpan w:val="2"/>
            <w:vMerge w:val="restart"/>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auto"/>
                <w:sz w:val="24"/>
              </w:rPr>
            </w:pPr>
            <w:r>
              <w:rPr>
                <w:rFonts w:hint="eastAsia" w:ascii="仿宋_GB2312" w:hAnsi="仿宋_GB2312" w:eastAsia="仿宋_GB2312" w:cs="仿宋_GB2312"/>
                <w:color w:val="auto"/>
                <w:sz w:val="24"/>
              </w:rPr>
              <w:t>社会公众或服务对象满意度</w:t>
            </w:r>
          </w:p>
        </w:tc>
        <w:tc>
          <w:tcPr>
            <w:tcW w:w="2709" w:type="dxa"/>
            <w:gridSpan w:val="4"/>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kern w:val="2"/>
                <w:sz w:val="24"/>
                <w:szCs w:val="24"/>
                <w:lang w:val="en-US" w:eastAsia="zh-CN" w:bidi="ar"/>
              </w:rPr>
              <w:t>指标1：服务对象满意率达到</w:t>
            </w:r>
            <w:r>
              <w:rPr>
                <w:rFonts w:hint="default" w:ascii="Arial" w:hAnsi="Arial" w:eastAsia="仿宋_GB2312" w:cs="Arial"/>
                <w:color w:val="auto"/>
                <w:kern w:val="2"/>
                <w:sz w:val="24"/>
                <w:szCs w:val="24"/>
                <w:lang w:val="en-US" w:eastAsia="zh-CN" w:bidi="ar"/>
              </w:rPr>
              <w:t>≥</w:t>
            </w:r>
            <w:r>
              <w:rPr>
                <w:rFonts w:hint="eastAsia" w:ascii="Arial" w:hAnsi="Arial" w:eastAsia="仿宋_GB2312" w:cs="Arial"/>
                <w:color w:val="auto"/>
                <w:kern w:val="2"/>
                <w:sz w:val="24"/>
                <w:szCs w:val="24"/>
                <w:lang w:val="en-US" w:eastAsia="zh-CN" w:bidi="ar"/>
              </w:rPr>
              <w:t>80</w:t>
            </w:r>
            <w:r>
              <w:rPr>
                <w:rFonts w:hint="eastAsia" w:ascii="仿宋_GB2312" w:hAnsi="仿宋_GB2312" w:eastAsia="仿宋_GB2312" w:cs="仿宋_GB2312"/>
                <w:color w:val="auto"/>
                <w:kern w:val="2"/>
                <w:sz w:val="24"/>
                <w:szCs w:val="24"/>
                <w:lang w:val="en-US" w:eastAsia="zh-CN" w:bidi="ar"/>
              </w:rPr>
              <w:t>%</w:t>
            </w:r>
          </w:p>
        </w:tc>
        <w:tc>
          <w:tcPr>
            <w:tcW w:w="2684" w:type="dxa"/>
            <w:gridSpan w:val="6"/>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b/>
                <w:color w:val="auto"/>
                <w:sz w:val="24"/>
                <w:lang w:val="en-US" w:eastAsia="zh-CN"/>
              </w:rPr>
            </w:pPr>
            <w:r>
              <w:rPr>
                <w:rFonts w:hint="eastAsia" w:ascii="仿宋_GB2312" w:hAnsi="仿宋_GB2312" w:eastAsia="仿宋_GB2312" w:cs="仿宋_GB2312"/>
                <w:color w:val="auto"/>
                <w:kern w:val="2"/>
                <w:sz w:val="24"/>
                <w:szCs w:val="24"/>
                <w:lang w:val="en-US" w:eastAsia="zh-CN" w:bidi="ar"/>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48" w:type="dxa"/>
            <w:vMerge w:val="continue"/>
            <w:vAlign w:val="center"/>
          </w:tcPr>
          <w:p>
            <w:pPr>
              <w:keepNext w:val="0"/>
              <w:keepLines w:val="0"/>
              <w:suppressLineNumbers w:val="0"/>
              <w:spacing w:before="0" w:beforeAutospacing="0" w:after="0" w:afterAutospacing="0" w:line="320" w:lineRule="exact"/>
              <w:ind w:left="0" w:right="0"/>
              <w:rPr>
                <w:rFonts w:hint="default" w:ascii="仿宋_GB2312" w:hAnsi="仿宋_GB2312" w:eastAsia="仿宋_GB2312" w:cs="仿宋_GB2312"/>
                <w:sz w:val="24"/>
              </w:rPr>
            </w:pPr>
          </w:p>
        </w:tc>
        <w:tc>
          <w:tcPr>
            <w:tcW w:w="1549" w:type="dxa"/>
            <w:gridSpan w:val="2"/>
            <w:vMerge w:val="continue"/>
            <w:vAlign w:val="center"/>
          </w:tcPr>
          <w:p>
            <w:pPr>
              <w:keepNext w:val="0"/>
              <w:keepLines w:val="0"/>
              <w:suppressLineNumbers w:val="0"/>
              <w:autoSpaceDN w:val="0"/>
              <w:spacing w:before="0" w:beforeAutospacing="0" w:after="0" w:afterAutospacing="0" w:line="320" w:lineRule="exact"/>
              <w:ind w:left="0" w:right="0"/>
              <w:rPr>
                <w:rFonts w:hint="default" w:ascii="仿宋_GB2312" w:hAnsi="仿宋_GB2312" w:eastAsia="仿宋_GB2312" w:cs="仿宋_GB2312"/>
                <w:color w:val="auto"/>
                <w:sz w:val="24"/>
              </w:rPr>
            </w:pPr>
          </w:p>
        </w:tc>
        <w:tc>
          <w:tcPr>
            <w:tcW w:w="1417" w:type="dxa"/>
            <w:gridSpan w:val="2"/>
            <w:vMerge w:val="continue"/>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auto"/>
                <w:sz w:val="24"/>
              </w:rPr>
            </w:pPr>
          </w:p>
        </w:tc>
        <w:tc>
          <w:tcPr>
            <w:tcW w:w="2709" w:type="dxa"/>
            <w:gridSpan w:val="4"/>
            <w:vAlign w:val="center"/>
          </w:tcPr>
          <w:p>
            <w:pPr>
              <w:keepNext w:val="0"/>
              <w:keepLines w:val="0"/>
              <w:suppressLineNumbers w:val="0"/>
              <w:autoSpaceDN w:val="0"/>
              <w:spacing w:before="0" w:beforeAutospacing="0" w:after="0" w:afterAutospacing="0" w:line="320" w:lineRule="exact"/>
              <w:ind w:left="0" w:leftChars="0" w:right="0" w:rightChars="0"/>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
              </w:rPr>
              <w:t>指标2：参保群众政策知晓度</w:t>
            </w:r>
          </w:p>
        </w:tc>
        <w:tc>
          <w:tcPr>
            <w:tcW w:w="2684" w:type="dxa"/>
            <w:gridSpan w:val="6"/>
            <w:vAlign w:val="center"/>
          </w:tcPr>
          <w:p>
            <w:pPr>
              <w:keepNext w:val="0"/>
              <w:keepLines w:val="0"/>
              <w:suppressLineNumbers w:val="0"/>
              <w:autoSpaceDN w:val="0"/>
              <w:spacing w:before="0" w:beforeAutospacing="0" w:after="0" w:afterAutospacing="0" w:line="320" w:lineRule="exact"/>
              <w:ind w:left="0" w:leftChars="0" w:right="0" w:rightChars="0"/>
              <w:jc w:val="center"/>
              <w:textAlignment w:val="center"/>
              <w:rPr>
                <w:rFonts w:hint="eastAsia" w:ascii="仿宋_GB2312" w:hAnsi="仿宋_GB2312" w:eastAsia="仿宋_GB2312" w:cs="仿宋_GB2312"/>
                <w:b/>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
              </w:rPr>
              <w:t>普遍知晓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897" w:type="dxa"/>
            <w:gridSpan w:val="3"/>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897" w:type="dxa"/>
            <w:gridSpan w:val="3"/>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707" w:type="dxa"/>
            <w:gridSpan w:val="15"/>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48" w:type="dxa"/>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774" w:type="dxa"/>
            <w:gridSpan w:val="5"/>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348" w:type="dxa"/>
            <w:vAlign w:val="center"/>
          </w:tcPr>
          <w:p>
            <w:pPr>
              <w:keepNext w:val="0"/>
              <w:keepLines w:val="0"/>
              <w:suppressLineNumbers w:val="0"/>
              <w:autoSpaceDN w:val="0"/>
              <w:spacing w:before="0" w:beforeAutospacing="0" w:after="0" w:afterAutospacing="0" w:line="320" w:lineRule="exact"/>
              <w:ind w:left="0" w:leftChars="0" w:right="0" w:rightChars="0"/>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胡晓华</w:t>
            </w:r>
          </w:p>
        </w:tc>
        <w:tc>
          <w:tcPr>
            <w:tcW w:w="3774" w:type="dxa"/>
            <w:gridSpan w:val="5"/>
            <w:vAlign w:val="center"/>
          </w:tcPr>
          <w:p>
            <w:pPr>
              <w:keepNext w:val="0"/>
              <w:keepLines w:val="0"/>
              <w:suppressLineNumbers w:val="0"/>
              <w:autoSpaceDN w:val="0"/>
              <w:spacing w:before="0" w:beforeAutospacing="0" w:after="0" w:afterAutospacing="0" w:line="320" w:lineRule="exact"/>
              <w:ind w:left="0" w:leftChars="0" w:right="0" w:rightChars="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副局长</w:t>
            </w:r>
          </w:p>
        </w:tc>
        <w:tc>
          <w:tcPr>
            <w:tcW w:w="1479" w:type="dxa"/>
            <w:vAlign w:val="center"/>
          </w:tcPr>
          <w:p>
            <w:pPr>
              <w:keepNext w:val="0"/>
              <w:keepLines w:val="0"/>
              <w:suppressLineNumbers w:val="0"/>
              <w:autoSpaceDN w:val="0"/>
              <w:spacing w:before="0" w:beforeAutospacing="0" w:after="0" w:afterAutospacing="0" w:line="320" w:lineRule="exact"/>
              <w:ind w:left="0" w:leftChars="0" w:right="0" w:rightChars="0"/>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市医保局</w:t>
            </w:r>
          </w:p>
        </w:tc>
        <w:tc>
          <w:tcPr>
            <w:tcW w:w="3106" w:type="dxa"/>
            <w:gridSpan w:val="8"/>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348" w:type="dxa"/>
            <w:vAlign w:val="center"/>
          </w:tcPr>
          <w:p>
            <w:pPr>
              <w:keepNext w:val="0"/>
              <w:keepLines w:val="0"/>
              <w:suppressLineNumbers w:val="0"/>
              <w:autoSpaceDN w:val="0"/>
              <w:spacing w:before="0" w:beforeAutospacing="0" w:after="0" w:afterAutospacing="0" w:line="320" w:lineRule="exact"/>
              <w:ind w:left="0" w:leftChars="0" w:right="0" w:rightChars="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康云华</w:t>
            </w:r>
          </w:p>
        </w:tc>
        <w:tc>
          <w:tcPr>
            <w:tcW w:w="3774" w:type="dxa"/>
            <w:gridSpan w:val="5"/>
            <w:vAlign w:val="center"/>
          </w:tcPr>
          <w:p>
            <w:pPr>
              <w:keepNext w:val="0"/>
              <w:keepLines w:val="0"/>
              <w:suppressLineNumbers w:val="0"/>
              <w:tabs>
                <w:tab w:val="left" w:pos="583"/>
              </w:tabs>
              <w:autoSpaceDN w:val="0"/>
              <w:spacing w:before="0" w:beforeAutospacing="0" w:after="0" w:afterAutospacing="0" w:line="320" w:lineRule="exact"/>
              <w:ind w:left="0" w:leftChars="0" w:right="0" w:rightChars="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办公室主任</w:t>
            </w:r>
          </w:p>
        </w:tc>
        <w:tc>
          <w:tcPr>
            <w:tcW w:w="1479" w:type="dxa"/>
            <w:vAlign w:val="center"/>
          </w:tcPr>
          <w:p>
            <w:pPr>
              <w:keepNext w:val="0"/>
              <w:keepLines w:val="0"/>
              <w:suppressLineNumbers w:val="0"/>
              <w:autoSpaceDN w:val="0"/>
              <w:spacing w:before="0" w:beforeAutospacing="0" w:after="0" w:afterAutospacing="0" w:line="320" w:lineRule="exact"/>
              <w:ind w:left="0" w:leftChars="0" w:right="0" w:rightChars="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市医保局</w:t>
            </w:r>
          </w:p>
        </w:tc>
        <w:tc>
          <w:tcPr>
            <w:tcW w:w="3106" w:type="dxa"/>
            <w:gridSpan w:val="8"/>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348" w:type="dxa"/>
            <w:vAlign w:val="center"/>
          </w:tcPr>
          <w:p>
            <w:pPr>
              <w:keepNext w:val="0"/>
              <w:keepLines w:val="0"/>
              <w:suppressLineNumbers w:val="0"/>
              <w:autoSpaceDN w:val="0"/>
              <w:spacing w:before="0" w:beforeAutospacing="0" w:after="0" w:afterAutospacing="0" w:line="320" w:lineRule="exact"/>
              <w:ind w:left="0" w:leftChars="0" w:right="0" w:rightChars="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方维略</w:t>
            </w:r>
          </w:p>
        </w:tc>
        <w:tc>
          <w:tcPr>
            <w:tcW w:w="3774" w:type="dxa"/>
            <w:gridSpan w:val="5"/>
            <w:vAlign w:val="center"/>
          </w:tcPr>
          <w:p>
            <w:pPr>
              <w:keepNext w:val="0"/>
              <w:keepLines w:val="0"/>
              <w:suppressLineNumbers w:val="0"/>
              <w:autoSpaceDN w:val="0"/>
              <w:spacing w:before="0" w:beforeAutospacing="0" w:after="0" w:afterAutospacing="0" w:line="320" w:lineRule="exact"/>
              <w:ind w:left="0" w:leftChars="0" w:right="0" w:rightChars="0"/>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kern w:val="2"/>
                <w:sz w:val="24"/>
                <w:szCs w:val="24"/>
                <w:lang w:val="en-US" w:eastAsia="zh-CN" w:bidi="ar"/>
              </w:rPr>
              <w:t>规划财务和法规科负责人</w:t>
            </w:r>
          </w:p>
        </w:tc>
        <w:tc>
          <w:tcPr>
            <w:tcW w:w="1479" w:type="dxa"/>
            <w:vAlign w:val="center"/>
          </w:tcPr>
          <w:p>
            <w:pPr>
              <w:keepNext w:val="0"/>
              <w:keepLines w:val="0"/>
              <w:suppressLineNumbers w:val="0"/>
              <w:autoSpaceDN w:val="0"/>
              <w:spacing w:before="0" w:beforeAutospacing="0" w:after="0" w:afterAutospacing="0" w:line="320" w:lineRule="exact"/>
              <w:ind w:left="0" w:leftChars="0" w:right="0" w:rightChars="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kern w:val="2"/>
                <w:sz w:val="24"/>
                <w:szCs w:val="24"/>
                <w:lang w:val="en-US" w:eastAsia="zh-CN" w:bidi="ar"/>
              </w:rPr>
              <w:t>市医保局</w:t>
            </w:r>
          </w:p>
        </w:tc>
        <w:tc>
          <w:tcPr>
            <w:tcW w:w="3106" w:type="dxa"/>
            <w:gridSpan w:val="8"/>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348" w:type="dxa"/>
            <w:vAlign w:val="center"/>
          </w:tcPr>
          <w:p>
            <w:pPr>
              <w:keepNext w:val="0"/>
              <w:keepLines w:val="0"/>
              <w:suppressLineNumbers w:val="0"/>
              <w:autoSpaceDN w:val="0"/>
              <w:spacing w:before="0" w:beforeAutospacing="0" w:after="0" w:afterAutospacing="0" w:line="320" w:lineRule="exact"/>
              <w:ind w:left="0" w:leftChars="0" w:right="0" w:rightChars="0"/>
              <w:jc w:val="both"/>
              <w:textAlignment w:val="center"/>
              <w:rPr>
                <w:rFonts w:hint="default" w:ascii="仿宋_GB2312" w:hAnsi="仿宋_GB2312" w:eastAsia="仿宋_GB2312" w:cs="仿宋_GB2312"/>
                <w:color w:val="000000"/>
                <w:sz w:val="24"/>
                <w:lang w:val="en-US" w:eastAsia="zh-CN"/>
              </w:rPr>
            </w:pPr>
          </w:p>
        </w:tc>
        <w:tc>
          <w:tcPr>
            <w:tcW w:w="3774" w:type="dxa"/>
            <w:gridSpan w:val="5"/>
            <w:vAlign w:val="center"/>
          </w:tcPr>
          <w:p>
            <w:pPr>
              <w:keepNext w:val="0"/>
              <w:keepLines w:val="0"/>
              <w:suppressLineNumbers w:val="0"/>
              <w:autoSpaceDN w:val="0"/>
              <w:spacing w:before="0" w:beforeAutospacing="0" w:after="0" w:afterAutospacing="0" w:line="320" w:lineRule="exact"/>
              <w:ind w:left="0" w:leftChars="0" w:right="0" w:rightChars="0"/>
              <w:jc w:val="both"/>
              <w:textAlignment w:val="center"/>
              <w:rPr>
                <w:rFonts w:hint="default" w:ascii="仿宋_GB2312" w:hAnsi="仿宋_GB2312" w:eastAsia="仿宋_GB2312" w:cs="仿宋_GB2312"/>
                <w:color w:val="000000"/>
                <w:kern w:val="2"/>
                <w:sz w:val="24"/>
                <w:szCs w:val="24"/>
                <w:lang w:val="en-US" w:eastAsia="zh-CN" w:bidi="ar"/>
              </w:rPr>
            </w:pPr>
          </w:p>
        </w:tc>
        <w:tc>
          <w:tcPr>
            <w:tcW w:w="1479" w:type="dxa"/>
            <w:vAlign w:val="center"/>
          </w:tcPr>
          <w:p>
            <w:pPr>
              <w:keepNext w:val="0"/>
              <w:keepLines w:val="0"/>
              <w:suppressLineNumbers w:val="0"/>
              <w:autoSpaceDN w:val="0"/>
              <w:spacing w:before="0" w:beforeAutospacing="0" w:after="0" w:afterAutospacing="0" w:line="320" w:lineRule="exact"/>
              <w:ind w:left="0" w:leftChars="0" w:right="0" w:rightChars="0"/>
              <w:jc w:val="both"/>
              <w:textAlignment w:val="center"/>
              <w:rPr>
                <w:rFonts w:hint="default" w:ascii="仿宋_GB2312" w:hAnsi="仿宋_GB2312" w:eastAsia="仿宋_GB2312" w:cs="仿宋_GB2312"/>
                <w:color w:val="000000"/>
                <w:kern w:val="2"/>
                <w:sz w:val="24"/>
                <w:szCs w:val="24"/>
                <w:lang w:val="en-US" w:eastAsia="zh-CN" w:bidi="ar"/>
              </w:rPr>
            </w:pPr>
          </w:p>
        </w:tc>
        <w:tc>
          <w:tcPr>
            <w:tcW w:w="3106" w:type="dxa"/>
            <w:gridSpan w:val="8"/>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348" w:type="dxa"/>
            <w:vAlign w:val="center"/>
          </w:tcPr>
          <w:p>
            <w:pPr>
              <w:keepNext w:val="0"/>
              <w:keepLines w:val="0"/>
              <w:suppressLineNumbers w:val="0"/>
              <w:autoSpaceDN w:val="0"/>
              <w:spacing w:before="0" w:beforeAutospacing="0" w:after="0" w:afterAutospacing="0" w:line="320" w:lineRule="exact"/>
              <w:ind w:left="0" w:leftChars="0" w:right="0" w:rightChars="0"/>
              <w:jc w:val="both"/>
              <w:textAlignment w:val="center"/>
              <w:rPr>
                <w:rFonts w:hint="default" w:ascii="仿宋_GB2312" w:hAnsi="仿宋_GB2312" w:eastAsia="仿宋_GB2312" w:cs="仿宋_GB2312"/>
                <w:color w:val="000000"/>
                <w:sz w:val="24"/>
                <w:lang w:val="en-US" w:eastAsia="zh-CN"/>
              </w:rPr>
            </w:pPr>
          </w:p>
        </w:tc>
        <w:tc>
          <w:tcPr>
            <w:tcW w:w="3774" w:type="dxa"/>
            <w:gridSpan w:val="5"/>
            <w:vAlign w:val="center"/>
          </w:tcPr>
          <w:p>
            <w:pPr>
              <w:keepNext w:val="0"/>
              <w:keepLines w:val="0"/>
              <w:suppressLineNumbers w:val="0"/>
              <w:autoSpaceDN w:val="0"/>
              <w:spacing w:before="0" w:beforeAutospacing="0" w:after="0" w:afterAutospacing="0" w:line="320" w:lineRule="exact"/>
              <w:ind w:left="0" w:leftChars="0" w:right="0" w:rightChars="0"/>
              <w:jc w:val="both"/>
              <w:textAlignment w:val="center"/>
              <w:rPr>
                <w:rFonts w:hint="eastAsia" w:ascii="仿宋_GB2312" w:hAnsi="仿宋_GB2312" w:eastAsia="仿宋_GB2312" w:cs="仿宋_GB2312"/>
                <w:color w:val="000000"/>
                <w:sz w:val="24"/>
                <w:lang w:val="en-US" w:eastAsia="zh-CN"/>
              </w:rPr>
            </w:pPr>
          </w:p>
        </w:tc>
        <w:tc>
          <w:tcPr>
            <w:tcW w:w="1479" w:type="dxa"/>
            <w:vAlign w:val="center"/>
          </w:tcPr>
          <w:p>
            <w:pPr>
              <w:keepNext w:val="0"/>
              <w:keepLines w:val="0"/>
              <w:suppressLineNumbers w:val="0"/>
              <w:autoSpaceDN w:val="0"/>
              <w:spacing w:before="0" w:beforeAutospacing="0" w:after="0" w:afterAutospacing="0" w:line="320" w:lineRule="exact"/>
              <w:ind w:left="0" w:leftChars="0" w:right="0" w:rightChars="0"/>
              <w:jc w:val="both"/>
              <w:textAlignment w:val="center"/>
              <w:rPr>
                <w:rFonts w:hint="default" w:ascii="仿宋_GB2312" w:hAnsi="仿宋_GB2312" w:eastAsia="仿宋_GB2312" w:cs="仿宋_GB2312"/>
                <w:color w:val="000000"/>
                <w:sz w:val="24"/>
                <w:lang w:val="en-US" w:eastAsia="zh-CN"/>
              </w:rPr>
            </w:pPr>
          </w:p>
        </w:tc>
        <w:tc>
          <w:tcPr>
            <w:tcW w:w="3106" w:type="dxa"/>
            <w:gridSpan w:val="8"/>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707" w:type="dxa"/>
            <w:gridSpan w:val="15"/>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707" w:type="dxa"/>
            <w:gridSpan w:val="15"/>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707" w:type="dxa"/>
            <w:gridSpan w:val="15"/>
            <w:vAlign w:val="center"/>
          </w:tcPr>
          <w:p>
            <w:pPr>
              <w:keepNext w:val="0"/>
              <w:keepLines w:val="0"/>
              <w:suppressLineNumbers w:val="0"/>
              <w:spacing w:before="0" w:beforeAutospacing="0" w:after="0" w:afterAutospacing="0" w:line="320" w:lineRule="exact"/>
              <w:ind w:left="0" w:right="0"/>
              <w:rPr>
                <w:rFonts w:hint="default" w:eastAsia="仿宋_GB2312"/>
                <w:sz w:val="24"/>
              </w:rPr>
            </w:pPr>
            <w:r>
              <w:rPr>
                <w:rFonts w:hint="eastAsia" w:eastAsia="仿宋_GB2312"/>
                <w:sz w:val="24"/>
              </w:rPr>
              <w:t>财政部门归口业务科室意见：</w:t>
            </w:r>
          </w:p>
          <w:p>
            <w:pPr>
              <w:keepNext w:val="0"/>
              <w:keepLines w:val="0"/>
              <w:suppressLineNumbers w:val="0"/>
              <w:spacing w:before="0" w:beforeAutospacing="0" w:after="0" w:afterAutospacing="0" w:line="320" w:lineRule="exact"/>
              <w:ind w:left="0" w:right="0"/>
              <w:rPr>
                <w:rFonts w:hint="default" w:eastAsia="仿宋_GB2312"/>
                <w:sz w:val="24"/>
              </w:rPr>
            </w:pPr>
          </w:p>
          <w:p>
            <w:pPr>
              <w:keepNext w:val="0"/>
              <w:keepLines w:val="0"/>
              <w:suppressLineNumbers w:val="0"/>
              <w:spacing w:before="0" w:beforeAutospacing="0" w:after="0" w:afterAutospacing="0" w:line="320" w:lineRule="exact"/>
              <w:ind w:left="0" w:right="0"/>
              <w:rPr>
                <w:rFonts w:hint="default" w:eastAsia="仿宋_GB2312"/>
                <w:sz w:val="24"/>
              </w:rPr>
            </w:pPr>
          </w:p>
          <w:p>
            <w:pPr>
              <w:keepNext w:val="0"/>
              <w:keepLines w:val="0"/>
              <w:suppressLineNumbers w:val="0"/>
              <w:spacing w:before="0" w:beforeAutospacing="0" w:after="0" w:afterAutospacing="0" w:line="320" w:lineRule="exact"/>
              <w:ind w:left="0" w:right="0"/>
              <w:rPr>
                <w:rFonts w:hint="default" w:eastAsia="仿宋_GB2312"/>
                <w:sz w:val="24"/>
              </w:rPr>
            </w:pPr>
          </w:p>
          <w:p>
            <w:pPr>
              <w:keepNext w:val="0"/>
              <w:keepLines w:val="0"/>
              <w:suppressLineNumbers w:val="0"/>
              <w:spacing w:before="0" w:beforeAutospacing="0" w:after="0" w:afterAutospacing="0" w:line="320" w:lineRule="exact"/>
              <w:ind w:left="0" w:right="0"/>
              <w:rPr>
                <w:rFonts w:hint="default" w:eastAsia="仿宋_GB2312"/>
                <w:sz w:val="24"/>
              </w:rPr>
            </w:pPr>
          </w:p>
          <w:p>
            <w:pPr>
              <w:keepNext w:val="0"/>
              <w:keepLines w:val="0"/>
              <w:suppressLineNumbers w:val="0"/>
              <w:spacing w:before="0" w:beforeAutospacing="0" w:after="0" w:afterAutospacing="0" w:line="320" w:lineRule="exact"/>
              <w:ind w:left="0" w:right="0"/>
              <w:rPr>
                <w:rFonts w:hint="default" w:eastAsia="仿宋_GB2312"/>
                <w:sz w:val="24"/>
              </w:rPr>
            </w:pPr>
            <w:r>
              <w:rPr>
                <w:rFonts w:hint="eastAsia" w:eastAsia="仿宋_GB2312"/>
                <w:sz w:val="24"/>
              </w:rPr>
              <w:t xml:space="preserve">                                  财政部门归口业务科室负责人（签章）：</w:t>
            </w: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r>
              <w:rPr>
                <w:rFonts w:hint="eastAsia" w:eastAsia="仿宋_GB2312"/>
                <w:sz w:val="24"/>
              </w:rPr>
              <w:t xml:space="preserve">                                                                 年    月   日</w:t>
            </w:r>
          </w:p>
        </w:tc>
      </w:tr>
    </w:tbl>
    <w:p>
      <w:pPr>
        <w:rPr>
          <w:rFonts w:hint="default" w:ascii="仿宋_GB2312" w:hAnsi="仿宋_GB2312" w:eastAsia="仿宋_GB2312" w:cs="仿宋_GB2312"/>
          <w:bCs/>
          <w:sz w:val="28"/>
          <w:szCs w:val="28"/>
          <w:lang w:val="en-US" w:eastAsia="zh-CN"/>
        </w:rPr>
      </w:pPr>
      <w:r>
        <w:rPr>
          <w:rFonts w:hint="eastAsia" w:eastAsia="仿宋_GB2312" w:cs="仿宋_GB2312"/>
          <w:bCs/>
          <w:sz w:val="28"/>
          <w:szCs w:val="28"/>
        </w:rPr>
        <w:t>填报人（签名）：                          联系电话：</w:t>
      </w:r>
      <w:r>
        <w:rPr>
          <w:rFonts w:hint="eastAsia" w:ascii="仿宋_GB2312" w:hAnsi="仿宋_GB2312" w:eastAsia="仿宋_GB2312" w:cs="仿宋_GB2312"/>
          <w:bCs/>
          <w:sz w:val="28"/>
          <w:szCs w:val="28"/>
          <w:lang w:val="en-US" w:eastAsia="zh-CN"/>
        </w:rPr>
        <w:t>8251770</w:t>
      </w:r>
    </w:p>
    <w:tbl>
      <w:tblPr>
        <w:tblStyle w:val="10"/>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04" w:type="dxa"/>
          </w:tcPr>
          <w:p>
            <w:pPr>
              <w:keepNext w:val="0"/>
              <w:keepLines w:val="0"/>
              <w:suppressLineNumbers w:val="0"/>
              <w:spacing w:before="0" w:beforeAutospacing="0" w:after="0" w:afterAutospacing="0"/>
              <w:ind w:left="0" w:right="0"/>
              <w:jc w:val="center"/>
              <w:rPr>
                <w:rFonts w:hint="default" w:ascii="黑体" w:hAnsi="黑体" w:eastAsia="黑体" w:cs="黑体"/>
                <w:bCs/>
                <w:sz w:val="28"/>
                <w:szCs w:val="28"/>
              </w:rPr>
            </w:pPr>
            <w:r>
              <w:rPr>
                <w:rFonts w:hint="eastAsia" w:ascii="黑体" w:hAnsi="黑体" w:eastAsia="黑体" w:cs="黑体"/>
                <w:bCs/>
                <w:sz w:val="28"/>
                <w:szCs w:val="28"/>
              </w:rPr>
              <w:t>五、评价报告综述（文字部分）</w:t>
            </w:r>
          </w:p>
          <w:p>
            <w:pPr>
              <w:keepNext w:val="0"/>
              <w:keepLines w:val="0"/>
              <w:suppressLineNumbers w:val="0"/>
              <w:spacing w:before="0" w:beforeAutospacing="0" w:after="0" w:afterAutospacing="0" w:line="440" w:lineRule="exact"/>
              <w:ind w:left="0" w:right="0" w:firstLine="640" w:firstLineChars="200"/>
              <w:rPr>
                <w:rFonts w:hint="default" w:eastAsia="仿宋_GB2312"/>
                <w:sz w:val="32"/>
                <w:szCs w:val="32"/>
              </w:rPr>
            </w:pPr>
          </w:p>
          <w:p>
            <w:pPr>
              <w:keepNext w:val="0"/>
              <w:keepLines w:val="0"/>
              <w:suppressLineNumbers w:val="0"/>
              <w:spacing w:before="0" w:beforeAutospacing="0" w:after="0" w:afterAutospacing="0" w:line="560" w:lineRule="exact"/>
              <w:ind w:left="0" w:right="0" w:firstLine="560" w:firstLineChars="200"/>
              <w:rPr>
                <w:rFonts w:hint="default" w:ascii="黑体" w:hAnsi="黑体" w:eastAsia="黑体" w:cs="黑体"/>
                <w:bCs/>
                <w:sz w:val="28"/>
                <w:szCs w:val="28"/>
              </w:rPr>
            </w:pPr>
            <w:r>
              <w:rPr>
                <w:rFonts w:hint="eastAsia" w:ascii="黑体" w:hAnsi="黑体" w:eastAsia="黑体" w:cs="黑体"/>
                <w:bCs/>
                <w:sz w:val="28"/>
                <w:szCs w:val="28"/>
              </w:rPr>
              <w:t>一、部门（单位）概况</w:t>
            </w:r>
          </w:p>
          <w:p>
            <w:pPr>
              <w:keepNext w:val="0"/>
              <w:keepLines w:val="0"/>
              <w:suppressLineNumbers w:val="0"/>
              <w:spacing w:before="0" w:beforeAutospacing="0" w:after="0" w:afterAutospacing="0" w:line="560" w:lineRule="exact"/>
              <w:ind w:left="0" w:righ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keepNext w:val="0"/>
              <w:keepLines w:val="0"/>
              <w:suppressLineNumbers w:val="0"/>
              <w:spacing w:before="0" w:beforeAutospacing="0" w:after="0" w:afterAutospacing="0" w:line="560" w:lineRule="exact"/>
              <w:ind w:left="0" w:right="0" w:firstLine="480" w:firstLineChars="200"/>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岳阳市医疗保障局（以下简称市医保局）是市政府工作部门，为正处级，成立于2019年3月。市医保局贯彻落实党中央、省委关于医疗保障工作的方针政策和决策部署，全面落实市委、市政府关于医疗保障工作的部署要求，在履行职责过程中坚持和加强党对医疗保障工作的集中统一领导。我局下属两个二级单位：岳阳市医疗保障事务中心、岳阳市医疗保障稽核中心，均为非独立核算预算单位，统一在市医保局局机关核算。</w:t>
            </w:r>
          </w:p>
          <w:p>
            <w:pPr>
              <w:keepNext w:val="0"/>
              <w:keepLines w:val="0"/>
              <w:numPr>
                <w:ilvl w:val="0"/>
                <w:numId w:val="5"/>
              </w:numPr>
              <w:suppressLineNumbers w:val="0"/>
              <w:spacing w:before="0" w:beforeAutospacing="0" w:after="0" w:afterAutospacing="0" w:line="560" w:lineRule="exact"/>
              <w:ind w:left="0" w:righ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keepNext w:val="0"/>
              <w:keepLines w:val="0"/>
              <w:suppressLineNumbers w:val="0"/>
              <w:spacing w:before="0" w:beforeAutospacing="0" w:after="0" w:afterAutospacing="0" w:line="560" w:lineRule="exact"/>
              <w:ind w:left="0" w:right="0" w:firstLine="480" w:firstLineChars="200"/>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2021年决算总支出为2042.46万，其中基本支出1308.21万，占总支出64.05%；人员支出1121.27万，占基本支出的85.71%；公用经费支出185.98万,占基本支出的14.21%；项目支出为734.25万。</w:t>
            </w:r>
          </w:p>
          <w:p>
            <w:pPr>
              <w:keepNext w:val="0"/>
              <w:keepLines w:val="0"/>
              <w:suppressLineNumbers w:val="0"/>
              <w:spacing w:before="0" w:beforeAutospacing="0" w:after="0" w:afterAutospacing="0" w:line="560" w:lineRule="exact"/>
              <w:ind w:left="0" w:right="0" w:firstLine="560" w:firstLineChars="200"/>
              <w:rPr>
                <w:rFonts w:hint="default" w:ascii="黑体" w:hAnsi="黑体" w:eastAsia="黑体" w:cs="黑体"/>
                <w:bCs/>
                <w:sz w:val="28"/>
                <w:szCs w:val="28"/>
              </w:rPr>
            </w:pPr>
            <w:r>
              <w:rPr>
                <w:rFonts w:hint="eastAsia" w:ascii="黑体" w:hAnsi="黑体" w:eastAsia="黑体" w:cs="黑体"/>
                <w:bCs/>
                <w:sz w:val="28"/>
                <w:szCs w:val="28"/>
              </w:rPr>
              <w:t>二、部门（单位）整体支出管理及使用情况</w:t>
            </w:r>
          </w:p>
          <w:p>
            <w:pPr>
              <w:keepNext w:val="0"/>
              <w:keepLines w:val="0"/>
              <w:suppressLineNumbers w:val="0"/>
              <w:spacing w:before="0" w:beforeAutospacing="0" w:after="0" w:afterAutospacing="0" w:line="560" w:lineRule="exact"/>
              <w:ind w:left="0" w:righ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keepNext w:val="0"/>
              <w:keepLines w:val="0"/>
              <w:suppressLineNumbers w:val="0"/>
              <w:spacing w:before="0" w:beforeAutospacing="0" w:after="0" w:afterAutospacing="0" w:line="560" w:lineRule="exact"/>
              <w:ind w:left="0" w:right="0" w:firstLine="480" w:firstLineChars="200"/>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基本支出主要是保障机构正常运转、完成日常工作任务而发生的各项支出，包括在职和退休人员工资福利支出、三公经费、水电、办公经费等商品和服务支出。</w:t>
            </w:r>
          </w:p>
          <w:p>
            <w:pPr>
              <w:keepNext w:val="0"/>
              <w:keepLines w:val="0"/>
              <w:suppressLineNumbers w:val="0"/>
              <w:spacing w:before="0" w:beforeAutospacing="0" w:after="0" w:afterAutospacing="0" w:line="560" w:lineRule="exact"/>
              <w:ind w:left="0" w:right="0" w:firstLine="480" w:firstLineChars="200"/>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1、基本支出具体使用情况：工资福利支出为1083.89万；商品和服务支出为185.98万；对个人和家庭的补助为37.38万；资本性支出为0.96万。</w:t>
            </w:r>
          </w:p>
          <w:p>
            <w:pPr>
              <w:keepNext w:val="0"/>
              <w:keepLines w:val="0"/>
              <w:suppressLineNumbers w:val="0"/>
              <w:spacing w:before="0" w:beforeAutospacing="0" w:after="0" w:afterAutospacing="0" w:line="560" w:lineRule="exact"/>
              <w:ind w:left="0" w:right="0" w:firstLine="480" w:firstLineChars="200"/>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2、三公经费具体支出情况：我局2021年三公经费总支出为8.07万，其中公务接待费5.29万；公务用车购置及运行维护费2.78万，因公出国(境)支出0万。</w:t>
            </w:r>
          </w:p>
          <w:p>
            <w:pPr>
              <w:keepNext w:val="0"/>
              <w:keepLines w:val="0"/>
              <w:suppressLineNumbers w:val="0"/>
              <w:spacing w:before="0" w:beforeAutospacing="0" w:after="0" w:afterAutospacing="0" w:line="560" w:lineRule="exact"/>
              <w:ind w:left="0" w:right="0" w:firstLine="560" w:firstLineChars="200"/>
              <w:rPr>
                <w:rFonts w:hint="default"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keepNext w:val="0"/>
              <w:keepLines w:val="0"/>
              <w:suppressLineNumbers w:val="0"/>
              <w:spacing w:before="0" w:beforeAutospacing="0" w:after="0" w:afterAutospacing="0" w:line="560" w:lineRule="exact"/>
              <w:ind w:left="0" w:righ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keepNext w:val="0"/>
              <w:keepLines w:val="0"/>
              <w:suppressLineNumbers w:val="0"/>
              <w:spacing w:before="0" w:beforeAutospacing="0" w:after="0" w:afterAutospacing="0" w:line="560" w:lineRule="exact"/>
              <w:ind w:left="0" w:right="0" w:firstLine="480" w:firstLineChars="200"/>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2021年共安排专项资金781.61万，主要是2021年医疗保障目标管理经费232万，2020年医疗保障目标管理经费结转229.9万，第三方监管服务经费84.93万，中央补助医疗服务保障能力提升经费142.3万，基本医疗保险市级统筹奖补资金88万，办案费超收安排支出4.48万。</w:t>
            </w:r>
          </w:p>
          <w:p>
            <w:pPr>
              <w:keepNext w:val="0"/>
              <w:keepLines w:val="0"/>
              <w:numPr>
                <w:ilvl w:val="0"/>
                <w:numId w:val="6"/>
              </w:numPr>
              <w:suppressLineNumbers w:val="0"/>
              <w:spacing w:before="0" w:beforeAutospacing="0" w:after="0" w:afterAutospacing="0" w:line="560" w:lineRule="exact"/>
              <w:ind w:left="0" w:righ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专项资金实际使用情况分析</w:t>
            </w:r>
          </w:p>
          <w:p>
            <w:pPr>
              <w:keepNext w:val="0"/>
              <w:keepLines w:val="0"/>
              <w:suppressLineNumbers w:val="0"/>
              <w:spacing w:before="0" w:beforeAutospacing="0" w:after="0" w:afterAutospacing="0" w:line="560" w:lineRule="exact"/>
              <w:ind w:left="0" w:right="0" w:firstLine="48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4"/>
                <w:szCs w:val="24"/>
                <w:lang w:val="en-US" w:eastAsia="zh-CN"/>
              </w:rPr>
              <w:t>2021年共支出专项资金734.25万，基本医疗市级统筹奖补资金因在12月资金才到账，结余47.36万，其余专项资金全部使用完毕。</w:t>
            </w:r>
          </w:p>
          <w:p>
            <w:pPr>
              <w:keepNext w:val="0"/>
              <w:keepLines w:val="0"/>
              <w:numPr>
                <w:ilvl w:val="0"/>
                <w:numId w:val="6"/>
              </w:numPr>
              <w:suppressLineNumbers w:val="0"/>
              <w:spacing w:before="0" w:beforeAutospacing="0" w:after="0" w:afterAutospacing="0" w:line="560" w:lineRule="exact"/>
              <w:ind w:left="0" w:leftChars="0" w:righ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专项资金管理情况分析</w:t>
            </w:r>
          </w:p>
          <w:p>
            <w:pPr>
              <w:keepNext w:val="0"/>
              <w:keepLines w:val="0"/>
              <w:suppressLineNumbers w:val="0"/>
              <w:spacing w:before="0" w:beforeAutospacing="0" w:after="0" w:afterAutospacing="0" w:line="560" w:lineRule="exact"/>
              <w:ind w:left="0" w:right="0" w:firstLine="480" w:firstLineChars="200"/>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专项资金实行综合预算，量入为出，专款专用，确保工作顺利开展。制定专项资金管理办法，规范专项资金使用；严格政府采购程序，做到按章办事，规范操作。</w:t>
            </w:r>
          </w:p>
          <w:p>
            <w:pPr>
              <w:keepNext w:val="0"/>
              <w:keepLines w:val="0"/>
              <w:suppressLineNumbers w:val="0"/>
              <w:spacing w:before="0" w:beforeAutospacing="0" w:after="0" w:afterAutospacing="0" w:line="560" w:lineRule="exact"/>
              <w:ind w:left="0" w:right="0" w:firstLine="560" w:firstLineChars="200"/>
              <w:rPr>
                <w:rFonts w:hint="default" w:ascii="黑体" w:hAnsi="黑体" w:eastAsia="黑体" w:cs="黑体"/>
                <w:bCs/>
                <w:sz w:val="28"/>
                <w:szCs w:val="28"/>
              </w:rPr>
            </w:pPr>
            <w:r>
              <w:rPr>
                <w:rFonts w:hint="eastAsia" w:ascii="黑体" w:hAnsi="黑体" w:eastAsia="黑体" w:cs="黑体"/>
                <w:bCs/>
                <w:sz w:val="28"/>
                <w:szCs w:val="28"/>
              </w:rPr>
              <w:t>三、部门（单位）专项组织实施情况</w:t>
            </w:r>
          </w:p>
          <w:p>
            <w:pPr>
              <w:keepNext w:val="0"/>
              <w:keepLines w:val="0"/>
              <w:suppressLineNumbers w:val="0"/>
              <w:spacing w:before="0" w:beforeAutospacing="0" w:after="0" w:afterAutospacing="0" w:line="560" w:lineRule="exact"/>
              <w:ind w:left="0" w:righ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keepNext w:val="0"/>
              <w:keepLines w:val="0"/>
              <w:suppressLineNumbers w:val="0"/>
              <w:spacing w:before="0" w:beforeAutospacing="0" w:after="0" w:afterAutospacing="0" w:line="560" w:lineRule="exact"/>
              <w:ind w:left="0" w:right="0" w:firstLine="480" w:firstLineChars="200"/>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严格专项资金管理，成立预算绩效管理小组，具体负责实施。专项组织情况：</w:t>
            </w:r>
          </w:p>
          <w:p>
            <w:pPr>
              <w:keepNext w:val="0"/>
              <w:keepLines w:val="0"/>
              <w:suppressLineNumbers w:val="0"/>
              <w:spacing w:before="0" w:beforeAutospacing="0" w:after="0" w:afterAutospacing="0" w:line="560" w:lineRule="exact"/>
              <w:ind w:left="0" w:right="0" w:firstLine="480" w:firstLineChars="200"/>
              <w:rPr>
                <w:rFonts w:hint="default"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组长：张世愚</w:t>
            </w:r>
          </w:p>
          <w:p>
            <w:pPr>
              <w:keepNext w:val="0"/>
              <w:keepLines w:val="0"/>
              <w:suppressLineNumbers w:val="0"/>
              <w:spacing w:before="0" w:beforeAutospacing="0" w:after="0" w:afterAutospacing="0" w:line="560" w:lineRule="exact"/>
              <w:ind w:left="0" w:right="0" w:firstLine="480" w:firstLineChars="200"/>
              <w:rPr>
                <w:rFonts w:hint="default"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副组长：李胜军、徐焕斌、胡晓华、谭星</w:t>
            </w:r>
          </w:p>
          <w:p>
            <w:pPr>
              <w:keepNext w:val="0"/>
              <w:keepLines w:val="0"/>
              <w:suppressLineNumbers w:val="0"/>
              <w:spacing w:before="0" w:beforeAutospacing="0" w:after="0" w:afterAutospacing="0" w:line="560" w:lineRule="exact"/>
              <w:ind w:left="0" w:right="0" w:firstLine="480" w:firstLineChars="200"/>
              <w:rPr>
                <w:rFonts w:hint="default" w:ascii="仿宋_GB2312" w:hAnsi="仿宋_GB2312" w:eastAsia="仿宋_GB2312" w:cs="仿宋_GB2312"/>
                <w:bCs/>
                <w:color w:val="4F81BD" w:themeColor="accent1"/>
                <w:sz w:val="24"/>
                <w:szCs w:val="24"/>
                <w:lang w:val="en-US" w:eastAsia="zh-CN"/>
                <w14:textFill>
                  <w14:solidFill>
                    <w14:schemeClr w14:val="accent1"/>
                  </w14:solidFill>
                </w14:textFill>
              </w:rPr>
            </w:pPr>
            <w:r>
              <w:rPr>
                <w:rFonts w:hint="eastAsia" w:ascii="仿宋_GB2312" w:hAnsi="仿宋_GB2312" w:eastAsia="仿宋_GB2312" w:cs="仿宋_GB2312"/>
                <w:bCs/>
                <w:color w:val="auto"/>
                <w:sz w:val="24"/>
                <w:szCs w:val="24"/>
                <w:lang w:val="en-US" w:eastAsia="zh-CN"/>
              </w:rPr>
              <w:t>组员：孙吉、康云华、陈连峰、石磊、</w:t>
            </w:r>
            <w:bookmarkStart w:id="0" w:name="_GoBack"/>
            <w:bookmarkEnd w:id="0"/>
            <w:r>
              <w:rPr>
                <w:rFonts w:hint="eastAsia" w:ascii="仿宋_GB2312" w:hAnsi="仿宋_GB2312" w:eastAsia="仿宋_GB2312" w:cs="仿宋_GB2312"/>
                <w:bCs/>
                <w:color w:val="auto"/>
                <w:sz w:val="24"/>
                <w:szCs w:val="24"/>
                <w:lang w:val="en-US" w:eastAsia="zh-CN"/>
              </w:rPr>
              <w:t>刘隽夫、陈志宇、宾黎、方维略</w:t>
            </w:r>
          </w:p>
          <w:p>
            <w:pPr>
              <w:keepNext w:val="0"/>
              <w:keepLines w:val="0"/>
              <w:numPr>
                <w:ilvl w:val="0"/>
                <w:numId w:val="0"/>
              </w:numPr>
              <w:suppressLineNumbers w:val="0"/>
              <w:spacing w:before="0" w:beforeAutospacing="0" w:after="0" w:afterAutospacing="0" w:line="560" w:lineRule="exact"/>
              <w:ind w:left="420" w:leftChars="200" w:right="0" w:rightChars="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二</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专项管理情况分析</w:t>
            </w:r>
          </w:p>
          <w:p>
            <w:pPr>
              <w:keepNext w:val="0"/>
              <w:keepLines w:val="0"/>
              <w:suppressLineNumbers w:val="0"/>
              <w:spacing w:before="0" w:beforeAutospacing="0" w:after="0" w:afterAutospacing="0" w:line="560" w:lineRule="exact"/>
              <w:ind w:left="0" w:right="0" w:firstLine="480" w:firstLineChars="200"/>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建立健全了财务管理制度且得到有效执行；支出符合国家财经法规和财务管理制度规定以及有关专项资金的管理办法的规定，资金使用有完整的审批程序和手续；资金使用无截留、挤占、挪用、虚列支出等情况。</w:t>
            </w:r>
          </w:p>
          <w:p>
            <w:pPr>
              <w:keepNext w:val="0"/>
              <w:keepLines w:val="0"/>
              <w:numPr>
                <w:ilvl w:val="0"/>
                <w:numId w:val="7"/>
              </w:numPr>
              <w:suppressLineNumbers w:val="0"/>
              <w:spacing w:before="0" w:beforeAutospacing="0" w:after="0" w:afterAutospacing="0" w:line="560" w:lineRule="exact"/>
              <w:ind w:left="0" w:right="0"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一、努力真抓实干，全面落实督查激励措施。制定了《2021年度全市医保系统真抓实干做实医保市级统筹工作考评方案》，强化工作措施，狠抓任务落实，圆满完成了全年目标任务。一是实现了参保全覆盖。2021度全市基本医疗保险参保人数549.73万人，常住人口参保率108.82%；落实脱贫人口、低保对象、特困人员、重度残疾人等困难群众资助参保38.7万人，未参保困难群众动态清零。二是落实了“两病”用药保障。截至11月底，共落实城乡居民参保人员享受高血压门诊待遇38.39万人，享受糖尿病门诊待遇14.01万人，其中纳入基层卫生机构规范化管理的城乡居民参保“两病”患者29.62万人全部按政策享受待遇。三是强化了医保基金监管。2021年以来，严格按照省市要求，开展了打击欺诈骗保套保挪用贪占医保基金集中整治，采取督促医药机构自查自纠、交叉飞行检查等形式，今年以来，我局将维护医保基金安全作为重要政治任务，建立健全严密有力的基金监管机制，始终保持打击欺诈骗保的高压态势。全市通过自查和排查，发现各类问题线索1663条，立行立改1324条，立案130起，暂停医保协议5家，解除医保协议29家，移送公安机关案件11起、纪检监察机关6起、卫健部门8起，追回违规资金3360.07万元。四是在全省率先建立医保基金运行风险预警机制。</w:t>
            </w:r>
            <w:r>
              <w:rPr>
                <w:rFonts w:hint="default" w:ascii="仿宋_GB2312" w:hAnsi="仿宋_GB2312" w:eastAsia="仿宋_GB2312" w:cs="仿宋_GB2312"/>
                <w:bCs/>
                <w:kern w:val="2"/>
                <w:sz w:val="24"/>
                <w:szCs w:val="24"/>
                <w:lang w:val="en-US" w:eastAsia="zh-CN" w:bidi="ar-SA"/>
              </w:rPr>
              <w:t>11月17日</w:t>
            </w:r>
            <w:r>
              <w:rPr>
                <w:rFonts w:hint="eastAsia" w:ascii="仿宋_GB2312" w:hAnsi="仿宋_GB2312" w:eastAsia="仿宋_GB2312" w:cs="仿宋_GB2312"/>
                <w:bCs/>
                <w:kern w:val="2"/>
                <w:sz w:val="24"/>
                <w:szCs w:val="24"/>
                <w:lang w:val="en-US" w:eastAsia="zh-CN" w:bidi="ar-SA"/>
              </w:rPr>
              <w:t>，市人民</w:t>
            </w:r>
            <w:r>
              <w:rPr>
                <w:rFonts w:hint="default" w:ascii="仿宋_GB2312" w:hAnsi="仿宋_GB2312" w:eastAsia="仿宋_GB2312" w:cs="仿宋_GB2312"/>
                <w:bCs/>
                <w:kern w:val="2"/>
                <w:sz w:val="24"/>
                <w:szCs w:val="24"/>
                <w:lang w:val="en-US" w:eastAsia="zh-CN" w:bidi="ar-SA"/>
              </w:rPr>
              <w:t>政府</w:t>
            </w:r>
            <w:r>
              <w:rPr>
                <w:rFonts w:hint="eastAsia" w:ascii="仿宋_GB2312" w:hAnsi="仿宋_GB2312" w:eastAsia="仿宋_GB2312" w:cs="仿宋_GB2312"/>
                <w:bCs/>
                <w:kern w:val="2"/>
                <w:sz w:val="24"/>
                <w:szCs w:val="24"/>
                <w:lang w:val="en-US" w:eastAsia="zh-CN" w:bidi="ar-SA"/>
              </w:rPr>
              <w:t>市长李爱武主持召开第60次市政府</w:t>
            </w:r>
            <w:r>
              <w:rPr>
                <w:rFonts w:hint="default" w:ascii="仿宋_GB2312" w:hAnsi="仿宋_GB2312" w:eastAsia="仿宋_GB2312" w:cs="仿宋_GB2312"/>
                <w:bCs/>
                <w:kern w:val="2"/>
                <w:sz w:val="24"/>
                <w:szCs w:val="24"/>
                <w:lang w:val="en-US" w:eastAsia="zh-CN" w:bidi="ar-SA"/>
              </w:rPr>
              <w:t>常务会议</w:t>
            </w:r>
            <w:r>
              <w:rPr>
                <w:rFonts w:hint="eastAsia" w:ascii="仿宋_GB2312" w:hAnsi="仿宋_GB2312" w:eastAsia="仿宋_GB2312" w:cs="仿宋_GB2312"/>
                <w:bCs/>
                <w:kern w:val="2"/>
                <w:sz w:val="24"/>
                <w:szCs w:val="24"/>
                <w:lang w:val="en-US" w:eastAsia="zh-CN" w:bidi="ar-SA"/>
              </w:rPr>
              <w:t>，</w:t>
            </w:r>
            <w:r>
              <w:rPr>
                <w:rFonts w:hint="default" w:ascii="仿宋_GB2312" w:hAnsi="仿宋_GB2312" w:eastAsia="仿宋_GB2312" w:cs="仿宋_GB2312"/>
                <w:bCs/>
                <w:kern w:val="2"/>
                <w:sz w:val="24"/>
                <w:szCs w:val="24"/>
                <w:lang w:val="en-US" w:eastAsia="zh-CN" w:bidi="ar-SA"/>
              </w:rPr>
              <w:t>审议通过了</w:t>
            </w:r>
            <w:r>
              <w:rPr>
                <w:rFonts w:hint="eastAsia" w:ascii="仿宋_GB2312" w:hAnsi="仿宋_GB2312" w:eastAsia="仿宋_GB2312" w:cs="仿宋_GB2312"/>
                <w:bCs/>
                <w:kern w:val="2"/>
                <w:sz w:val="24"/>
                <w:szCs w:val="24"/>
                <w:lang w:val="en-US" w:eastAsia="zh-CN" w:bidi="ar-SA"/>
              </w:rPr>
              <w:t>《岳阳市基本医疗保险基金运行风险预警制度》。通过建立基本医疗保险基金运行风险预警制度，不仅可以及时发现全市医保基金的运行风险，而且有力强化了属地管理责任。对于医保基金存在支付风险或管理风险的县市区，由市人民政府向县市区人民政府下发医保基金风险预警通知，压实属地政府的责任。对于涉刑案件司法移交和医保内部工作人员违规违法的处置等情况进行监控，做到依法处理到位，责任追究到位。五是推进了国家、省集采药品落地。第一批国家集采药品两个周期完成约定采购量的150.2%和164.2%，第二批国家集采药品完成约定采购量的153.8%，第三批国家集采药品完成约定采购量的142.8%。扎实推进低值耗材集采工作，中选供应商1150家，中选产品数23733个，招标代理费用由1.2%下降至0.95%，耗材价格平均降幅11.84%，实现费用与价格“双下降”。落实集采结余留用政策，拨付第一批国家药品集采结余留用资金275.36万元。我局真抓实干督查激励工作在全省医保系统排名前列。</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default"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二、突出工作重点，全面深化医保制度改革。紧扣医改重点任务，扎实推进医保领域各项重点改革。一是加快医保市级统筹落实落细。印发了《岳阳市基本医疗保险市级统筹实施细则》，统一了全市医疗保障待遇政策，规范了医保经办流程。发挥医保政策调节作用，实施医保差别化支付向基层倾斜，规范进行双向转诊，参保患者一个医保年度内多次住院的，累计起付标准2300元封顶，有力推进分级诊疗制度落地。二是巩固医保脱贫攻坚成果与乡村振兴有效衔接。出台了《关于巩固拓展医疗保障脱贫攻坚成果有效衔接乡村振兴战略的实施方案》，确保贫困人口应保尽保。今年全市贫困人口县域内住院“一站式”结算45218人次，医疗总费用18733.86万元，报销总金额16392.74万元，平均报销比例87.5%。三是完善多层次医疗保障体系。进一步健全完善医疗救助制度，完善医疗救助托底功能，拟订了《岳阳市医疗救助实施细则》。2021年落实医疗救助30.3万人次，其中资助参保20.83万人，门诊和住院医疗救助9.47万人，完成市政府重点民生实事目标任务的113.97%。同时，积极推行普惠型商业补充医疗保险“巴陵e惠保”，让更多的老百姓享受医保实惠。四是深化医疗服务价格改革。取消医用耗材加成政策后，对856项医疗服务价格进行了调整，平均上调13%；新增医疗服务价格项目51个；新增胃息肉等54个单病种，按病种收付费达160个，建立完善了灵敏有度的价格调整机制。</w:t>
            </w:r>
          </w:p>
          <w:p>
            <w:pPr>
              <w:pStyle w:val="2"/>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Cs/>
                <w:kern w:val="2"/>
                <w:sz w:val="24"/>
                <w:szCs w:val="24"/>
                <w:lang w:val="en-US" w:eastAsia="zh-CN" w:bidi="ar-SA"/>
              </w:rPr>
              <w:t>三、积极主动作为，全面落实医保部门职责。一是强化协议管理，落实绩效考核。对市本级72家协议医疗机构和532家协议零售药店执行医保服务协议情况，开展了年度绩效考核，严格按照考核结果兑现奖惩，促进定点医药机构规范诊疗行为。县市区也严格落实协议管理要求，强化协议考核兑现。二是全力助推我市中医药事业振兴发展。出台了《关于加强医疗保障支持中医药传承创新发展若干试行措施的通知》，建立了中医服务的门诊报销机制，降低了中医医院医保报销的起付线（三级医院200元，二级医院100元），提高了中医药服务报销比例5%，调整了部分中医医疗服务项目价格，预计全市各级中医院增收6000万元以上。三是全力保障了新冠疫苗及接种费用。共向省财政专户上解疫苗采购专项资金5.49亿元，累计拨付新冠疫苗接种费用6612.9万元。四是全面改进了医保经办服务。深化“放管服”改革，通过简化异地就医备案手续、全面落实“一件事一次办”、推行“日间手术”、特殊病种门诊群众购药不再定点等有力措施，进一步方便了群众就医购药。五是加快医保信息化建设。稳妥做好国家医保信息平台上线前期基础工作，10月30日我市正式上线后，平台日结算量超2万笔，稳居全省前三位。</w:t>
            </w:r>
            <w:r>
              <w:rPr>
                <w:rFonts w:hint="eastAsia" w:ascii="华文楷体" w:hAnsi="华文楷体" w:eastAsia="华文楷体" w:cs="华文楷体"/>
                <w:b/>
                <w:bCs/>
                <w:color w:val="auto"/>
                <w:sz w:val="32"/>
                <w:szCs w:val="32"/>
                <w:lang w:val="en-US" w:eastAsia="zh-CN"/>
              </w:rPr>
              <w:t xml:space="preserve"> </w:t>
            </w:r>
          </w:p>
          <w:p>
            <w:pPr>
              <w:keepNext w:val="0"/>
              <w:keepLines w:val="0"/>
              <w:suppressLineNumbers w:val="0"/>
              <w:spacing w:before="0" w:beforeAutospacing="0" w:after="0" w:afterAutospacing="0" w:line="560" w:lineRule="exact"/>
              <w:ind w:left="0" w:right="0"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keepNext w:val="0"/>
              <w:keepLines w:val="0"/>
              <w:suppressLineNumbers w:val="0"/>
              <w:spacing w:before="0" w:beforeAutospacing="0" w:after="0" w:afterAutospacing="0" w:line="560" w:lineRule="exact"/>
              <w:ind w:left="0" w:right="0" w:firstLine="480" w:firstLineChars="200"/>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（一）绩效评价制度体系有待完善。因我局成立只有短短3年，缺乏相关绩效评价的知识储备和工作经验，需进一步完善的绩效评价制度体系，相关工作仍在进一步探索中。                                                 （二）绩效评价结果运用有待加强。未能将绩效评价结果与资金分配相挂钩，对绩效评价结果运用不够充分。</w:t>
            </w:r>
          </w:p>
          <w:p>
            <w:pPr>
              <w:keepNext w:val="0"/>
              <w:keepLines w:val="0"/>
              <w:numPr>
                <w:ilvl w:val="0"/>
                <w:numId w:val="0"/>
              </w:numPr>
              <w:suppressLineNumbers w:val="0"/>
              <w:spacing w:before="0" w:beforeAutospacing="0" w:after="0" w:afterAutospacing="0" w:line="560" w:lineRule="exact"/>
              <w:ind w:left="420" w:leftChars="200" w:right="0" w:rightChars="0"/>
              <w:rPr>
                <w:rFonts w:hint="eastAsia" w:ascii="仿宋_GB2312" w:hAnsi="仿宋_GB2312" w:eastAsia="仿宋_GB2312" w:cs="仿宋_GB2312"/>
                <w:bCs/>
                <w:kern w:val="2"/>
                <w:sz w:val="24"/>
                <w:szCs w:val="24"/>
                <w:lang w:val="en-US" w:eastAsia="zh-CN" w:bidi="ar-SA"/>
              </w:rPr>
            </w:pPr>
            <w:r>
              <w:rPr>
                <w:rFonts w:hint="eastAsia" w:ascii="黑体" w:hAnsi="黑体" w:eastAsia="黑体" w:cs="黑体"/>
                <w:bCs/>
                <w:sz w:val="28"/>
                <w:szCs w:val="28"/>
                <w:lang w:val="en-US" w:eastAsia="zh-CN"/>
              </w:rPr>
              <w:t>六、</w:t>
            </w:r>
            <w:r>
              <w:rPr>
                <w:rFonts w:hint="eastAsia" w:ascii="黑体" w:hAnsi="黑体" w:eastAsia="黑体" w:cs="黑体"/>
                <w:bCs/>
                <w:sz w:val="28"/>
                <w:szCs w:val="28"/>
              </w:rPr>
              <w:t>改进措施和有关建议</w:t>
            </w:r>
          </w:p>
          <w:p>
            <w:pPr>
              <w:keepNext w:val="0"/>
              <w:keepLines w:val="0"/>
              <w:numPr>
                <w:ilvl w:val="0"/>
                <w:numId w:val="8"/>
              </w:numPr>
              <w:suppressLineNumbers w:val="0"/>
              <w:spacing w:before="0" w:beforeAutospacing="0" w:after="0" w:afterAutospacing="0" w:line="560" w:lineRule="exact"/>
              <w:ind w:left="0" w:right="0" w:rightChars="0" w:firstLine="480" w:firstLineChars="200"/>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加强预算绩效管理。进一步加强预算资金管理，对预算的事前、事中、事后进行全过程控制，加大对预算编制与执行的监督管理力度，提高预算资金使用效率。同时，提高各单位人员对预算资金使用效益的认识，把预算资金是否发挥使用效益与各岗位是否履职尽责相结合，将预算资金使用的效率和效益作为对各岗位人员工作考核评价的重要内容之一。对经费严格落实“收支两条线”要求，精细测算支出额度，把需求核准核实，充分发挥财政资金的效益。</w:t>
            </w:r>
          </w:p>
          <w:p>
            <w:pPr>
              <w:keepNext w:val="0"/>
              <w:keepLines w:val="0"/>
              <w:numPr>
                <w:ilvl w:val="0"/>
                <w:numId w:val="8"/>
              </w:numPr>
              <w:suppressLineNumbers w:val="0"/>
              <w:spacing w:before="0" w:beforeAutospacing="0" w:after="0" w:afterAutospacing="0" w:line="560" w:lineRule="exact"/>
              <w:ind w:left="0" w:right="0" w:rightChars="0" w:firstLine="480" w:firstLineChars="200"/>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加强绩效评价结果运用。完善绩效评价工作机制，加强对各县区资金使用绩效情况进行评价，并对个别没有达到预期效果的县区实行调减分配资金的方式予以惩罚，充分利用绩效评价结果达到奖优罚劣。</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60" w:lineRule="exact"/>
              <w:ind w:left="0" w:right="0" w:firstLine="480" w:firstLineChars="200"/>
              <w:jc w:val="both"/>
              <w:textAlignment w:val="auto"/>
              <w:rPr>
                <w:rFonts w:hint="default" w:ascii="仿宋_GB2312" w:hAnsi="仿宋_GB2312" w:eastAsia="仿宋_GB2312" w:cs="仿宋_GB2312"/>
                <w:bCs/>
                <w:color w:val="4F81BD" w:themeColor="accent1"/>
                <w:kern w:val="2"/>
                <w:sz w:val="24"/>
                <w:szCs w:val="24"/>
                <w:lang w:val="en-US" w:eastAsia="zh-CN" w:bidi="ar-SA"/>
                <w14:textFill>
                  <w14:solidFill>
                    <w14:schemeClr w14:val="accent1"/>
                  </w14:solidFill>
                </w14:textFill>
              </w:rPr>
            </w:pPr>
          </w:p>
          <w:p>
            <w:pPr>
              <w:keepNext w:val="0"/>
              <w:keepLines w:val="0"/>
              <w:suppressLineNumbers w:val="0"/>
              <w:spacing w:before="0" w:beforeAutospacing="0" w:after="0" w:afterAutospacing="0"/>
              <w:ind w:left="0" w:right="0"/>
              <w:rPr>
                <w:rFonts w:hint="default" w:eastAsia="楷体_GB2312"/>
                <w:bCs/>
                <w:sz w:val="28"/>
                <w:szCs w:val="28"/>
              </w:rPr>
            </w:pPr>
          </w:p>
        </w:tc>
      </w:tr>
    </w:tbl>
    <w:p>
      <w:pPr>
        <w:spacing w:line="348" w:lineRule="auto"/>
        <w:rPr>
          <w:rFonts w:eastAsia="楷体_GB2312"/>
          <w:bCs/>
          <w:sz w:val="28"/>
          <w:szCs w:val="28"/>
        </w:rPr>
      </w:pPr>
    </w:p>
    <w:p>
      <w:pPr>
        <w:rPr>
          <w:rFonts w:hint="default" w:eastAsia="仿宋_GB2312" w:cs="仿宋_GB2312"/>
          <w:bCs/>
          <w:sz w:val="28"/>
          <w:szCs w:val="28"/>
          <w:lang w:val="en-US" w:eastAsia="zh-CN"/>
        </w:rPr>
      </w:pPr>
      <w:r>
        <w:rPr>
          <w:rFonts w:eastAsia="楷体_GB2312"/>
          <w:bCs/>
          <w:sz w:val="28"/>
          <w:szCs w:val="28"/>
        </w:rPr>
        <w:br w:type="page"/>
      </w:r>
    </w:p>
    <w:p>
      <w:pPr>
        <w:rPr>
          <w:rFonts w:ascii="黑体" w:hAnsi="黑体" w:eastAsia="黑体"/>
          <w:sz w:val="32"/>
          <w:szCs w:val="32"/>
        </w:rPr>
      </w:pP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10"/>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春节前下达全部专项资金的50%；6月底前所有专项资金指标全部下达完。</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bidi="ar-SA"/>
              </w:rPr>
              <w:t>2</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略有结余</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④支出符合部门预算批复的用途；</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公务卡刷卡率达50％以上的，得3分。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bl>
    <w:p/>
    <w:tbl>
      <w:tblPr>
        <w:tblStyle w:val="10"/>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过  程</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vMerge w:val="restart"/>
            <w:tcBorders>
              <w:top w:val="nil"/>
              <w:left w:val="nil"/>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15</w:t>
            </w:r>
          </w:p>
        </w:tc>
        <w:tc>
          <w:tcPr>
            <w:tcW w:w="1080" w:type="dxa"/>
            <w:vMerge w:val="restart"/>
            <w:tcBorders>
              <w:top w:val="nil"/>
              <w:left w:val="nil"/>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20" w:type="dxa"/>
            <w:vMerge w:val="continue"/>
            <w:tcBorders>
              <w:left w:val="nil"/>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c>
          <w:tcPr>
            <w:tcW w:w="1080" w:type="dxa"/>
            <w:vMerge w:val="continue"/>
            <w:tcBorders>
              <w:left w:val="nil"/>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20" w:type="dxa"/>
            <w:vMerge w:val="continue"/>
            <w:tcBorders>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c>
          <w:tcPr>
            <w:tcW w:w="1080" w:type="dxa"/>
            <w:vMerge w:val="continue"/>
            <w:tcBorders>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99</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12"/>
        <w:sz w:val="24"/>
        <w:szCs w:val="24"/>
      </w:rPr>
    </w:pPr>
    <w:r>
      <w:rPr>
        <w:rStyle w:val="12"/>
        <w:rFonts w:hint="eastAsia"/>
        <w:sz w:val="24"/>
        <w:szCs w:val="24"/>
      </w:rPr>
      <w:t xml:space="preserve">— </w:t>
    </w:r>
    <w:r>
      <w:rPr>
        <w:sz w:val="24"/>
        <w:szCs w:val="24"/>
      </w:rPr>
      <w:fldChar w:fldCharType="begin"/>
    </w:r>
    <w:r>
      <w:rPr>
        <w:rStyle w:val="12"/>
        <w:sz w:val="24"/>
        <w:szCs w:val="24"/>
      </w:rPr>
      <w:instrText xml:space="preserve">PAGE  </w:instrText>
    </w:r>
    <w:r>
      <w:rPr>
        <w:sz w:val="24"/>
        <w:szCs w:val="24"/>
      </w:rPr>
      <w:fldChar w:fldCharType="separate"/>
    </w:r>
    <w:r>
      <w:rPr>
        <w:rStyle w:val="12"/>
        <w:sz w:val="24"/>
        <w:szCs w:val="24"/>
      </w:rPr>
      <w:t>9</w:t>
    </w:r>
    <w:r>
      <w:rPr>
        <w:sz w:val="24"/>
        <w:szCs w:val="24"/>
      </w:rPr>
      <w:fldChar w:fldCharType="end"/>
    </w:r>
    <w:r>
      <w:rPr>
        <w:rStyle w:val="12"/>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AECDB"/>
    <w:multiLevelType w:val="singleLevel"/>
    <w:tmpl w:val="8A1AECDB"/>
    <w:lvl w:ilvl="0" w:tentative="0">
      <w:start w:val="2"/>
      <w:numFmt w:val="decimal"/>
      <w:suff w:val="nothing"/>
      <w:lvlText w:val="%1、"/>
      <w:lvlJc w:val="left"/>
    </w:lvl>
  </w:abstractNum>
  <w:abstractNum w:abstractNumId="1">
    <w:nsid w:val="AE002606"/>
    <w:multiLevelType w:val="singleLevel"/>
    <w:tmpl w:val="AE002606"/>
    <w:lvl w:ilvl="0" w:tentative="0">
      <w:start w:val="4"/>
      <w:numFmt w:val="chineseCounting"/>
      <w:suff w:val="nothing"/>
      <w:lvlText w:val="%1、"/>
      <w:lvlJc w:val="left"/>
      <w:rPr>
        <w:rFonts w:hint="eastAsia"/>
      </w:rPr>
    </w:lvl>
  </w:abstractNum>
  <w:abstractNum w:abstractNumId="2">
    <w:nsid w:val="DBB1299F"/>
    <w:multiLevelType w:val="singleLevel"/>
    <w:tmpl w:val="DBB1299F"/>
    <w:lvl w:ilvl="0" w:tentative="0">
      <w:start w:val="1"/>
      <w:numFmt w:val="chineseCounting"/>
      <w:suff w:val="nothing"/>
      <w:lvlText w:val="（%1）"/>
      <w:lvlJc w:val="left"/>
      <w:rPr>
        <w:rFonts w:hint="eastAsia"/>
      </w:rPr>
    </w:lvl>
  </w:abstractNum>
  <w:abstractNum w:abstractNumId="3">
    <w:nsid w:val="FFFFFF7F"/>
    <w:multiLevelType w:val="singleLevel"/>
    <w:tmpl w:val="FFFFFF7F"/>
    <w:lvl w:ilvl="0" w:tentative="0">
      <w:start w:val="1"/>
      <w:numFmt w:val="decimal"/>
      <w:pStyle w:val="25"/>
      <w:lvlText w:val="%1."/>
      <w:lvlJc w:val="left"/>
      <w:pPr>
        <w:tabs>
          <w:tab w:val="left" w:pos="780"/>
        </w:tabs>
        <w:ind w:left="780" w:hanging="360"/>
      </w:pPr>
    </w:lvl>
  </w:abstractNum>
  <w:abstractNum w:abstractNumId="4">
    <w:nsid w:val="5F1D2453"/>
    <w:multiLevelType w:val="singleLevel"/>
    <w:tmpl w:val="5F1D2453"/>
    <w:lvl w:ilvl="0" w:tentative="0">
      <w:start w:val="1"/>
      <w:numFmt w:val="chineseCounting"/>
      <w:suff w:val="nothing"/>
      <w:lvlText w:val="（%1）"/>
      <w:lvlJc w:val="left"/>
      <w:rPr>
        <w:rFonts w:hint="eastAsia"/>
      </w:rPr>
    </w:lvl>
  </w:abstractNum>
  <w:abstractNum w:abstractNumId="5">
    <w:nsid w:val="6620DDA9"/>
    <w:multiLevelType w:val="singleLevel"/>
    <w:tmpl w:val="6620DDA9"/>
    <w:lvl w:ilvl="0" w:tentative="0">
      <w:start w:val="1"/>
      <w:numFmt w:val="chineseCounting"/>
      <w:suff w:val="nothing"/>
      <w:lvlText w:val="（%1）"/>
      <w:lvlJc w:val="left"/>
      <w:rPr>
        <w:rFonts w:hint="eastAsia"/>
      </w:rPr>
    </w:lvl>
  </w:abstractNum>
  <w:abstractNum w:abstractNumId="6">
    <w:nsid w:val="7D2A39EF"/>
    <w:multiLevelType w:val="singleLevel"/>
    <w:tmpl w:val="7D2A39EF"/>
    <w:lvl w:ilvl="0" w:tentative="0">
      <w:start w:val="2"/>
      <w:numFmt w:val="chineseCounting"/>
      <w:suff w:val="nothing"/>
      <w:lvlText w:val="（%1）"/>
      <w:lvlJc w:val="left"/>
      <w:rPr>
        <w:rFonts w:hint="eastAsia"/>
      </w:rPr>
    </w:lvl>
  </w:abstractNum>
  <w:abstractNum w:abstractNumId="7">
    <w:nsid w:val="7D6C875E"/>
    <w:multiLevelType w:val="singleLevel"/>
    <w:tmpl w:val="7D6C875E"/>
    <w:lvl w:ilvl="0" w:tentative="0">
      <w:start w:val="1"/>
      <w:numFmt w:val="chineseCounting"/>
      <w:suff w:val="nothing"/>
      <w:lvlText w:val="（%1）"/>
      <w:lvlJc w:val="left"/>
      <w:rPr>
        <w:rFonts w:hint="eastAsia"/>
      </w:rPr>
    </w:lvl>
  </w:abstractNum>
  <w:num w:numId="1">
    <w:abstractNumId w:val="3"/>
  </w:num>
  <w:num w:numId="2">
    <w:abstractNumId w:val="2"/>
  </w:num>
  <w:num w:numId="3">
    <w:abstractNumId w:val="4"/>
  </w:num>
  <w:num w:numId="4">
    <w:abstractNumId w:val="5"/>
  </w:num>
  <w:num w:numId="5">
    <w:abstractNumId w:val="6"/>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3"/>
  <w:drawingGridVerticalSpacing w:val="30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1ZTU2YWIzODkyZDFkZWM0NGY1ZjY1ZDBhYTg5ZGQifQ=="/>
  </w:docVars>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F1297"/>
    <w:rsid w:val="002F2089"/>
    <w:rsid w:val="002F4CEA"/>
    <w:rsid w:val="002F50F8"/>
    <w:rsid w:val="002F7533"/>
    <w:rsid w:val="002F7976"/>
    <w:rsid w:val="00300EFF"/>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40C9D"/>
    <w:rsid w:val="0054794C"/>
    <w:rsid w:val="005530D1"/>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1CA2"/>
    <w:rsid w:val="00E53278"/>
    <w:rsid w:val="00E5328E"/>
    <w:rsid w:val="00E55CE8"/>
    <w:rsid w:val="00E57083"/>
    <w:rsid w:val="00E57B64"/>
    <w:rsid w:val="00E6224F"/>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1454"/>
    <w:rsid w:val="00F81CBB"/>
    <w:rsid w:val="00F853EC"/>
    <w:rsid w:val="00F8549E"/>
    <w:rsid w:val="00F87499"/>
    <w:rsid w:val="00F905B2"/>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4027CE3"/>
    <w:rsid w:val="05047743"/>
    <w:rsid w:val="069A7903"/>
    <w:rsid w:val="07DC0945"/>
    <w:rsid w:val="08B03E69"/>
    <w:rsid w:val="08F474C8"/>
    <w:rsid w:val="0A216E32"/>
    <w:rsid w:val="0AC97576"/>
    <w:rsid w:val="0AE81EE2"/>
    <w:rsid w:val="0B216DA2"/>
    <w:rsid w:val="0BA63302"/>
    <w:rsid w:val="0BDB654C"/>
    <w:rsid w:val="0D1F3693"/>
    <w:rsid w:val="0E163679"/>
    <w:rsid w:val="10A213C7"/>
    <w:rsid w:val="11586E4C"/>
    <w:rsid w:val="13E17F54"/>
    <w:rsid w:val="14927E49"/>
    <w:rsid w:val="14AD0F0C"/>
    <w:rsid w:val="161A3A39"/>
    <w:rsid w:val="17377504"/>
    <w:rsid w:val="18014A11"/>
    <w:rsid w:val="198B2D22"/>
    <w:rsid w:val="198E5A91"/>
    <w:rsid w:val="1AF141D1"/>
    <w:rsid w:val="1AFF70F4"/>
    <w:rsid w:val="1BA22630"/>
    <w:rsid w:val="1BD22CDA"/>
    <w:rsid w:val="1C0C281A"/>
    <w:rsid w:val="1CB52DAA"/>
    <w:rsid w:val="1DBC39B3"/>
    <w:rsid w:val="1EDD7888"/>
    <w:rsid w:val="1F770324"/>
    <w:rsid w:val="20A24975"/>
    <w:rsid w:val="20E80A6F"/>
    <w:rsid w:val="20E82AD8"/>
    <w:rsid w:val="21193FBD"/>
    <w:rsid w:val="21212724"/>
    <w:rsid w:val="224F51C6"/>
    <w:rsid w:val="23346FA7"/>
    <w:rsid w:val="23470C69"/>
    <w:rsid w:val="237F2898"/>
    <w:rsid w:val="24195C82"/>
    <w:rsid w:val="24217571"/>
    <w:rsid w:val="24F33CB9"/>
    <w:rsid w:val="25C379D5"/>
    <w:rsid w:val="28B269FB"/>
    <w:rsid w:val="292D00A9"/>
    <w:rsid w:val="2B29497D"/>
    <w:rsid w:val="2BCA6476"/>
    <w:rsid w:val="2C561354"/>
    <w:rsid w:val="2E372A60"/>
    <w:rsid w:val="2F61602F"/>
    <w:rsid w:val="301670A5"/>
    <w:rsid w:val="30721FB1"/>
    <w:rsid w:val="31815AF3"/>
    <w:rsid w:val="31A046AE"/>
    <w:rsid w:val="32087715"/>
    <w:rsid w:val="335C3B58"/>
    <w:rsid w:val="338C5191"/>
    <w:rsid w:val="3400566E"/>
    <w:rsid w:val="35156C7E"/>
    <w:rsid w:val="36712140"/>
    <w:rsid w:val="36D846FB"/>
    <w:rsid w:val="36FB5A90"/>
    <w:rsid w:val="370B4989"/>
    <w:rsid w:val="38161FB6"/>
    <w:rsid w:val="382F62A9"/>
    <w:rsid w:val="3A6A646E"/>
    <w:rsid w:val="3A8149BE"/>
    <w:rsid w:val="3B5D24CB"/>
    <w:rsid w:val="3BD27115"/>
    <w:rsid w:val="3DDF6F89"/>
    <w:rsid w:val="3E200908"/>
    <w:rsid w:val="3E280B14"/>
    <w:rsid w:val="3E651B6C"/>
    <w:rsid w:val="3E7824FF"/>
    <w:rsid w:val="41123FC3"/>
    <w:rsid w:val="418433B1"/>
    <w:rsid w:val="41E96568"/>
    <w:rsid w:val="431466D8"/>
    <w:rsid w:val="44A2710B"/>
    <w:rsid w:val="46696D65"/>
    <w:rsid w:val="46BB6A54"/>
    <w:rsid w:val="46C819A7"/>
    <w:rsid w:val="46D13B9F"/>
    <w:rsid w:val="46F62397"/>
    <w:rsid w:val="47696322"/>
    <w:rsid w:val="47ED5702"/>
    <w:rsid w:val="4A6078B0"/>
    <w:rsid w:val="4C4C59C2"/>
    <w:rsid w:val="4CBF20F4"/>
    <w:rsid w:val="4D886D0D"/>
    <w:rsid w:val="502E3EF6"/>
    <w:rsid w:val="50666C7A"/>
    <w:rsid w:val="51D84C71"/>
    <w:rsid w:val="51E66CDF"/>
    <w:rsid w:val="54A25307"/>
    <w:rsid w:val="54AF652A"/>
    <w:rsid w:val="55D813D1"/>
    <w:rsid w:val="56F825DA"/>
    <w:rsid w:val="57190668"/>
    <w:rsid w:val="573B7F11"/>
    <w:rsid w:val="57895AE2"/>
    <w:rsid w:val="57D05633"/>
    <w:rsid w:val="592D4F63"/>
    <w:rsid w:val="596F4300"/>
    <w:rsid w:val="5A6740A0"/>
    <w:rsid w:val="5ADE745E"/>
    <w:rsid w:val="5BC75378"/>
    <w:rsid w:val="5C8400C2"/>
    <w:rsid w:val="5D345344"/>
    <w:rsid w:val="5DB56B91"/>
    <w:rsid w:val="5E1831B8"/>
    <w:rsid w:val="5E204FFD"/>
    <w:rsid w:val="5E497E4B"/>
    <w:rsid w:val="5FE27B7C"/>
    <w:rsid w:val="61B86EC5"/>
    <w:rsid w:val="61C74F45"/>
    <w:rsid w:val="621842A0"/>
    <w:rsid w:val="627625F3"/>
    <w:rsid w:val="6315416A"/>
    <w:rsid w:val="637A06B5"/>
    <w:rsid w:val="663960E0"/>
    <w:rsid w:val="67A915B0"/>
    <w:rsid w:val="69B30239"/>
    <w:rsid w:val="69D21198"/>
    <w:rsid w:val="69DA2588"/>
    <w:rsid w:val="6A583E32"/>
    <w:rsid w:val="6F174DC6"/>
    <w:rsid w:val="6F8C57B4"/>
    <w:rsid w:val="70F74EAF"/>
    <w:rsid w:val="71531693"/>
    <w:rsid w:val="721D3B25"/>
    <w:rsid w:val="73093263"/>
    <w:rsid w:val="73336B45"/>
    <w:rsid w:val="735532DE"/>
    <w:rsid w:val="78EF290F"/>
    <w:rsid w:val="7B144F61"/>
    <w:rsid w:val="7D2B7036"/>
    <w:rsid w:val="7EE65E94"/>
    <w:rsid w:val="7FBC5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next w:val="3"/>
    <w:link w:val="20"/>
    <w:unhideWhenUsed/>
    <w:qFormat/>
    <w:uiPriority w:val="0"/>
    <w:pPr>
      <w:tabs>
        <w:tab w:val="center" w:pos="4153"/>
        <w:tab w:val="right" w:pos="8306"/>
      </w:tabs>
      <w:snapToGrid w:val="0"/>
      <w:jc w:val="left"/>
    </w:pPr>
    <w:rPr>
      <w:sz w:val="18"/>
      <w:szCs w:val="18"/>
    </w:rPr>
  </w:style>
  <w:style w:type="paragraph" w:styleId="3">
    <w:name w:val="index 5"/>
    <w:basedOn w:val="1"/>
    <w:next w:val="1"/>
    <w:qFormat/>
    <w:uiPriority w:val="0"/>
    <w:pPr>
      <w:ind w:left="800" w:leftChars="800"/>
    </w:pPr>
  </w:style>
  <w:style w:type="paragraph" w:styleId="4">
    <w:name w:val="Body Text"/>
    <w:basedOn w:val="1"/>
    <w:qFormat/>
    <w:uiPriority w:val="0"/>
    <w:rPr>
      <w:rFonts w:ascii="Times New Roman" w:hAnsi="Times New Roman"/>
    </w:rPr>
  </w:style>
  <w:style w:type="paragraph" w:styleId="5">
    <w:name w:val="Body Text Indent 2"/>
    <w:basedOn w:val="1"/>
    <w:link w:val="23"/>
    <w:unhideWhenUsed/>
    <w:qFormat/>
    <w:uiPriority w:val="99"/>
    <w:pPr>
      <w:ind w:firstLine="588" w:firstLineChars="200"/>
    </w:pPr>
    <w:rPr>
      <w:rFonts w:ascii="仿宋_GB2312" w:hAnsi="Calibri" w:eastAsia="仿宋_GB2312"/>
      <w:sz w:val="32"/>
    </w:rPr>
  </w:style>
  <w:style w:type="paragraph" w:styleId="6">
    <w:name w:val="Balloon Text"/>
    <w:basedOn w:val="1"/>
    <w:link w:val="26"/>
    <w:semiHidden/>
    <w:qFormat/>
    <w:uiPriority w:val="0"/>
    <w:rPr>
      <w:sz w:val="18"/>
      <w:szCs w:val="18"/>
    </w:rPr>
  </w:style>
  <w:style w:type="paragraph" w:styleId="7">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page number"/>
    <w:qFormat/>
    <w:uiPriority w:val="0"/>
  </w:style>
  <w:style w:type="character" w:styleId="13">
    <w:name w:val="FollowedHyperlink"/>
    <w:basedOn w:val="11"/>
    <w:semiHidden/>
    <w:unhideWhenUsed/>
    <w:qFormat/>
    <w:uiPriority w:val="99"/>
    <w:rPr>
      <w:color w:val="111111"/>
      <w:u w:val="none"/>
    </w:rPr>
  </w:style>
  <w:style w:type="character" w:styleId="14">
    <w:name w:val="Emphasis"/>
    <w:basedOn w:val="11"/>
    <w:qFormat/>
    <w:uiPriority w:val="20"/>
  </w:style>
  <w:style w:type="character" w:styleId="15">
    <w:name w:val="Hyperlink"/>
    <w:basedOn w:val="11"/>
    <w:semiHidden/>
    <w:unhideWhenUsed/>
    <w:qFormat/>
    <w:uiPriority w:val="99"/>
    <w:rPr>
      <w:color w:val="111111"/>
      <w:u w:val="none"/>
    </w:rPr>
  </w:style>
  <w:style w:type="paragraph" w:customStyle="1" w:styleId="16">
    <w:name w:val="BodyText"/>
    <w:basedOn w:val="1"/>
    <w:next w:val="17"/>
    <w:qFormat/>
    <w:uiPriority w:val="0"/>
    <w:pPr>
      <w:spacing w:line="720" w:lineRule="exact"/>
      <w:jc w:val="center"/>
      <w:textAlignment w:val="baseline"/>
    </w:pPr>
    <w:rPr>
      <w:rFonts w:eastAsia="方正小标宋简体"/>
      <w:kern w:val="2"/>
      <w:sz w:val="48"/>
      <w:szCs w:val="24"/>
      <w:lang w:val="en-US" w:eastAsia="zh-CN"/>
    </w:rPr>
  </w:style>
  <w:style w:type="paragraph" w:customStyle="1" w:styleId="17">
    <w:name w:val="TOC5"/>
    <w:basedOn w:val="1"/>
    <w:next w:val="1"/>
    <w:qFormat/>
    <w:uiPriority w:val="0"/>
    <w:pPr>
      <w:ind w:left="1680"/>
      <w:jc w:val="both"/>
      <w:textAlignment w:val="baseline"/>
    </w:pPr>
  </w:style>
  <w:style w:type="paragraph" w:customStyle="1" w:styleId="18">
    <w:name w:val="index 51"/>
    <w:basedOn w:val="1"/>
    <w:next w:val="1"/>
    <w:qFormat/>
    <w:uiPriority w:val="0"/>
    <w:pPr>
      <w:ind w:left="1680"/>
    </w:pPr>
    <w:rPr>
      <w:rFonts w:ascii="Times New Roman" w:hAnsi="Times New Roman"/>
      <w:szCs w:val="24"/>
    </w:rPr>
  </w:style>
  <w:style w:type="character" w:customStyle="1" w:styleId="19">
    <w:name w:val="页眉 Char"/>
    <w:basedOn w:val="11"/>
    <w:link w:val="7"/>
    <w:semiHidden/>
    <w:qFormat/>
    <w:uiPriority w:val="99"/>
    <w:rPr>
      <w:sz w:val="18"/>
      <w:szCs w:val="18"/>
    </w:rPr>
  </w:style>
  <w:style w:type="character" w:customStyle="1" w:styleId="20">
    <w:name w:val="页脚 Char"/>
    <w:basedOn w:val="11"/>
    <w:link w:val="2"/>
    <w:qFormat/>
    <w:uiPriority w:val="0"/>
    <w:rPr>
      <w:sz w:val="18"/>
      <w:szCs w:val="18"/>
    </w:rPr>
  </w:style>
  <w:style w:type="character" w:customStyle="1" w:styleId="21">
    <w:name w:val="标题 3 Char Char"/>
    <w:qFormat/>
    <w:uiPriority w:val="0"/>
    <w:rPr>
      <w:rFonts w:eastAsia="楷体_GB2312"/>
      <w:b/>
      <w:kern w:val="2"/>
      <w:sz w:val="32"/>
      <w:szCs w:val="24"/>
      <w:lang w:val="en-US" w:eastAsia="zh-CN" w:bidi="ar-SA"/>
    </w:rPr>
  </w:style>
  <w:style w:type="paragraph" w:customStyle="1" w:styleId="22">
    <w:name w:val="Char"/>
    <w:basedOn w:val="1"/>
    <w:qFormat/>
    <w:uiPriority w:val="0"/>
    <w:pPr>
      <w:autoSpaceDE w:val="0"/>
      <w:autoSpaceDN w:val="0"/>
      <w:adjustRightInd w:val="0"/>
    </w:pPr>
    <w:rPr>
      <w:rFonts w:ascii="宋体" w:cs="宋体"/>
      <w:kern w:val="0"/>
      <w:sz w:val="20"/>
      <w:szCs w:val="20"/>
      <w:lang w:val="zh-CN"/>
    </w:rPr>
  </w:style>
  <w:style w:type="character" w:customStyle="1" w:styleId="23">
    <w:name w:val="正文文本缩进 2 Char"/>
    <w:basedOn w:val="11"/>
    <w:link w:val="5"/>
    <w:qFormat/>
    <w:uiPriority w:val="99"/>
    <w:rPr>
      <w:rFonts w:ascii="仿宋_GB2312" w:hAnsi="Calibri" w:eastAsia="仿宋_GB2312" w:cs="Times New Roman"/>
      <w:sz w:val="32"/>
      <w:szCs w:val="24"/>
    </w:rPr>
  </w:style>
  <w:style w:type="paragraph" w:customStyle="1" w:styleId="24">
    <w:name w:val="Char1"/>
    <w:basedOn w:val="1"/>
    <w:qFormat/>
    <w:uiPriority w:val="0"/>
    <w:rPr>
      <w:rFonts w:ascii="仿宋_GB2312" w:eastAsia="仿宋_GB2312"/>
      <w:sz w:val="32"/>
    </w:rPr>
  </w:style>
  <w:style w:type="paragraph" w:customStyle="1" w:styleId="25">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26">
    <w:name w:val="批注框文本 Char"/>
    <w:basedOn w:val="11"/>
    <w:link w:val="6"/>
    <w:semiHidden/>
    <w:qFormat/>
    <w:uiPriority w:val="0"/>
    <w:rPr>
      <w:rFonts w:ascii="Times New Roman" w:hAnsi="Times New Roman" w:eastAsia="宋体" w:cs="Times New Roman"/>
      <w:sz w:val="18"/>
      <w:szCs w:val="18"/>
    </w:rPr>
  </w:style>
  <w:style w:type="paragraph" w:customStyle="1" w:styleId="27">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character" w:customStyle="1" w:styleId="28">
    <w:name w:val="act"/>
    <w:basedOn w:val="11"/>
    <w:qFormat/>
    <w:uiPriority w:val="0"/>
  </w:style>
  <w:style w:type="character" w:customStyle="1" w:styleId="29">
    <w:name w:val="pagecode"/>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13300</Words>
  <Characters>14291</Characters>
  <Lines>78</Lines>
  <Paragraphs>21</Paragraphs>
  <TotalTime>164</TotalTime>
  <ScaleCrop>false</ScaleCrop>
  <LinksUpToDate>false</LinksUpToDate>
  <CharactersWithSpaces>14844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2021-06-02T01:03:00Z</dcterms:created>
  <dc:creator>User</dc:creator>
  <cp:lastModifiedBy>LENOVO</cp:lastModifiedBy>
  <cp:lastPrinted>2022-09-06T02:40:00Z</cp:lastPrinted>
  <dcterms:modified xsi:type="dcterms:W3CDTF">2022-09-09T08:02:11Z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73801D1740B443E282E544446BDA984A</vt:lpwstr>
  </property>
</Properties>
</file>