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方正小标宋简体"/>
          <w:bCs/>
          <w:sz w:val="42"/>
          <w:szCs w:val="42"/>
        </w:rPr>
      </w:pPr>
      <w:r>
        <w:rPr>
          <w:rFonts w:hint="eastAsia" w:ascii="黑体" w:hAnsi="黑体" w:eastAsia="黑体" w:cs="黑体"/>
          <w:bCs/>
          <w:sz w:val="32"/>
          <w:szCs w:val="32"/>
        </w:rPr>
        <w:t>附件2-1</w:t>
      </w: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left="3324" w:leftChars="304" w:hanging="2695" w:hangingChars="8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中国（湖南）自由贸易试验区岳阳片区管理委员会</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107001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w:t>
      </w:r>
      <w:r>
        <w:rPr>
          <w:rFonts w:hint="eastAsia" w:eastAsia="仿宋_GB2312"/>
          <w:sz w:val="32"/>
        </w:rPr>
        <w:t>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272"/>
        <w:gridCol w:w="183"/>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钟纯青</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18817008060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负责落实自贸片区制度创新、综合改革、政策研究、课题管理等事项，承担自贸片区产业招商任务，探索金融业务创新经验，推进法律事务管理，统筹自贸片区财政资金、产业基金和专项债券的管理、核算，配合相关部门做好省市审批赋权、极简审批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宋体" w:eastAsia="仿宋_GB2312" w:cs="仿宋_GB2312"/>
                <w:color w:val="000000"/>
                <w:kern w:val="0"/>
                <w:sz w:val="22"/>
                <w:szCs w:val="22"/>
              </w:rPr>
              <w:t>确保省、市实施方案规定的改革试点任务和具体落实举措完成90%以上，提交国家级创新案例1项以上、省级“首提首批首创”制度创新成果20项以上</w:t>
            </w:r>
            <w:r>
              <w:rPr>
                <w:rFonts w:hint="eastAsia" w:ascii="仿宋_GB2312" w:hAnsi="宋体" w:eastAsia="仿宋_GB2312" w:cs="仿宋_GB2312"/>
                <w:color w:val="000000"/>
                <w:kern w:val="0"/>
                <w:sz w:val="22"/>
                <w:szCs w:val="22"/>
                <w:lang w:eastAsia="zh-CN"/>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宋体" w:eastAsia="仿宋_GB2312" w:cs="仿宋_GB2312"/>
                <w:color w:val="000000"/>
                <w:kern w:val="0"/>
                <w:sz w:val="22"/>
                <w:szCs w:val="22"/>
              </w:rPr>
              <w:t>招商引资项目30个，招商引资到位资金120亿元；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任务3：在依法依规的前提下，最大限度维护管委会合法权益</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获批1项国家级制度创新案例，落地制度创新成果21项，为企业带来降本增效超过3000万元。全国首创的“综合保税区优化进出区管理新模式”案例，显著降低了通关成本；推出“组合港模式”，实现了港口联动、航线互享，通关时间减少3天以上、费用节省30%以上。解决了“药食同源产品进口通关便利化”试点继续的问题。另外，推出的“水运转关货物提前申报”“抵港直装”等创新，实现进口货物“秒放”，每年可节省滞箱滞港费1000万元以上，全年完成100万标箱。同时，片区88项改革试点任务已经实施84项，实施率95.5%，国家278项自贸试验区制度创新成果已复制推广202项。</w:t>
            </w:r>
            <w:r>
              <w:rPr>
                <w:rFonts w:hint="eastAsia" w:ascii="仿宋_GB2312" w:hAnsi="仿宋_GB2312" w:eastAsia="仿宋_GB2312" w:cs="仿宋_GB2312"/>
                <w:color w:val="000000"/>
                <w:sz w:val="24"/>
              </w:rPr>
              <w:t>与新港区、综保区联动引进项目80个、总投资503亿元，新增市场主体2497家，其中企业1951家，到位外资3075万美元，预计全年完成GDP330.4亿元，增长20.3%，进出口贸易额595亿元，增长15%，主要经济指标增幅继续排在全市首位。工作呈现出以下几个亮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立足港口优势，做亮制度创新特色。牢牢把握片区对接长江经济带发展战略的定位，立足岳阳“水港”资源优势，聚焦内陆港口发展瓶颈，探索制度创新赋能港口发展，做出了港口特色，岳阳特色。21项制度创新成果“含金量”成色足，为企业带来了实实在在的好处与便利，降本增效超过3000万元。全国首创的“综合保税区优化进出区管理新模式”案例，将区内保税货物申报项目从14项缩减为7项，非保税货物由16项缩减为6项，实现了货物进出区“管得住”“通得快”，显著降低了通关成本。这也是岳阳片区推出的第二个国家级试点案例。推出的“组合港模式”，实现了城陵矶港与武汉阳逻港、江西九江港等关区协同、港口联动、航线互享，通关时间减少3天以上、费用节省30%以上。特别是在省自贸办的大力支持下，解决了“药食同源产品进口通关便利化”试点继续的问题。另外，推出的“水运转关货物提前申报”“抵港直装”等创新，实现进口货物“秒放”，便利了粮食等大宗商品进口，每年可节省滞箱滞港费1000万元以上。集成式港口制度创新，正推动城陵矶港建成“百万标箱”大港：目前已完成95.08万标箱，全年将突破100万标箱。同时，片区88项改革试点任务已经实施84项，实施率95.5%，国家278项自贸试验区制度创新成果已复制推广202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是立足龙头企业，做大优势产业体量。牢牢把握片区产业定位，围绕“龙头企业+产业链”，争取自贸建设专项资金5053万元，着力推动形成新材料产业、电子信息、现代物流产业集群。主导产业生态持续优化，支持岳纸、中创空天、攀华、益海嘉里等重点企业上新倍增，引入汇川、易亲等百亿产值企业并实现量产，叶栅风洞实验室、三航液压科技、小米激光打印机等项目建成投入运营。新兴产业布局明显加快，聚焦“独角兽”“小巨人”和“单项冠军”企业，培育新经济新业态新赛道，引进了范斯特电机铁芯、紫光ICT等一批高精特新项目，落地了际华、君泰生物科技、紫光集团等企业总部，新进驻岳阳古楼电商平台、星秀跨境保税仓直播基地等项目，EOD数字经济产业综合体在全省首试“新型工业用地M0政策”，年底部分区域将完成主体工程。外贸规模企稳回升，用好进口口岸，抓紧建设江苏扬中、城陵矶保税筒仓，发挥观盛、自贸投等国有平台作用，千方百计稳外贸、扩体量。城陵矶综保区2021年绩效评估在中西部地区和东北三省首次进入A类。岳阳进境原木指定监管场地接受海关总署正式验收，岳阳片区即将迈入“三区一港五口岸”时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是立足重点领域，做实联动发展成效。积极落实省市要求，在重点领域抓紧抓实，联动创新区建设取得实质性进展。推动汇川技术在华容布局配套项目15个、总投资16亿元。协同临湘打造全省首家中非贸易实体平台，加快建设进口木材贸易加工中心、食用油储备交易中心、中非贸易结算中心，进出口总额突破6亿元，增长117%。启动与经开区协同联动区建设，首批签约项目15个、总投资232亿元。带动联动创新区发展外贸，提供外贸供应链融资6000万元，实现跨境电商业务数据1.2亿元，协助华文食品完成了非洲进口鳀鱼准入备案手续。</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四是立足管理资源，做优营商服务环境。对标国际营商环境标准，加快园区事园区办，形成园区服务矩阵。园区办事更便捷，我们成立了全市首家园区服务中心，97项省级放权赋权事项承接到位，累计办件超过6000件。园区融资工具更丰富，我们立足产业链打造金融链，设立总规模近70亿元的新兴产业投资基金，新入驻建行、农行、人寿等金融机构4家，推动银行与企业签约知识产权质押融资金额达1.69亿，自贸投公司获批了全市首家融资租赁牌照，成功争取国家政策性开发性金融工具资金7亿元。园区党建更扎实，我们围绕区内“两新组织”，创新推进党建标杆示范带建设，打造的“一核三链”自贸党建品牌，入选全省两新组织党建工作典型案例、全国第六届基层党建创新案例。园区法治机制更完善，积极推进依法治区工作，坚持运用法治方式解决矛盾和问题，妥善处理了神州智谷、海吉星、三大汽车等一批涉案面广、金额大的重大案件，挽回损失3.9亿元以上</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5"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5696.49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5696.49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5696.49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1643.52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411.99</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1231.53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4052.97</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3"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63.17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63.17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宋体" w:eastAsia="仿宋_GB2312" w:cs="仿宋_GB2312"/>
                <w:color w:val="000000"/>
                <w:kern w:val="0"/>
                <w:sz w:val="22"/>
                <w:szCs w:val="22"/>
              </w:rPr>
              <w:t>确保省、市实施方案规定的改革试点任务和具体落实举措完成90%以上，提交国家级创新案例1项以上、省级“首提首批首创”制度创新成果20项以上</w:t>
            </w:r>
            <w:r>
              <w:rPr>
                <w:rFonts w:hint="eastAsia" w:ascii="仿宋_GB2312" w:hAnsi="宋体" w:eastAsia="仿宋_GB2312" w:cs="仿宋_GB2312"/>
                <w:color w:val="000000"/>
                <w:kern w:val="0"/>
                <w:sz w:val="22"/>
                <w:szCs w:val="22"/>
                <w:lang w:eastAsia="zh-CN"/>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宋体" w:eastAsia="仿宋_GB2312" w:cs="仿宋_GB2312"/>
                <w:color w:val="000000"/>
                <w:kern w:val="0"/>
                <w:sz w:val="22"/>
                <w:szCs w:val="22"/>
              </w:rPr>
              <w:t>招商引资项目30个，招商引资到位资金120亿元；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任务3：在依法依规的前提下，最大限度维护管委会合法权益</w:t>
            </w:r>
            <w:r>
              <w:rPr>
                <w:rFonts w:hint="eastAsia" w:ascii="仿宋_GB2312" w:hAnsi="仿宋_GB2312" w:eastAsia="仿宋_GB2312" w:cs="仿宋_GB2312"/>
                <w:color w:val="000000"/>
                <w:sz w:val="24"/>
                <w:lang w:eastAsia="zh-CN"/>
              </w:rPr>
              <w:t>。</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完成承接改革试点任务85项，实施率97%，形成21项制度创新成果；已完成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8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指标1：完成国家级创新案例1项以上、省级“首提首批首创”制度创新成果20项以上，省、市实施方案规定的改革试点任务和具体落实举措完成95%以上；</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指标2：加强产业链招商，围绕龙头企业，大力引进上下游企业，形成产业集群，做强总部经济等新经济业态，增强产业竞争力</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指标1：国家级创新案例1项以上、省级“首提首批首创”制度创新成果20项以上；</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指标2：招商引资项目30个，招商引资到位资金120亿元</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年度内完成</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形成国际化、市场化、法治化营商环境，为企业提供优质创新、高效便捷的服务，打造经济活跃、投资便利的岳阳特色自由贸易区</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通过产业创新发展，吸引国内外项目批量式落户；通过金融产品升级、投资便利化等改革创新，促进区域经济贸易发展，实现区域税收增长</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土地资源、水资源、电力等资源得到最大化利用，打造创新高效、低碳节能的循环发展体系</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8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指标1：服务对象满意度≥95%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指标2：社会公众满意度≥95%</w:t>
            </w:r>
          </w:p>
        </w:tc>
        <w:tc>
          <w:tcPr>
            <w:tcW w:w="260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陈  煜</w:t>
            </w:r>
          </w:p>
        </w:tc>
        <w:tc>
          <w:tcPr>
            <w:tcW w:w="3561" w:type="dxa"/>
            <w:gridSpan w:val="6"/>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部</w:t>
            </w:r>
            <w:r>
              <w:rPr>
                <w:rFonts w:hint="eastAsia" w:eastAsia="仿宋_GB2312"/>
                <w:sz w:val="24"/>
                <w:lang w:val="en-US" w:eastAsia="zh-CN"/>
              </w:rPr>
              <w:t xml:space="preserve">  </w:t>
            </w:r>
            <w:r>
              <w:rPr>
                <w:rFonts w:hint="eastAsia" w:eastAsia="仿宋_GB2312"/>
                <w:sz w:val="24"/>
                <w:lang w:eastAsia="zh-CN"/>
              </w:rPr>
              <w:t>长</w:t>
            </w:r>
          </w:p>
        </w:tc>
        <w:tc>
          <w:tcPr>
            <w:tcW w:w="1479" w:type="dxa"/>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创新协调部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周  胜</w:t>
            </w:r>
          </w:p>
        </w:tc>
        <w:tc>
          <w:tcPr>
            <w:tcW w:w="3561" w:type="dxa"/>
            <w:gridSpan w:val="6"/>
            <w:vAlign w:val="center"/>
          </w:tcPr>
          <w:p>
            <w:pPr>
              <w:jc w:val="center"/>
              <w:rPr>
                <w:rFonts w:ascii="仿宋_GB2312" w:hAnsi="仿宋_GB2312" w:eastAsia="仿宋_GB2312" w:cs="仿宋_GB2312"/>
                <w:color w:val="000000"/>
                <w:kern w:val="2"/>
                <w:sz w:val="24"/>
                <w:szCs w:val="22"/>
                <w:lang w:val="en-US" w:eastAsia="zh-CN" w:bidi="ar-SA"/>
              </w:rPr>
            </w:pPr>
            <w:r>
              <w:rPr>
                <w:rFonts w:hint="eastAsia" w:eastAsia="仿宋_GB2312"/>
                <w:sz w:val="24"/>
                <w:lang w:eastAsia="zh-CN"/>
              </w:rPr>
              <w:t>部</w:t>
            </w:r>
            <w:r>
              <w:rPr>
                <w:rFonts w:hint="eastAsia" w:eastAsia="仿宋_GB2312"/>
                <w:sz w:val="24"/>
                <w:lang w:val="en-US" w:eastAsia="zh-CN"/>
              </w:rPr>
              <w:t xml:space="preserve">  </w:t>
            </w:r>
            <w:r>
              <w:rPr>
                <w:rFonts w:hint="eastAsia" w:eastAsia="仿宋_GB2312"/>
                <w:sz w:val="24"/>
                <w:lang w:eastAsia="zh-CN"/>
              </w:rPr>
              <w:t>长</w:t>
            </w:r>
          </w:p>
        </w:tc>
        <w:tc>
          <w:tcPr>
            <w:tcW w:w="1479" w:type="dxa"/>
            <w:vAlign w:val="center"/>
          </w:tcPr>
          <w:p>
            <w:pPr>
              <w:jc w:val="center"/>
              <w:rPr>
                <w:rFonts w:ascii="仿宋_GB2312" w:hAnsi="仿宋_GB2312" w:eastAsia="仿宋_GB2312" w:cs="仿宋_GB2312"/>
                <w:color w:val="000000"/>
                <w:kern w:val="2"/>
                <w:sz w:val="24"/>
                <w:szCs w:val="22"/>
                <w:lang w:val="en-US" w:eastAsia="zh-CN" w:bidi="ar-SA"/>
              </w:rPr>
            </w:pPr>
            <w:r>
              <w:rPr>
                <w:rFonts w:hint="eastAsia" w:eastAsia="仿宋_GB2312"/>
                <w:sz w:val="24"/>
                <w:lang w:eastAsia="zh-CN"/>
              </w:rPr>
              <w:t>自贸产业部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color w:val="auto"/>
                <w:kern w:val="2"/>
                <w:sz w:val="24"/>
                <w:szCs w:val="22"/>
                <w:highlight w:val="none"/>
                <w:lang w:val="en-US" w:eastAsia="zh-CN" w:bidi="ar-SA"/>
              </w:rPr>
            </w:pPr>
            <w:r>
              <w:rPr>
                <w:rFonts w:hint="eastAsia" w:eastAsia="仿宋_GB2312" w:cstheme="minorBidi"/>
                <w:color w:val="auto"/>
                <w:kern w:val="2"/>
                <w:sz w:val="24"/>
                <w:szCs w:val="22"/>
                <w:highlight w:val="none"/>
                <w:lang w:val="en-US" w:eastAsia="zh-CN" w:bidi="ar-SA"/>
              </w:rPr>
              <w:t>陆律夫</w:t>
            </w:r>
          </w:p>
        </w:tc>
        <w:tc>
          <w:tcPr>
            <w:tcW w:w="3561" w:type="dxa"/>
            <w:gridSpan w:val="6"/>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eastAsia="zh-CN"/>
              </w:rPr>
              <w:t>部</w:t>
            </w:r>
            <w:r>
              <w:rPr>
                <w:rFonts w:hint="eastAsia" w:eastAsia="仿宋_GB2312"/>
                <w:sz w:val="24"/>
                <w:lang w:val="en-US" w:eastAsia="zh-CN"/>
              </w:rPr>
              <w:t xml:space="preserve">  </w:t>
            </w:r>
            <w:r>
              <w:rPr>
                <w:rFonts w:hint="eastAsia" w:eastAsia="仿宋_GB2312"/>
                <w:sz w:val="24"/>
                <w:lang w:eastAsia="zh-CN"/>
              </w:rPr>
              <w:t>长</w:t>
            </w:r>
          </w:p>
        </w:tc>
        <w:tc>
          <w:tcPr>
            <w:tcW w:w="1479" w:type="dxa"/>
            <w:vAlign w:val="center"/>
          </w:tcPr>
          <w:p>
            <w:pPr>
              <w:jc w:val="center"/>
              <w:rPr>
                <w:rFonts w:hint="eastAsia" w:ascii="仿宋_GB2312" w:hAnsi="仿宋_GB2312" w:eastAsia="仿宋_GB2312" w:cs="仿宋_GB2312"/>
                <w:color w:val="000000"/>
                <w:kern w:val="2"/>
                <w:sz w:val="24"/>
                <w:szCs w:val="22"/>
                <w:lang w:val="en-US" w:eastAsia="zh-CN" w:bidi="ar-SA"/>
              </w:rPr>
            </w:pPr>
            <w:r>
              <w:rPr>
                <w:rFonts w:hint="eastAsia" w:eastAsia="仿宋_GB2312"/>
                <w:sz w:val="24"/>
                <w:lang w:val="en-US" w:eastAsia="zh-CN"/>
              </w:rPr>
              <w:t>法律服务</w:t>
            </w:r>
            <w:r>
              <w:rPr>
                <w:rFonts w:hint="eastAsia" w:eastAsia="仿宋_GB2312"/>
                <w:sz w:val="24"/>
                <w:lang w:eastAsia="zh-CN"/>
              </w:rPr>
              <w:t>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8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负责自贸片区综合事务协调，承担全面深化改革、制度创新、课题管理等工作；协调配合相关部门单位落实改革创新事项。</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新经济新业态招商及统筹安排的产业招商工作；组织重点招商推介、项目考察、招商节会等活动；负责相关产业项目的招商策划、洽谈、签约等工作；负责研究推进新一代信息技术、电子商务、航运物流、大结构件制造产业链补链强链建设工作；协调配合国家、省、市及有关部门推进落实自贸片区相关奖励和扶持政策。</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负责法治政府建设、法律事务管理工作；负责重大决策咨询、风险评估、政策解读、效果评估工作，及时研判形势、预测前景、分析问题、提出对策建议；负责组织实施自贸区法治制度创新工作。</w:t>
            </w:r>
          </w:p>
          <w:p>
            <w:pPr>
              <w:numPr>
                <w:ilvl w:val="0"/>
                <w:numId w:val="1"/>
              </w:num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2022年度支出合计5696.49万元，其中：基本支出1643.52万元，占28.85%；项目支出4052.97万元，占71.15%。主要用于以下方面：一般公共服务（类）支出1190.05万元，占20.89%；社会保障和就业（类）支出4.78万元，占0.08%；卫生健康（类）支出3.63万元，占0.06%；城乡社区（类）支出69.03万元，占1.21%；商业服务业等（类）支出4052.97万元，占71.15%；住房保障（类）支出10.53万元，占0.18%；其他（类）支出365.5万元，占6.42%。</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2022年度财政拨款基本支出1643.52万元，其中:</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人员经费411.99万元，占基本支出的25.07%，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用经费1231.53万元，占基本支出的74.93%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w:t>
            </w:r>
          </w:p>
          <w:p>
            <w:p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招商及宣传经费专项支出预算120万元，包括重大招商引资推介活动经费20万元，招商引资接待费30万元，招商引资差旅费30万元，搭建招商项目“一站式”落户服务平台20万元，自贸区2022年宣传册、PPT、H5等设计费、制作费、印刷费等相关宣传费用20万元。</w:t>
            </w:r>
          </w:p>
          <w:p>
            <w:p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三区法律服务费用专项实际到位资金239.23万元，实际支付资金239.23万元，主要用于支付三区2022年度法律顾问费及神州智谷、三大汽车、华新水泥等20余个诉讼案件服务费用。在项目实施过程中，逐笔对项目支付进行审核，未出现任何问题，项目开展顺利。</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为推进机构精简、管理高效、创新发展，岳阳自贸片区以创新协调部、自贸产业部、法律服务部三个内设部门和岳阳自贸区投资有限公司“3+1”的组织形式，探索实施“小管委会+大公司”绩效管理模式。</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部门主要负责落实自贸片区制度创新、综合改革、政策研究、课题管理等事项，承担自贸片区产业招商任务，拟定产业发展规划及专项扶持政策，推进法律事务管理，统筹自贸片区财政资金、产业基金和专项债券的管理，协调相关部门做好省市审批赋权、极简审批，配合市级相关部门单位落实改革创新事项等。</w:t>
            </w:r>
          </w:p>
          <w:p>
            <w:pPr>
              <w:numPr>
                <w:ilvl w:val="0"/>
                <w:numId w:val="2"/>
              </w:num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形成了21项岳阳特色“首提首批首创”制度成果，释放出了“真金白银”的红利，企业和群众的获得感明显；承接的88项改革试点任务，年内已实施85项，实施率97%，为企业节省大量时间成本与资金成本；与新港区、综保区联动引进项目80个、总投资503亿元，新增市场主体2497家，其中企业1951家，到位外资3075万美元，预计全年完成GDP330.4亿元，增长20.3%，进出口贸易额595亿元，增长15%，主要经济指标增幅继续排在全市首位。工作呈现出以下几个亮点。</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立足港口优势，做亮制度创新特色。牢牢把握片区对接长江经济带发展战略的定位，立足岳阳“水港”资源优势，聚焦内陆港口发展瓶颈，探索制度创新赋能港口发展，做出了港口特色，岳阳特色。21项制度创新成果“含金量”成色足，为企业带来了实实在在的好处与便利，降本增效超过3000万元。全国首创的“综合保税区优化进出区管理新模式”案例，将区内保税货物申报项目从14项缩减为7项，非保税货物由16项缩减为6项，实现了货物进出区“管得住”“通得快”，显著降低了通关成本。这也是岳阳片区推出的第二个国家级试点案例。推出的“组合港模式”，实现了城陵矶港与武汉阳逻港、江西九江港等关区协同、港口联动、航线互享，通关时间减少3天以上、费用节省30%以上。特别是在省自贸办的大力支持下，解决了“药食同源产品进口通关便利化”试点继续的问题。另外，推出的“水运转关货物提前申报”“抵港直装”等创新，实现进口货物“秒放”，便利了粮食等大宗商品进口，每年可节省滞箱滞港费1000万元以上。集成式港口制度创新，正推动城陵矶港建成“百万标箱”大港：目前已完成95.08万标箱，全年将突破100万标箱。同时，片区88项改革试点任务已经实施84项，实施率95.5%，国家278项自贸试验区制度创新成果已复制推广202项。</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立足龙头企业，做大优势产业体量。牢牢把握片区产业定位，围绕“龙头企业+产业链”，争取自贸建设专项资金5053万元，着力推动形成新材料产业、电子信息、现代物流产业集群。主导产业生态持续优化，支持岳纸、中创空天、攀华、益海嘉里等重点企业上新倍增，引入汇川、易亲等百亿产值企业并实现量产，叶栅风洞实验室、三航液压科技、小米激光打印机等项目建成投入运营。新兴产业布局明显加快，聚焦“独角兽”“小巨人”和“单项冠军”企业，培育新经济新业态新赛道，引进了范斯特电机铁芯、紫光ICT等一批高精特新项目，落地了际华、君泰生物科技、紫光集团等企业总部，新进驻岳阳古楼电商平台、星秀跨境保税仓直播基地等项目，EOD数字经济产业综合体在全省首试“新型工业用地M0政策”，年底部分区域将完成主体工程。外贸规模企稳回升，用好进口口岸，抓紧建设江苏扬中、城陵矶保税筒仓，发挥观盛、自贸投等国有平台作用，千方百计稳外贸、扩体量。城陵矶综保区2021年绩效评估在中西部地区和东北三省首次进入A类。岳阳进境原木指定监管场地接受海关总署正式验收，岳阳片区即将迈入“三区一港五口岸”时代。</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是立足重点领域，做实联动发展成效。积极落实省市要求，在重点领域抓紧抓实，联动创新区建设取得实质性进展。推动汇川技术在华容布局配套项目15个、总投资16亿元。协同临湘打造全省首家中非贸易实体平台，加快建设进口木材贸易加工中心、食用油储备交易中心、中非贸易结算中心，进出口总额突破6亿元，增长117%。启动与经开区协同联动区建设，首批签约项目15个、总投资232亿元。带动联动创新区发展外贸，提供外贸供应链融资6000万元，实现跨境电商业务数据1.2亿元，协助华文食品完成了非洲进口鳀鱼准入备案手续。</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是立足管理资源，做优营商服务环境。对标国际营商环境标准，加快园区事园区办，形成园区服务矩阵。园区办事更便捷，我们成立了全市首家园区服务中心，97项省级放权赋权事项承接到位，累计办件超过6000件。园区融资工具更丰富，我们立足产业链打造金融链，设立总规模近70亿元的新兴产业投资基金，新入驻建行、农行、人寿等金融机构4家，推动银行与企业签约知识产权质押融资金额达1.69亿，自贸投公司获批了全市首家融资租赁牌照，成功争取国家政策性开发性金融工具资金7亿元。园区党建更扎实，我们围绕区内“两新组织”，创新推进党建标杆示范带建设，打造的“一核三链”自贸党建品牌，入选全省两新组织党建工作典型案例、全国第六届基层党建创新案例。园区法治机制更完善，积极推进依法治区工作，坚持运用法治方式解决矛盾和问题，妥善处理了神州智谷、海吉星、三大汽车等一批涉案面广、金额大的重大案件，挽回损失3.9亿元以上。</w:t>
            </w:r>
          </w:p>
          <w:p>
            <w:pPr>
              <w:numPr>
                <w:ilvl w:val="0"/>
                <w:numId w:val="2"/>
              </w:numPr>
              <w:spacing w:line="560" w:lineRule="exact"/>
              <w:ind w:left="0" w:leftChars="0" w:firstLine="554"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3"/>
              </w:num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预算执行进度和效率有待提高；</w:t>
            </w:r>
          </w:p>
          <w:p>
            <w:pPr>
              <w:numPr>
                <w:ilvl w:val="0"/>
                <w:numId w:val="3"/>
              </w:num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绩效评价方法不够完善。</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0"/>
              </w:num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1.加快预算执行进度，加快项目实施进度，加快资金结算进度，提高资金使用效率，同时严控项目执行情况。</w:t>
            </w:r>
          </w:p>
          <w:p>
            <w:pPr>
              <w:ind w:firstLine="554" w:firstLineChars="200"/>
              <w:rPr>
                <w:rFonts w:hint="default" w:eastAsia="楷体_GB2312"/>
                <w:bCs/>
                <w:sz w:val="28"/>
                <w:szCs w:val="28"/>
                <w:lang w:val="en-US" w:eastAsia="zh-CN"/>
              </w:rPr>
            </w:pPr>
            <w:r>
              <w:rPr>
                <w:rFonts w:hint="eastAsia" w:ascii="仿宋_GB2312" w:hAnsi="仿宋_GB2312" w:eastAsia="仿宋_GB2312" w:cs="仿宋_GB2312"/>
                <w:bCs/>
                <w:sz w:val="28"/>
                <w:szCs w:val="28"/>
                <w:lang w:val="en-US" w:eastAsia="zh-CN"/>
              </w:rPr>
              <w:t>2.绩效评价方法注意适当性、可操作性。完善绩效评价的原则和体系，进行全面、集中、多层次、多角度的绩效评价。</w:t>
            </w:r>
          </w:p>
        </w:tc>
      </w:tr>
    </w:tbl>
    <w:p>
      <w:pPr>
        <w:spacing w:line="348" w:lineRule="auto"/>
        <w:rPr>
          <w:rFonts w:eastAsia="楷体_GB2312"/>
          <w:bCs/>
          <w:sz w:val="28"/>
          <w:szCs w:val="28"/>
        </w:rPr>
      </w:pPr>
      <w:r>
        <w:rPr>
          <w:rFonts w:eastAsia="楷体_GB2312"/>
          <w:bCs/>
          <w:sz w:val="28"/>
          <w:szCs w:val="28"/>
        </w:rPr>
        <w:br w:type="page"/>
      </w: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beforeLines="50" w:line="600" w:lineRule="exact"/>
        <w:jc w:val="center"/>
        <w:textAlignment w:val="auto"/>
        <w:rPr>
          <w:rFonts w:eastAsia="方正小标宋简体"/>
          <w:bCs/>
          <w:sz w:val="44"/>
          <w:szCs w:val="44"/>
        </w:rPr>
      </w:pPr>
      <w:r>
        <w:rPr>
          <w:rFonts w:hint="eastAsia" w:eastAsia="方正小标宋简体"/>
          <w:bCs/>
          <w:sz w:val="44"/>
          <w:szCs w:val="44"/>
        </w:rPr>
        <w:t>湖南城陵矶新港区财政支出</w:t>
      </w:r>
    </w:p>
    <w:p>
      <w:pPr>
        <w:keepNext w:val="0"/>
        <w:keepLines w:val="0"/>
        <w:pageBreakBefore w:val="0"/>
        <w:widowControl w:val="0"/>
        <w:kinsoku/>
        <w:wordWrap/>
        <w:overflowPunct/>
        <w:topLinePunct w:val="0"/>
        <w:autoSpaceDE/>
        <w:autoSpaceDN/>
        <w:bidi w:val="0"/>
        <w:adjustRightInd/>
        <w:snapToGrid/>
        <w:spacing w:beforeLines="50" w:line="600" w:lineRule="exact"/>
        <w:jc w:val="center"/>
        <w:textAlignment w:val="auto"/>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三区法律服务费用</w:t>
      </w:r>
      <w:r>
        <w:rPr>
          <w:rFonts w:hint="eastAsia" w:eastAsia="仿宋_GB2312"/>
          <w:sz w:val="32"/>
          <w:u w:val="single"/>
        </w:rPr>
        <w:t xml:space="preserve">                                  </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法律服务部</w:t>
      </w:r>
      <w:r>
        <w:rPr>
          <w:rFonts w:hint="eastAsia" w:eastAsia="仿宋_GB2312"/>
          <w:sz w:val="32"/>
          <w:u w:val="single"/>
        </w:rPr>
        <w:t xml:space="preserve">                                     </w:t>
      </w:r>
    </w:p>
    <w:p>
      <w:pPr>
        <w:spacing w:beforeLines="50" w:line="760" w:lineRule="exact"/>
        <w:ind w:left="2690" w:leftChars="304" w:hanging="2061" w:hangingChars="6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szCs w:val="32"/>
          <w:u w:val="single"/>
          <w:lang w:val="en-US" w:eastAsia="zh-CN"/>
        </w:rPr>
        <w:t>中国（湖南）自由贸易试验区岳阳片区管理委员会</w:t>
      </w:r>
      <w:r>
        <w:rPr>
          <w:rFonts w:hint="eastAsia" w:eastAsia="仿宋_GB2312"/>
          <w:sz w:val="32"/>
          <w:u w:val="single"/>
        </w:rPr>
        <w:t xml:space="preserve">                                     </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97"/>
        <w:gridCol w:w="303"/>
        <w:gridCol w:w="414"/>
        <w:gridCol w:w="306"/>
        <w:gridCol w:w="562"/>
        <w:gridCol w:w="785"/>
        <w:gridCol w:w="399"/>
        <w:gridCol w:w="618"/>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val="en-US" w:eastAsia="zh-CN"/>
              </w:rPr>
            </w:pPr>
            <w:r>
              <w:rPr>
                <w:rFonts w:hint="eastAsia" w:eastAsia="仿宋_GB2312"/>
                <w:sz w:val="24"/>
                <w:lang w:val="en-US" w:eastAsia="zh-CN"/>
              </w:rPr>
              <w:t>陆律夫</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18873093189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val="en-US" w:eastAsia="zh-CN"/>
              </w:rPr>
              <w:t>云港路通关服务中心</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lang w:val="en-US" w:eastAsia="zh-CN"/>
              </w:rPr>
              <w:t xml:space="preserve">2022  </w:t>
            </w:r>
            <w:r>
              <w:rPr>
                <w:rFonts w:hint="eastAsia" w:eastAsia="仿宋_GB2312"/>
                <w:sz w:val="24"/>
              </w:rPr>
              <w:t xml:space="preserve">年 </w:t>
            </w:r>
            <w:r>
              <w:rPr>
                <w:rFonts w:hint="eastAsia" w:eastAsia="仿宋_GB2312"/>
                <w:sz w:val="24"/>
                <w:lang w:val="en-US" w:eastAsia="zh-CN"/>
              </w:rPr>
              <w:t xml:space="preserve">1  </w:t>
            </w:r>
            <w:r>
              <w:rPr>
                <w:rFonts w:hint="eastAsia" w:eastAsia="仿宋_GB2312"/>
                <w:sz w:val="24"/>
              </w:rPr>
              <w:t xml:space="preserve">月起至    </w:t>
            </w:r>
            <w:r>
              <w:rPr>
                <w:rFonts w:hint="eastAsia" w:eastAsia="仿宋_GB2312"/>
                <w:sz w:val="24"/>
                <w:lang w:val="en-US" w:eastAsia="zh-CN"/>
              </w:rPr>
              <w:t>2023</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314</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239.23</w:t>
            </w:r>
          </w:p>
        </w:tc>
        <w:tc>
          <w:tcPr>
            <w:tcW w:w="174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18"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239.23</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74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18"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74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18"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74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18"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314</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239.23</w:t>
            </w:r>
          </w:p>
        </w:tc>
        <w:tc>
          <w:tcPr>
            <w:tcW w:w="174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18"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239.23</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74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18"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97"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769"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三区法律服务费用</w:t>
            </w:r>
          </w:p>
        </w:tc>
        <w:tc>
          <w:tcPr>
            <w:tcW w:w="149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239.23</w:t>
            </w:r>
          </w:p>
        </w:tc>
        <w:tc>
          <w:tcPr>
            <w:tcW w:w="2769" w:type="dxa"/>
            <w:gridSpan w:val="6"/>
            <w:tcBorders>
              <w:bottom w:val="single" w:color="auto" w:sz="4" w:space="0"/>
            </w:tcBorders>
            <w:vAlign w:val="center"/>
          </w:tcPr>
          <w:p>
            <w:pPr>
              <w:jc w:val="center"/>
              <w:rPr>
                <w:rFonts w:eastAsia="仿宋_GB2312"/>
                <w:sz w:val="24"/>
              </w:rPr>
            </w:pPr>
          </w:p>
        </w:tc>
        <w:tc>
          <w:tcPr>
            <w:tcW w:w="293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97" w:type="dxa"/>
            <w:tcBorders>
              <w:bottom w:val="single" w:color="auto" w:sz="4" w:space="0"/>
            </w:tcBorders>
            <w:vAlign w:val="center"/>
          </w:tcPr>
          <w:p>
            <w:pPr>
              <w:jc w:val="center"/>
              <w:rPr>
                <w:rFonts w:eastAsia="仿宋_GB2312"/>
                <w:sz w:val="24"/>
              </w:rPr>
            </w:pPr>
          </w:p>
        </w:tc>
        <w:tc>
          <w:tcPr>
            <w:tcW w:w="2769" w:type="dxa"/>
            <w:gridSpan w:val="6"/>
            <w:tcBorders>
              <w:bottom w:val="single" w:color="auto" w:sz="4" w:space="0"/>
            </w:tcBorders>
            <w:vAlign w:val="center"/>
          </w:tcPr>
          <w:p>
            <w:pPr>
              <w:jc w:val="center"/>
              <w:rPr>
                <w:rFonts w:eastAsia="仿宋_GB2312"/>
                <w:sz w:val="24"/>
              </w:rPr>
            </w:pPr>
          </w:p>
        </w:tc>
        <w:tc>
          <w:tcPr>
            <w:tcW w:w="293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97" w:type="dxa"/>
            <w:tcBorders>
              <w:bottom w:val="single" w:color="auto" w:sz="4" w:space="0"/>
            </w:tcBorders>
            <w:vAlign w:val="center"/>
          </w:tcPr>
          <w:p>
            <w:pPr>
              <w:jc w:val="center"/>
              <w:rPr>
                <w:rFonts w:eastAsia="仿宋_GB2312"/>
                <w:sz w:val="24"/>
              </w:rPr>
            </w:pPr>
          </w:p>
        </w:tc>
        <w:tc>
          <w:tcPr>
            <w:tcW w:w="2769" w:type="dxa"/>
            <w:gridSpan w:val="6"/>
            <w:tcBorders>
              <w:bottom w:val="single" w:color="auto" w:sz="4" w:space="0"/>
            </w:tcBorders>
            <w:vAlign w:val="center"/>
          </w:tcPr>
          <w:p>
            <w:pPr>
              <w:jc w:val="center"/>
              <w:rPr>
                <w:rFonts w:eastAsia="仿宋_GB2312"/>
                <w:sz w:val="24"/>
              </w:rPr>
            </w:pPr>
          </w:p>
        </w:tc>
        <w:tc>
          <w:tcPr>
            <w:tcW w:w="293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97" w:type="dxa"/>
            <w:tcBorders>
              <w:bottom w:val="single" w:color="auto" w:sz="4" w:space="0"/>
            </w:tcBorders>
            <w:vAlign w:val="center"/>
          </w:tcPr>
          <w:p>
            <w:pPr>
              <w:jc w:val="center"/>
              <w:rPr>
                <w:rFonts w:eastAsia="仿宋_GB2312"/>
                <w:sz w:val="24"/>
              </w:rPr>
            </w:pPr>
          </w:p>
        </w:tc>
        <w:tc>
          <w:tcPr>
            <w:tcW w:w="2769" w:type="dxa"/>
            <w:gridSpan w:val="6"/>
            <w:tcBorders>
              <w:bottom w:val="single" w:color="auto" w:sz="4" w:space="0"/>
            </w:tcBorders>
            <w:vAlign w:val="center"/>
          </w:tcPr>
          <w:p>
            <w:pPr>
              <w:jc w:val="center"/>
              <w:rPr>
                <w:rFonts w:eastAsia="仿宋_GB2312"/>
                <w:sz w:val="24"/>
              </w:rPr>
            </w:pPr>
          </w:p>
        </w:tc>
        <w:tc>
          <w:tcPr>
            <w:tcW w:w="293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97" w:type="dxa"/>
            <w:tcBorders>
              <w:bottom w:val="single" w:color="auto" w:sz="4" w:space="0"/>
            </w:tcBorders>
            <w:vAlign w:val="center"/>
          </w:tcPr>
          <w:p>
            <w:pPr>
              <w:jc w:val="center"/>
              <w:rPr>
                <w:rFonts w:eastAsia="仿宋_GB2312"/>
                <w:sz w:val="24"/>
              </w:rPr>
            </w:pPr>
          </w:p>
        </w:tc>
        <w:tc>
          <w:tcPr>
            <w:tcW w:w="2769" w:type="dxa"/>
            <w:gridSpan w:val="6"/>
            <w:tcBorders>
              <w:bottom w:val="single" w:color="auto" w:sz="4" w:space="0"/>
            </w:tcBorders>
            <w:vAlign w:val="center"/>
          </w:tcPr>
          <w:p>
            <w:pPr>
              <w:jc w:val="center"/>
              <w:rPr>
                <w:rFonts w:eastAsia="仿宋_GB2312"/>
                <w:sz w:val="24"/>
              </w:rPr>
            </w:pPr>
          </w:p>
        </w:tc>
        <w:tc>
          <w:tcPr>
            <w:tcW w:w="293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497" w:type="dxa"/>
            <w:tcBorders>
              <w:bottom w:val="single" w:color="auto" w:sz="4" w:space="0"/>
            </w:tcBorders>
            <w:vAlign w:val="center"/>
          </w:tcPr>
          <w:p>
            <w:pPr>
              <w:jc w:val="center"/>
              <w:rPr>
                <w:rFonts w:eastAsia="仿宋_GB2312"/>
                <w:sz w:val="24"/>
              </w:rPr>
            </w:pPr>
          </w:p>
        </w:tc>
        <w:tc>
          <w:tcPr>
            <w:tcW w:w="2769" w:type="dxa"/>
            <w:gridSpan w:val="6"/>
            <w:tcBorders>
              <w:bottom w:val="single" w:color="auto" w:sz="4" w:space="0"/>
            </w:tcBorders>
            <w:vAlign w:val="center"/>
          </w:tcPr>
          <w:p>
            <w:pPr>
              <w:jc w:val="center"/>
              <w:rPr>
                <w:rFonts w:eastAsia="仿宋_GB2312"/>
                <w:sz w:val="24"/>
              </w:rPr>
            </w:pPr>
          </w:p>
        </w:tc>
        <w:tc>
          <w:tcPr>
            <w:tcW w:w="293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97"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239.23</w:t>
            </w:r>
          </w:p>
        </w:tc>
        <w:tc>
          <w:tcPr>
            <w:tcW w:w="2769" w:type="dxa"/>
            <w:gridSpan w:val="6"/>
            <w:tcBorders>
              <w:bottom w:val="single" w:color="auto" w:sz="4" w:space="0"/>
            </w:tcBorders>
            <w:vAlign w:val="center"/>
          </w:tcPr>
          <w:p>
            <w:pPr>
              <w:jc w:val="center"/>
              <w:rPr>
                <w:rFonts w:eastAsia="仿宋_GB2312"/>
                <w:b/>
                <w:sz w:val="24"/>
              </w:rPr>
            </w:pPr>
          </w:p>
        </w:tc>
        <w:tc>
          <w:tcPr>
            <w:tcW w:w="293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175" w:type="dxa"/>
            <w:gridSpan w:val="10"/>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eastAsia="仿宋_GB2312"/>
                <w:sz w:val="24"/>
              </w:rPr>
            </w:pPr>
            <w:r>
              <w:rPr>
                <w:rFonts w:hint="eastAsia" w:eastAsia="仿宋_GB2312"/>
                <w:sz w:val="24"/>
              </w:rPr>
              <w:t>预  期 目 标</w:t>
            </w:r>
          </w:p>
        </w:tc>
        <w:tc>
          <w:tcPr>
            <w:tcW w:w="293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175" w:type="dxa"/>
            <w:gridSpan w:val="10"/>
            <w:tcBorders>
              <w:bottom w:val="single" w:color="auto" w:sz="4" w:space="0"/>
            </w:tcBorders>
            <w:vAlign w:val="center"/>
          </w:tcPr>
          <w:p>
            <w:pPr>
              <w:jc w:val="center"/>
              <w:rPr>
                <w:rFonts w:eastAsia="仿宋_GB2312"/>
                <w:b/>
                <w:sz w:val="24"/>
              </w:rPr>
            </w:pPr>
            <w:r>
              <w:rPr>
                <w:rFonts w:hint="eastAsia" w:eastAsia="仿宋_GB2312"/>
                <w:b w:val="0"/>
                <w:bCs/>
                <w:sz w:val="24"/>
              </w:rPr>
              <w:t>推进法治政府建设，优化法治营商环境，在依</w:t>
            </w:r>
            <w:r>
              <w:rPr>
                <w:rFonts w:hint="eastAsia" w:eastAsia="仿宋_GB2312"/>
                <w:b w:val="0"/>
                <w:bCs/>
                <w:sz w:val="24"/>
                <w:lang w:val="en-US" w:eastAsia="zh-CN"/>
              </w:rPr>
              <w:t>法</w:t>
            </w:r>
            <w:r>
              <w:rPr>
                <w:rFonts w:hint="eastAsia" w:eastAsia="仿宋_GB2312"/>
                <w:b w:val="0"/>
                <w:bCs/>
                <w:sz w:val="24"/>
              </w:rPr>
              <w:t>依规的前提下，维护管委会合法权益。</w:t>
            </w:r>
          </w:p>
        </w:tc>
        <w:tc>
          <w:tcPr>
            <w:tcW w:w="2934" w:type="dxa"/>
            <w:gridSpan w:val="3"/>
            <w:tcBorders>
              <w:bottom w:val="single" w:color="auto" w:sz="4" w:space="0"/>
            </w:tcBorders>
            <w:vAlign w:val="center"/>
          </w:tcPr>
          <w:p>
            <w:pPr>
              <w:spacing w:line="400" w:lineRule="exact"/>
              <w:jc w:val="center"/>
              <w:rPr>
                <w:rFonts w:hint="eastAsia" w:eastAsia="仿宋_GB2312"/>
                <w:b/>
                <w:sz w:val="24"/>
                <w:lang w:val="en-US" w:eastAsia="zh-CN"/>
              </w:rPr>
            </w:pPr>
            <w:r>
              <w:rPr>
                <w:rFonts w:hint="eastAsia" w:eastAsia="仿宋_GB2312"/>
                <w:b w:val="0"/>
                <w:bCs/>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9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58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8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97" w:type="dxa"/>
            <w:vAlign w:val="center"/>
          </w:tcPr>
          <w:p>
            <w:pPr>
              <w:spacing w:line="360" w:lineRule="exact"/>
              <w:jc w:val="center"/>
              <w:rPr>
                <w:rFonts w:eastAsia="仿宋_GB2312"/>
                <w:sz w:val="24"/>
              </w:rPr>
            </w:pPr>
            <w:r>
              <w:rPr>
                <w:rFonts w:hint="eastAsia" w:eastAsia="仿宋_GB2312"/>
                <w:sz w:val="24"/>
              </w:rPr>
              <w:t>数量指标</w:t>
            </w:r>
          </w:p>
        </w:tc>
        <w:tc>
          <w:tcPr>
            <w:tcW w:w="1585" w:type="dxa"/>
            <w:gridSpan w:val="4"/>
            <w:tcBorders>
              <w:bottom w:val="single" w:color="auto" w:sz="4" w:space="0"/>
            </w:tcBorders>
            <w:vAlign w:val="center"/>
          </w:tcPr>
          <w:p>
            <w:pPr>
              <w:spacing w:line="360" w:lineRule="exact"/>
              <w:jc w:val="both"/>
              <w:rPr>
                <w:rFonts w:hint="eastAsia" w:eastAsia="仿宋_GB2312"/>
                <w:sz w:val="24"/>
                <w:lang w:eastAsia="zh-CN"/>
              </w:rPr>
            </w:pPr>
            <w:r>
              <w:rPr>
                <w:rFonts w:hint="eastAsia" w:eastAsia="仿宋_GB2312"/>
                <w:sz w:val="21"/>
                <w:szCs w:val="21"/>
              </w:rPr>
              <w:t>根据工作需要实施</w:t>
            </w:r>
            <w:r>
              <w:rPr>
                <w:rFonts w:hint="eastAsia" w:eastAsia="仿宋_GB2312"/>
                <w:sz w:val="21"/>
                <w:szCs w:val="21"/>
                <w:lang w:eastAsia="zh-CN"/>
              </w:rPr>
              <w:t>。</w:t>
            </w:r>
          </w:p>
        </w:tc>
        <w:tc>
          <w:tcPr>
            <w:tcW w:w="118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r>
              <w:rPr>
                <w:rFonts w:hint="eastAsia" w:eastAsia="仿宋_GB2312"/>
                <w:sz w:val="18"/>
                <w:szCs w:val="18"/>
              </w:rPr>
              <w:t>根据工作需要</w:t>
            </w:r>
          </w:p>
        </w:tc>
        <w:tc>
          <w:tcPr>
            <w:tcW w:w="2934"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质量指标</w:t>
            </w:r>
          </w:p>
        </w:tc>
        <w:tc>
          <w:tcPr>
            <w:tcW w:w="1585" w:type="dxa"/>
            <w:gridSpan w:val="4"/>
            <w:tcBorders>
              <w:bottom w:val="single" w:color="auto" w:sz="4" w:space="0"/>
            </w:tcBorders>
            <w:vAlign w:val="center"/>
          </w:tcPr>
          <w:p>
            <w:pPr>
              <w:spacing w:line="360" w:lineRule="exact"/>
              <w:jc w:val="both"/>
              <w:rPr>
                <w:rFonts w:eastAsia="仿宋_GB2312"/>
                <w:sz w:val="21"/>
                <w:szCs w:val="21"/>
              </w:rPr>
            </w:pPr>
            <w:r>
              <w:rPr>
                <w:rFonts w:hint="eastAsia" w:eastAsia="仿宋_GB2312"/>
                <w:sz w:val="21"/>
                <w:szCs w:val="21"/>
              </w:rPr>
              <w:t>推进法</w:t>
            </w:r>
            <w:r>
              <w:rPr>
                <w:rFonts w:hint="eastAsia" w:eastAsia="仿宋_GB2312"/>
                <w:sz w:val="21"/>
                <w:szCs w:val="21"/>
                <w:lang w:val="en-US" w:eastAsia="zh-CN"/>
              </w:rPr>
              <w:t>治</w:t>
            </w:r>
            <w:r>
              <w:rPr>
                <w:rFonts w:hint="eastAsia" w:eastAsia="仿宋_GB2312"/>
                <w:sz w:val="21"/>
                <w:szCs w:val="21"/>
              </w:rPr>
              <w:t>政府建设，优化法治营商环境，在依法依规的前提下，维护管委会合法权益。</w:t>
            </w:r>
          </w:p>
        </w:tc>
        <w:tc>
          <w:tcPr>
            <w:tcW w:w="118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仿宋_GB2312"/>
                <w:sz w:val="18"/>
                <w:szCs w:val="18"/>
              </w:rPr>
            </w:pPr>
            <w:r>
              <w:rPr>
                <w:rFonts w:hint="eastAsia" w:eastAsia="仿宋_GB2312"/>
                <w:sz w:val="18"/>
                <w:szCs w:val="18"/>
              </w:rPr>
              <w:t>依法</w:t>
            </w:r>
            <w:r>
              <w:rPr>
                <w:rFonts w:hint="eastAsia" w:eastAsia="仿宋_GB2312"/>
                <w:sz w:val="18"/>
                <w:szCs w:val="18"/>
                <w:lang w:val="en-US" w:eastAsia="zh-CN"/>
              </w:rPr>
              <w:t>依</w:t>
            </w:r>
            <w:r>
              <w:rPr>
                <w:rFonts w:hint="eastAsia" w:eastAsia="仿宋_GB2312"/>
                <w:sz w:val="18"/>
                <w:szCs w:val="18"/>
              </w:rPr>
              <w:t>规的前提下，维护管委会合法权益。</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时效指标</w:t>
            </w:r>
          </w:p>
        </w:tc>
        <w:tc>
          <w:tcPr>
            <w:tcW w:w="1585" w:type="dxa"/>
            <w:gridSpan w:val="4"/>
            <w:tcBorders>
              <w:bottom w:val="single" w:color="auto" w:sz="4" w:space="0"/>
            </w:tcBorders>
            <w:vAlign w:val="center"/>
          </w:tcPr>
          <w:p>
            <w:pPr>
              <w:spacing w:line="360" w:lineRule="exact"/>
              <w:jc w:val="center"/>
              <w:rPr>
                <w:rFonts w:hint="default" w:eastAsia="仿宋_GB2312"/>
                <w:sz w:val="21"/>
                <w:szCs w:val="21"/>
                <w:lang w:val="en-US" w:eastAsia="zh-CN"/>
              </w:rPr>
            </w:pPr>
            <w:r>
              <w:rPr>
                <w:rFonts w:hint="eastAsia" w:eastAsia="仿宋_GB2312"/>
                <w:sz w:val="21"/>
                <w:szCs w:val="21"/>
                <w:lang w:val="en-US" w:eastAsia="zh-CN"/>
              </w:rPr>
              <w:t>时限内完成</w:t>
            </w:r>
          </w:p>
        </w:tc>
        <w:tc>
          <w:tcPr>
            <w:tcW w:w="1184" w:type="dxa"/>
            <w:gridSpan w:val="2"/>
            <w:tcBorders>
              <w:bottom w:val="single" w:color="auto" w:sz="4" w:space="0"/>
            </w:tcBorders>
            <w:vAlign w:val="center"/>
          </w:tcPr>
          <w:p>
            <w:pPr>
              <w:jc w:val="center"/>
              <w:rPr>
                <w:rFonts w:eastAsia="仿宋_GB2312"/>
                <w:sz w:val="18"/>
                <w:szCs w:val="18"/>
              </w:rPr>
            </w:pPr>
            <w:r>
              <w:rPr>
                <w:rFonts w:hint="eastAsia" w:eastAsia="仿宋_GB2312"/>
                <w:sz w:val="18"/>
                <w:szCs w:val="18"/>
                <w:lang w:val="en-US" w:eastAsia="zh-CN"/>
              </w:rPr>
              <w:t>时限内完成</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成本指标</w:t>
            </w:r>
          </w:p>
        </w:tc>
        <w:tc>
          <w:tcPr>
            <w:tcW w:w="1585" w:type="dxa"/>
            <w:gridSpan w:val="4"/>
            <w:tcBorders>
              <w:bottom w:val="single" w:color="auto" w:sz="4" w:space="0"/>
            </w:tcBorders>
            <w:vAlign w:val="center"/>
          </w:tcPr>
          <w:p>
            <w:pPr>
              <w:spacing w:line="360" w:lineRule="exact"/>
              <w:jc w:val="center"/>
              <w:rPr>
                <w:rFonts w:hint="default" w:eastAsia="仿宋_GB2312"/>
                <w:sz w:val="21"/>
                <w:szCs w:val="21"/>
                <w:lang w:val="en-US" w:eastAsia="zh-CN"/>
              </w:rPr>
            </w:pPr>
            <w:r>
              <w:rPr>
                <w:rFonts w:hint="eastAsia" w:eastAsia="仿宋_GB2312"/>
                <w:sz w:val="21"/>
                <w:szCs w:val="21"/>
                <w:lang w:val="en-US" w:eastAsia="zh-CN"/>
              </w:rPr>
              <w:t>在预算内完成</w:t>
            </w:r>
          </w:p>
        </w:tc>
        <w:tc>
          <w:tcPr>
            <w:tcW w:w="1184" w:type="dxa"/>
            <w:gridSpan w:val="2"/>
            <w:tcBorders>
              <w:bottom w:val="single" w:color="auto" w:sz="4" w:space="0"/>
            </w:tcBorders>
            <w:vAlign w:val="center"/>
          </w:tcPr>
          <w:p>
            <w:pPr>
              <w:jc w:val="center"/>
              <w:rPr>
                <w:rFonts w:eastAsia="仿宋_GB2312"/>
                <w:sz w:val="18"/>
                <w:szCs w:val="18"/>
              </w:rPr>
            </w:pPr>
            <w:r>
              <w:rPr>
                <w:rFonts w:hint="eastAsia" w:eastAsia="仿宋_GB2312"/>
                <w:sz w:val="18"/>
                <w:szCs w:val="18"/>
                <w:lang w:val="en-US" w:eastAsia="zh-CN"/>
              </w:rPr>
              <w:t>预算内完成</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97"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585" w:type="dxa"/>
            <w:gridSpan w:val="4"/>
            <w:tcBorders>
              <w:bottom w:val="single" w:color="auto" w:sz="4" w:space="0"/>
            </w:tcBorders>
            <w:vAlign w:val="center"/>
          </w:tcPr>
          <w:p>
            <w:pPr>
              <w:spacing w:line="360" w:lineRule="exact"/>
              <w:jc w:val="both"/>
              <w:rPr>
                <w:rFonts w:hint="eastAsia" w:eastAsia="仿宋_GB2312"/>
                <w:sz w:val="21"/>
                <w:szCs w:val="21"/>
              </w:rPr>
            </w:pPr>
            <w:r>
              <w:rPr>
                <w:rFonts w:hint="eastAsia" w:eastAsia="仿宋_GB2312"/>
                <w:sz w:val="21"/>
                <w:szCs w:val="21"/>
              </w:rPr>
              <w:t>为三区经济发展保驾护航</w:t>
            </w:r>
          </w:p>
        </w:tc>
        <w:tc>
          <w:tcPr>
            <w:tcW w:w="118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eastAsia="仿宋_GB2312"/>
                <w:sz w:val="18"/>
                <w:szCs w:val="18"/>
              </w:rPr>
            </w:pPr>
            <w:r>
              <w:rPr>
                <w:rFonts w:hint="eastAsia" w:eastAsia="仿宋_GB2312"/>
                <w:sz w:val="18"/>
                <w:szCs w:val="18"/>
              </w:rPr>
              <w:t>为三区经济发展保驾护航</w:t>
            </w:r>
          </w:p>
        </w:tc>
        <w:tc>
          <w:tcPr>
            <w:tcW w:w="2934"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585" w:type="dxa"/>
            <w:gridSpan w:val="4"/>
            <w:tcBorders>
              <w:bottom w:val="single" w:color="auto" w:sz="4" w:space="0"/>
            </w:tcBorders>
            <w:vAlign w:val="center"/>
          </w:tcPr>
          <w:p>
            <w:pPr>
              <w:spacing w:line="360" w:lineRule="exact"/>
              <w:jc w:val="both"/>
              <w:rPr>
                <w:rFonts w:hint="eastAsia" w:eastAsia="仿宋_GB2312"/>
                <w:sz w:val="21"/>
                <w:szCs w:val="21"/>
              </w:rPr>
            </w:pPr>
            <w:r>
              <w:rPr>
                <w:rFonts w:hint="eastAsia" w:eastAsia="仿宋_GB2312"/>
                <w:sz w:val="21"/>
                <w:szCs w:val="21"/>
              </w:rPr>
              <w:t>维护三区社会稳定</w:t>
            </w:r>
          </w:p>
        </w:tc>
        <w:tc>
          <w:tcPr>
            <w:tcW w:w="118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r>
              <w:rPr>
                <w:rFonts w:hint="eastAsia" w:eastAsia="仿宋_GB2312"/>
                <w:sz w:val="18"/>
                <w:szCs w:val="18"/>
              </w:rPr>
              <w:t>维护三区社会稳定</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已完成</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585" w:type="dxa"/>
            <w:gridSpan w:val="4"/>
            <w:tcBorders>
              <w:bottom w:val="single" w:color="auto" w:sz="4" w:space="0"/>
            </w:tcBorders>
            <w:vAlign w:val="center"/>
          </w:tcPr>
          <w:p>
            <w:pPr>
              <w:spacing w:line="360" w:lineRule="exact"/>
              <w:jc w:val="both"/>
              <w:rPr>
                <w:rFonts w:hint="eastAsia" w:eastAsia="仿宋_GB2312"/>
                <w:sz w:val="21"/>
                <w:szCs w:val="21"/>
              </w:rPr>
            </w:pPr>
            <w:r>
              <w:rPr>
                <w:rFonts w:hint="eastAsia" w:eastAsia="仿宋_GB2312"/>
                <w:sz w:val="21"/>
                <w:szCs w:val="21"/>
              </w:rPr>
              <w:t>形成高效、绿色、低碳办公环境</w:t>
            </w:r>
          </w:p>
        </w:tc>
        <w:tc>
          <w:tcPr>
            <w:tcW w:w="1184"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r>
              <w:rPr>
                <w:rFonts w:hint="eastAsia" w:eastAsia="仿宋_GB2312"/>
                <w:sz w:val="18"/>
                <w:szCs w:val="18"/>
              </w:rPr>
              <w:t>高效、绿色、低碳办公环境</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服务对象满意度指标</w:t>
            </w:r>
          </w:p>
        </w:tc>
        <w:tc>
          <w:tcPr>
            <w:tcW w:w="1585" w:type="dxa"/>
            <w:gridSpan w:val="4"/>
            <w:tcBorders>
              <w:bottom w:val="single" w:color="auto" w:sz="4" w:space="0"/>
            </w:tcBorders>
            <w:vAlign w:val="center"/>
          </w:tcPr>
          <w:p>
            <w:pPr>
              <w:spacing w:line="360" w:lineRule="exact"/>
              <w:jc w:val="both"/>
              <w:rPr>
                <w:rFonts w:hint="eastAsia" w:eastAsia="仿宋_GB2312"/>
                <w:sz w:val="21"/>
                <w:szCs w:val="21"/>
              </w:rPr>
            </w:pPr>
            <w:r>
              <w:rPr>
                <w:rFonts w:hint="eastAsia" w:eastAsia="仿宋_GB2312"/>
                <w:sz w:val="21"/>
                <w:szCs w:val="21"/>
              </w:rPr>
              <w:t>服务对象满意度</w:t>
            </w:r>
            <w:r>
              <w:rPr>
                <w:rFonts w:hint="eastAsia" w:eastAsia="仿宋_GB2312"/>
                <w:sz w:val="21"/>
                <w:szCs w:val="21"/>
                <w:lang w:eastAsia="zh-CN"/>
              </w:rPr>
              <w:t>、</w:t>
            </w:r>
            <w:r>
              <w:rPr>
                <w:rFonts w:hint="eastAsia" w:eastAsia="仿宋_GB2312"/>
                <w:sz w:val="21"/>
                <w:szCs w:val="21"/>
              </w:rPr>
              <w:t>社会公众满意度</w:t>
            </w:r>
          </w:p>
        </w:tc>
        <w:tc>
          <w:tcPr>
            <w:tcW w:w="118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c>
          <w:tcPr>
            <w:tcW w:w="293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052" w:type="dxa"/>
            <w:gridSpan w:val="4"/>
            <w:vAlign w:val="center"/>
          </w:tcPr>
          <w:p>
            <w:pPr>
              <w:jc w:val="center"/>
              <w:rPr>
                <w:rFonts w:eastAsia="仿宋_GB2312"/>
                <w:sz w:val="24"/>
              </w:rPr>
            </w:pPr>
            <w:r>
              <w:rPr>
                <w:rFonts w:hint="eastAsia" w:eastAsia="仿宋_GB2312"/>
                <w:sz w:val="24"/>
              </w:rPr>
              <w:t>单  位</w:t>
            </w:r>
          </w:p>
        </w:tc>
        <w:tc>
          <w:tcPr>
            <w:tcW w:w="2934"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成诗韵</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副部长</w:t>
            </w:r>
          </w:p>
        </w:tc>
        <w:tc>
          <w:tcPr>
            <w:tcW w:w="2052" w:type="dxa"/>
            <w:gridSpan w:val="4"/>
            <w:vAlign w:val="center"/>
          </w:tcPr>
          <w:p>
            <w:pPr>
              <w:jc w:val="center"/>
              <w:rPr>
                <w:rFonts w:hint="default" w:eastAsia="仿宋_GB2312"/>
                <w:sz w:val="24"/>
                <w:lang w:val="en-US" w:eastAsia="zh-CN"/>
              </w:rPr>
            </w:pPr>
            <w:r>
              <w:rPr>
                <w:rFonts w:hint="eastAsia" w:eastAsia="仿宋_GB2312"/>
                <w:sz w:val="24"/>
                <w:lang w:val="en-US" w:eastAsia="zh-CN"/>
              </w:rPr>
              <w:t>法律服务部</w:t>
            </w:r>
          </w:p>
        </w:tc>
        <w:tc>
          <w:tcPr>
            <w:tcW w:w="293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val="en-US" w:eastAsia="zh-CN"/>
              </w:rPr>
            </w:pPr>
            <w:r>
              <w:rPr>
                <w:rFonts w:hint="eastAsia" w:eastAsia="仿宋_GB2312"/>
                <w:sz w:val="24"/>
                <w:lang w:val="en-US" w:eastAsia="zh-CN"/>
              </w:rPr>
              <w:t>蔡爽</w:t>
            </w:r>
          </w:p>
        </w:tc>
        <w:tc>
          <w:tcPr>
            <w:tcW w:w="2332" w:type="dxa"/>
            <w:gridSpan w:val="4"/>
            <w:vAlign w:val="center"/>
          </w:tcPr>
          <w:p>
            <w:pPr>
              <w:jc w:val="center"/>
              <w:rPr>
                <w:rFonts w:hint="eastAsia" w:eastAsia="仿宋_GB2312"/>
                <w:sz w:val="24"/>
                <w:lang w:val="en-US" w:eastAsia="zh-CN"/>
              </w:rPr>
            </w:pPr>
            <w:r>
              <w:rPr>
                <w:rFonts w:hint="eastAsia" w:eastAsia="仿宋_GB2312"/>
                <w:sz w:val="24"/>
                <w:lang w:val="en-US" w:eastAsia="zh-CN"/>
              </w:rPr>
              <w:t>科长</w:t>
            </w:r>
          </w:p>
        </w:tc>
        <w:tc>
          <w:tcPr>
            <w:tcW w:w="2052" w:type="dxa"/>
            <w:gridSpan w:val="4"/>
            <w:vAlign w:val="center"/>
          </w:tcPr>
          <w:p>
            <w:pPr>
              <w:jc w:val="center"/>
              <w:rPr>
                <w:rFonts w:hint="default" w:eastAsia="仿宋_GB2312"/>
                <w:sz w:val="24"/>
                <w:lang w:val="en-US" w:eastAsia="zh-CN"/>
              </w:rPr>
            </w:pPr>
            <w:r>
              <w:rPr>
                <w:rFonts w:hint="eastAsia" w:eastAsia="仿宋_GB2312"/>
                <w:sz w:val="24"/>
                <w:lang w:val="en-US" w:eastAsia="zh-CN"/>
              </w:rPr>
              <w:t>法律服务部</w:t>
            </w:r>
          </w:p>
        </w:tc>
        <w:tc>
          <w:tcPr>
            <w:tcW w:w="293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val="en-US" w:eastAsia="zh-CN"/>
              </w:rPr>
            </w:pPr>
            <w:r>
              <w:rPr>
                <w:rFonts w:hint="eastAsia" w:eastAsia="仿宋_GB2312"/>
                <w:sz w:val="24"/>
                <w:lang w:val="en-US" w:eastAsia="zh-CN"/>
              </w:rPr>
              <w:t>钟纯青</w:t>
            </w:r>
          </w:p>
        </w:tc>
        <w:tc>
          <w:tcPr>
            <w:tcW w:w="2332" w:type="dxa"/>
            <w:gridSpan w:val="4"/>
            <w:vAlign w:val="center"/>
          </w:tcPr>
          <w:p>
            <w:pPr>
              <w:jc w:val="center"/>
              <w:rPr>
                <w:rFonts w:hint="eastAsia" w:eastAsia="仿宋_GB2312"/>
                <w:sz w:val="24"/>
                <w:lang w:val="en-US" w:eastAsia="zh-CN"/>
              </w:rPr>
            </w:pPr>
            <w:r>
              <w:rPr>
                <w:rFonts w:hint="eastAsia" w:eastAsia="仿宋_GB2312"/>
                <w:sz w:val="24"/>
                <w:lang w:val="en-US" w:eastAsia="zh-CN"/>
              </w:rPr>
              <w:t>科员</w:t>
            </w:r>
          </w:p>
        </w:tc>
        <w:tc>
          <w:tcPr>
            <w:tcW w:w="2052" w:type="dxa"/>
            <w:gridSpan w:val="4"/>
            <w:vAlign w:val="center"/>
          </w:tcPr>
          <w:p>
            <w:pPr>
              <w:jc w:val="center"/>
              <w:rPr>
                <w:rFonts w:hint="eastAsia" w:eastAsia="仿宋_GB2312"/>
                <w:sz w:val="24"/>
                <w:lang w:val="en-US" w:eastAsia="zh-CN"/>
              </w:rPr>
            </w:pPr>
            <w:r>
              <w:rPr>
                <w:rFonts w:hint="eastAsia" w:eastAsia="仿宋_GB2312"/>
                <w:sz w:val="24"/>
                <w:lang w:val="en-US" w:eastAsia="zh-CN"/>
              </w:rPr>
              <w:t>法律服务部</w:t>
            </w:r>
          </w:p>
        </w:tc>
        <w:tc>
          <w:tcPr>
            <w:tcW w:w="293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numPr>
                <w:ilvl w:val="0"/>
                <w:numId w:val="4"/>
              </w:numPr>
              <w:spacing w:line="560" w:lineRule="exact"/>
              <w:ind w:firstLine="594"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ind w:firstLine="891" w:firstLineChars="300"/>
              <w:rPr>
                <w:rFonts w:hint="eastAsia" w:eastAsia="仿宋_GB2312"/>
                <w:sz w:val="30"/>
                <w:szCs w:val="30"/>
              </w:rPr>
            </w:pPr>
            <w:r>
              <w:rPr>
                <w:rFonts w:hint="eastAsia" w:eastAsia="仿宋_GB2312"/>
                <w:b w:val="0"/>
                <w:bCs/>
                <w:sz w:val="30"/>
                <w:szCs w:val="30"/>
                <w:lang w:val="en-US" w:eastAsia="zh-CN"/>
              </w:rPr>
              <w:t>三区法律服务费用，用于法律服务部</w:t>
            </w:r>
            <w:r>
              <w:rPr>
                <w:rFonts w:hint="eastAsia" w:eastAsia="仿宋_GB2312"/>
                <w:b w:val="0"/>
                <w:bCs/>
                <w:sz w:val="30"/>
                <w:szCs w:val="30"/>
              </w:rPr>
              <w:t>推进法治政府建设，优化法治营商环境，在依</w:t>
            </w:r>
            <w:r>
              <w:rPr>
                <w:rFonts w:hint="eastAsia" w:eastAsia="仿宋_GB2312"/>
                <w:b w:val="0"/>
                <w:bCs/>
                <w:sz w:val="30"/>
                <w:szCs w:val="30"/>
                <w:lang w:val="en-US" w:eastAsia="zh-CN"/>
              </w:rPr>
              <w:t>法</w:t>
            </w:r>
            <w:r>
              <w:rPr>
                <w:rFonts w:hint="eastAsia" w:eastAsia="仿宋_GB2312"/>
                <w:b w:val="0"/>
                <w:bCs/>
                <w:sz w:val="30"/>
                <w:szCs w:val="30"/>
              </w:rPr>
              <w:t>依规的前提下，维护管委会合法权益。</w:t>
            </w:r>
          </w:p>
          <w:p>
            <w:pPr>
              <w:numPr>
                <w:ilvl w:val="0"/>
                <w:numId w:val="4"/>
              </w:numPr>
              <w:spacing w:line="560" w:lineRule="exact"/>
              <w:ind w:left="0" w:leftChars="0" w:firstLine="594"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ind w:firstLine="891" w:firstLineChars="300"/>
              <w:rPr>
                <w:rFonts w:hint="default" w:eastAsia="仿宋_GB2312"/>
                <w:sz w:val="30"/>
                <w:szCs w:val="30"/>
                <w:lang w:val="en-US" w:eastAsia="zh-CN"/>
              </w:rPr>
            </w:pPr>
            <w:r>
              <w:rPr>
                <w:rFonts w:hint="eastAsia" w:eastAsia="仿宋_GB2312"/>
                <w:sz w:val="30"/>
                <w:szCs w:val="30"/>
                <w:lang w:val="en-US" w:eastAsia="zh-CN"/>
              </w:rPr>
              <w:t>2022年度三区法律服务费用专项实际到位资金239.23万元，实际支付资金239.23万元，主要用于支付三区2022年度法律顾问费及神州智谷、三大汽车、华新水泥等20余个诉讼案件服务费用。在项目实施过程中，逐笔对项目支付进行审核，未出现任何问题，项目开展顺利。</w:t>
            </w:r>
          </w:p>
          <w:p>
            <w:pPr>
              <w:numPr>
                <w:ilvl w:val="0"/>
                <w:numId w:val="4"/>
              </w:numPr>
              <w:spacing w:line="560" w:lineRule="exact"/>
              <w:ind w:left="0" w:leftChars="0" w:firstLine="594" w:firstLineChars="200"/>
              <w:rPr>
                <w:rFonts w:hint="eastAsia" w:eastAsia="仿宋_GB2312"/>
                <w:sz w:val="30"/>
                <w:szCs w:val="30"/>
              </w:rPr>
            </w:pPr>
            <w:r>
              <w:rPr>
                <w:rFonts w:hint="eastAsia" w:eastAsia="仿宋_GB2312"/>
                <w:sz w:val="30"/>
                <w:szCs w:val="30"/>
              </w:rPr>
              <w:t>项目组织实施情况</w:t>
            </w:r>
          </w:p>
          <w:p>
            <w:pPr>
              <w:numPr>
                <w:ilvl w:val="0"/>
                <w:numId w:val="0"/>
              </w:numPr>
              <w:spacing w:line="560" w:lineRule="exact"/>
              <w:ind w:firstLine="891" w:firstLineChars="300"/>
              <w:rPr>
                <w:rFonts w:hint="default" w:eastAsia="仿宋_GB2312"/>
                <w:sz w:val="30"/>
                <w:szCs w:val="30"/>
                <w:lang w:val="en-US" w:eastAsia="zh-CN"/>
              </w:rPr>
            </w:pPr>
            <w:r>
              <w:rPr>
                <w:rFonts w:hint="eastAsia" w:eastAsia="仿宋_GB2312"/>
                <w:sz w:val="30"/>
                <w:szCs w:val="30"/>
                <w:lang w:val="en-US" w:eastAsia="zh-CN"/>
              </w:rPr>
              <w:t>2022年度跟踪处理新港区管委会及下属国有企业诉讼案件28宗。胜诉和达到预期效果的达90%以上，败诉案件亦取得了较好的判决结果，共为管理委止损3.9亿元以上，最大程度地维护了我区合法权益。</w:t>
            </w:r>
          </w:p>
          <w:p>
            <w:pPr>
              <w:numPr>
                <w:ilvl w:val="0"/>
                <w:numId w:val="4"/>
              </w:numPr>
              <w:spacing w:line="560" w:lineRule="exact"/>
              <w:ind w:left="0" w:leftChars="0" w:firstLine="594" w:firstLineChars="20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ind w:firstLine="891" w:firstLineChars="300"/>
              <w:rPr>
                <w:rFonts w:hint="default" w:eastAsia="仿宋_GB2312"/>
                <w:sz w:val="30"/>
                <w:szCs w:val="30"/>
                <w:lang w:val="en-US" w:eastAsia="zh-CN"/>
              </w:rPr>
            </w:pPr>
            <w:r>
              <w:rPr>
                <w:rFonts w:hint="eastAsia" w:eastAsia="仿宋_GB2312"/>
                <w:sz w:val="30"/>
                <w:szCs w:val="30"/>
                <w:lang w:val="en-US" w:eastAsia="zh-CN"/>
              </w:rPr>
              <w:t>根据项目支出绩效评价指标体系，本项目自评综合得分100分，评价结论为优秀，达到预期绩效目标。</w:t>
            </w:r>
          </w:p>
          <w:p>
            <w:pPr>
              <w:numPr>
                <w:ilvl w:val="0"/>
                <w:numId w:val="4"/>
              </w:numPr>
              <w:spacing w:line="560" w:lineRule="exact"/>
              <w:ind w:left="0" w:leftChars="0" w:firstLine="594" w:firstLineChars="200"/>
              <w:rPr>
                <w:rFonts w:hint="eastAsia" w:eastAsia="仿宋_GB2312"/>
                <w:sz w:val="30"/>
                <w:szCs w:val="30"/>
              </w:rPr>
            </w:pPr>
            <w:r>
              <w:rPr>
                <w:rFonts w:hint="eastAsia" w:eastAsia="仿宋_GB2312"/>
                <w:sz w:val="30"/>
                <w:szCs w:val="30"/>
              </w:rPr>
              <w:t>项目主要绩效情况分析</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通过提供专业化的法律服务，营造自觉守法、遇事找法、解决问题靠法的良好氛围，让三区部门及区内企业切实感受到“法律服务就在身边”，推动公共法律服务体系建设。</w:t>
            </w:r>
          </w:p>
          <w:p>
            <w:pPr>
              <w:numPr>
                <w:ilvl w:val="0"/>
                <w:numId w:val="4"/>
              </w:numPr>
              <w:spacing w:line="560" w:lineRule="exact"/>
              <w:ind w:left="0" w:leftChars="0" w:firstLine="594"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在项目实施过程中，更加合理的使用资金，做到专款专用，努力改进相关工作，尽早安排资金支出的计划，推进各项工作实施进度，使用好有关经费。在今后的工作中严格按照相关规定编制预算，使项目绩效目标编制明确、量化。加强项目管理，掌握项目的事前、事中、事后绩效评价工作。 </w:t>
            </w:r>
          </w:p>
          <w:p>
            <w:pPr>
              <w:spacing w:line="560" w:lineRule="exact"/>
              <w:ind w:firstLine="594"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
      <w:pPr>
        <w:rPr>
          <w:rFonts w:ascii="黑体" w:hAnsi="黑体" w:eastAsia="黑体"/>
          <w:sz w:val="32"/>
          <w:szCs w:val="32"/>
        </w:rPr>
      </w:pPr>
      <w:r>
        <w:rPr>
          <w:rFonts w:hint="eastAsia" w:ascii="黑体" w:hAnsi="黑体" w:eastAsia="黑体"/>
          <w:sz w:val="32"/>
          <w:szCs w:val="32"/>
        </w:rPr>
        <w:t>附件3-1</w:t>
      </w:r>
    </w:p>
    <w:p>
      <w:pPr>
        <w:keepNext w:val="0"/>
        <w:keepLines w:val="0"/>
        <w:pageBreakBefore w:val="0"/>
        <w:widowControl w:val="0"/>
        <w:kinsoku/>
        <w:wordWrap/>
        <w:overflowPunct/>
        <w:topLinePunct w:val="0"/>
        <w:autoSpaceDE/>
        <w:autoSpaceDN/>
        <w:bidi w:val="0"/>
        <w:adjustRightInd/>
        <w:snapToGrid/>
        <w:spacing w:before="304" w:beforeLines="50" w:after="304" w:afterLines="50"/>
        <w:jc w:val="center"/>
        <w:textAlignment w:val="auto"/>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keepNext w:val="0"/>
        <w:keepLines w:val="0"/>
        <w:pageBreakBefore w:val="0"/>
        <w:widowControl w:val="0"/>
        <w:kinsoku/>
        <w:wordWrap/>
        <w:overflowPunct/>
        <w:topLinePunct w:val="0"/>
        <w:autoSpaceDE/>
        <w:autoSpaceDN/>
        <w:bidi w:val="0"/>
        <w:adjustRightInd/>
        <w:snapToGrid/>
        <w:spacing w:before="304" w:beforeLines="50" w:after="304" w:afterLines="50" w:line="560" w:lineRule="exact"/>
        <w:jc w:val="center"/>
        <w:textAlignment w:val="auto"/>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rFonts w:hint="eastAsia"/>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3C3FC"/>
    <w:multiLevelType w:val="singleLevel"/>
    <w:tmpl w:val="C6A3C3FC"/>
    <w:lvl w:ilvl="0" w:tentative="0">
      <w:start w:val="1"/>
      <w:numFmt w:val="decimal"/>
      <w:lvlText w:val="%1."/>
      <w:lvlJc w:val="left"/>
      <w:pPr>
        <w:tabs>
          <w:tab w:val="left" w:pos="312"/>
        </w:tabs>
      </w:pPr>
    </w:lvl>
  </w:abstractNum>
  <w:abstractNum w:abstractNumId="1">
    <w:nsid w:val="21D640B4"/>
    <w:multiLevelType w:val="singleLevel"/>
    <w:tmpl w:val="21D640B4"/>
    <w:lvl w:ilvl="0" w:tentative="0">
      <w:start w:val="2"/>
      <w:numFmt w:val="chineseCounting"/>
      <w:suff w:val="nothing"/>
      <w:lvlText w:val="（%1）"/>
      <w:lvlJc w:val="left"/>
      <w:rPr>
        <w:rFonts w:hint="eastAsia"/>
      </w:rPr>
    </w:lvl>
  </w:abstractNum>
  <w:abstractNum w:abstractNumId="2">
    <w:nsid w:val="582F4E41"/>
    <w:multiLevelType w:val="singleLevel"/>
    <w:tmpl w:val="582F4E41"/>
    <w:lvl w:ilvl="0" w:tentative="0">
      <w:start w:val="4"/>
      <w:numFmt w:val="chineseCounting"/>
      <w:suff w:val="nothing"/>
      <w:lvlText w:val="%1、"/>
      <w:lvlJc w:val="left"/>
      <w:rPr>
        <w:rFonts w:hint="eastAsia"/>
      </w:rPr>
    </w:lvl>
  </w:abstractNum>
  <w:abstractNum w:abstractNumId="3">
    <w:nsid w:val="719AB1D8"/>
    <w:multiLevelType w:val="singleLevel"/>
    <w:tmpl w:val="719AB1D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ZWVhYTQxMzQxODYyZGVhZDUzNGMzMTFhZjU1OTQ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C0295"/>
    <w:rsid w:val="00DC5AFB"/>
    <w:rsid w:val="00DF1BBB"/>
    <w:rsid w:val="00E60FCA"/>
    <w:rsid w:val="00EA1E6B"/>
    <w:rsid w:val="00EB2748"/>
    <w:rsid w:val="00F521AC"/>
    <w:rsid w:val="00F74B28"/>
    <w:rsid w:val="00F86472"/>
    <w:rsid w:val="02AC2ED8"/>
    <w:rsid w:val="049820AD"/>
    <w:rsid w:val="062B5C75"/>
    <w:rsid w:val="064A48AD"/>
    <w:rsid w:val="095E1B17"/>
    <w:rsid w:val="10644C34"/>
    <w:rsid w:val="14A1455E"/>
    <w:rsid w:val="1AF937C5"/>
    <w:rsid w:val="21DE1912"/>
    <w:rsid w:val="28537610"/>
    <w:rsid w:val="2A6D1036"/>
    <w:rsid w:val="2B423864"/>
    <w:rsid w:val="30B11F2C"/>
    <w:rsid w:val="30DF318F"/>
    <w:rsid w:val="39B036D0"/>
    <w:rsid w:val="3B876250"/>
    <w:rsid w:val="3C12626D"/>
    <w:rsid w:val="3CD63887"/>
    <w:rsid w:val="4039052C"/>
    <w:rsid w:val="4233680D"/>
    <w:rsid w:val="444916CE"/>
    <w:rsid w:val="46EF7542"/>
    <w:rsid w:val="47634960"/>
    <w:rsid w:val="478D4D9A"/>
    <w:rsid w:val="4B78366B"/>
    <w:rsid w:val="4C0445FA"/>
    <w:rsid w:val="4C4F6813"/>
    <w:rsid w:val="4CDB6A43"/>
    <w:rsid w:val="4F915F94"/>
    <w:rsid w:val="4F9D4FE0"/>
    <w:rsid w:val="515F1555"/>
    <w:rsid w:val="534B5911"/>
    <w:rsid w:val="59BF117F"/>
    <w:rsid w:val="5AFE4088"/>
    <w:rsid w:val="5B8B0DD1"/>
    <w:rsid w:val="60600FB6"/>
    <w:rsid w:val="62993843"/>
    <w:rsid w:val="656D5C62"/>
    <w:rsid w:val="66717D67"/>
    <w:rsid w:val="68942620"/>
    <w:rsid w:val="6AD16123"/>
    <w:rsid w:val="6CD918AD"/>
    <w:rsid w:val="6E055C01"/>
    <w:rsid w:val="780D479C"/>
    <w:rsid w:val="79BA34E7"/>
    <w:rsid w:val="7C63164A"/>
    <w:rsid w:val="7D69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 w:type="paragraph" w:customStyle="1" w:styleId="15">
    <w:name w:val="Normal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11587</Words>
  <Characters>12349</Characters>
  <Lines>19</Lines>
  <Paragraphs>5</Paragraphs>
  <TotalTime>2</TotalTime>
  <ScaleCrop>false</ScaleCrop>
  <LinksUpToDate>false</LinksUpToDate>
  <CharactersWithSpaces>13517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钟纯青</cp:lastModifiedBy>
  <cp:lastPrinted>2023-08-31T06:45:05Z</cp:lastPrinted>
  <dcterms:modified xsi:type="dcterms:W3CDTF">2023-08-31T06:46:57Z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8EFCF8DB79774486A140D562F98626EC_13</vt:lpwstr>
  </property>
</Properties>
</file>