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部门(单位)名称：党群工作部</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码：999236</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报告日期：2023年 2月 6日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胡雅琴</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18773019117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负责党务工作，推进机关党建、非公党建业务；负责组织人事、队伍建设、人员录聘、人事人才工作；负责机构编制工作；负责统战工作，大人、政协联络以及建议案、提案办理工作；统筹协调群团工作。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任务1：开展“我为群众办实事 我为企业解难题”实践活动和湖南城陵矶新港区机关党支部与非公企业“红色传承 携手共建”活动。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任务2：开展2021年度党支部书记抓党建和意识形态工作责任制述职评议会议。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任务3：开展党建业务培训工作。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任务4：组织开展七一表彰慰问活动。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任务5：开展党群服务中心宣传物料更新。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任务6：开展党建带群建活动。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任务7：根据党工委要求开展人员调整、选调、招聘等相关工作。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任务8：规范三区聘用制人员劳动合同管理，按时完成五险一金业务办理。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任务9：加强干部监督、兼职清查，组织参加教育培训。</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任务10：推进三区聘用人员薪酬规范管理，完成干部基本工资及津补贴调整工作。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任务11：开展干部人事档案专项审核工作。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任务12：制定三区人才政策，完善人才服务制度。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任务13：按时完成各类人才政策补贴的申报审核工作。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任务14：对接人大代表建议、政协提案办理工作。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任务15：积极配合市委统战部落实统一战线工作。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任务16：开展城陵矶新港区新的社会阶层人士联合会成立相关工作。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2022年我区新增党支部49家，新发展党员55人，新接收党员286人,归属流动党员119人，基层党组织和党员数量与去年相比实现“双翻番”。积极谋划七一表彰及慰问活动，扎实推进“红色传承 携手共建”“我为企业解难题，我为群众办实事”等实践活动，各机关支部与非公企业支部共同开展活动50余次，共上党课30余次，为群众办实事为企业解决难题共300余件。联合工青妇等群团组织，开展趣味运动会、读书节、篮球赛、职业技能培训班、电影党课"一课一片一实践"等企业文化节活动20余次，丰富园区5万余名企业职工的业余生活，切实增加园区党员“此心安处是吾乡”的归属感和幸福感。</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一是统筹干部提拔人事安排，坚持以政治建设考察统领干部提拔考察工作，落实“凡提四必”、廉政意见“双签字”的规定。今年共调整干部2批次，涉及</w:t>
            </w:r>
            <w:r>
              <w:rPr>
                <w:rFonts w:hint="eastAsia" w:ascii="仿宋_GB2312" w:hAnsi="仿宋_GB2312" w:eastAsia="仿宋_GB2312" w:cs="仿宋_GB2312"/>
                <w:sz w:val="24"/>
              </w:rPr>
              <w:t>35</w:t>
            </w:r>
            <w:r>
              <w:rPr>
                <w:rFonts w:hint="eastAsia" w:ascii="仿宋_GB2312" w:hAnsi="仿宋_GB2312" w:eastAsia="仿宋_GB2312" w:cs="仿宋_GB2312"/>
                <w:color w:val="000000"/>
                <w:sz w:val="24"/>
              </w:rPr>
              <w:t>名干部。指导港发公司、自贸投、观盛公司等进行多批次社会招聘，进一步充实了区属国有公司人员力量，增强公司活力。二是加大干部培养力度。开展青年干部素质培训班、新入职员工培训班，常态化推进自有品牌“开放崛起大讲堂”培训，今年已组织安排学习培训12次，惠及三区干部和区内企业职工3500余人。三是深入开展三区干部人事档案专项审核，健全完善档案审核管理常态化机制，深化干部人事档案遗留问题“清淤”行动，共整理档案</w:t>
            </w:r>
            <w:r>
              <w:rPr>
                <w:rFonts w:ascii="仿宋_GB2312" w:hAnsi="仿宋_GB2312" w:eastAsia="仿宋_GB2312" w:cs="仿宋_GB2312"/>
                <w:color w:val="000000"/>
                <w:sz w:val="24"/>
              </w:rPr>
              <w:t>71</w:t>
            </w:r>
            <w:r>
              <w:rPr>
                <w:rFonts w:hint="eastAsia" w:ascii="仿宋_GB2312" w:hAnsi="仿宋_GB2312" w:eastAsia="仿宋_GB2312" w:cs="仿宋_GB2312"/>
                <w:color w:val="000000"/>
                <w:sz w:val="24"/>
              </w:rPr>
              <w:t>份，专项审核完成率达100%，累计核验、补充资料539份。四是围绕省、市园区体制机制改革创新安排部署，探索适合新港区“大工委”机制有效运转的改革方案，进一步规范机构设置，明确功能定位，打破身份壁垒，实行全员聘任、合同管理，建立市场化人力资源配置和公平竞争的用人机制，实行“多劳多得、优绩优酬”的薪酬绩效体系，为全力创建“五好园区”提供体制保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深入贯彻市委市政府“聚天下英才共建岳阳”的使命担当，我们一方面采取点对点方式大力宣传“巴陵人才新政20条”“人才新政45条”及其配套细则，采取线上线下相结合的方式建立人才工作服务群，举行人才政策宣讲会，建立人才服务窗口，畅通了人才服务通道。另一方面制定了符合三区人才创新及引进需求的《关于加快人才强区建设暨岳阳自贸片区人才引进的若干措施（试行）》及其配套实施细则，形成了聚才引才的良好氛围。今年共申报市、区级人才项目16批次，惠及青年人才、高层次创新创业人才、高技能人才、科技创新团队、人才集聚示范企业、高级技师及正高级职称人才（团队）近300人，其中多次开展巴陵工匠、巴陵工程师等本土特色人才项目，促进本土人才选拔激励工作，目前，市、区级财政已发放人才奖励资金累计近300万元。</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一是配合做好党外人士、出国和归国留学人员调查摸底工作。二是积极推荐党外人士担任“两代表一委员”，三是新阶联成立等相关工作。目前新阶联已正式成立，运转良好。四是</w:t>
            </w:r>
            <w:r>
              <w:rPr>
                <w:rFonts w:hint="eastAsia" w:ascii="仿宋_GB2312" w:hAnsi="仿宋_GB2312" w:eastAsia="仿宋_GB2312" w:cs="仿宋_GB2312"/>
                <w:bCs/>
                <w:color w:val="000000"/>
                <w:sz w:val="24"/>
              </w:rPr>
              <w:t>稳步推进工商联成立</w:t>
            </w: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城陵矶新港区工商业联合会（总商会）经前期筹备，现已发展会员</w:t>
            </w:r>
            <w:r>
              <w:rPr>
                <w:rFonts w:ascii="仿宋_GB2312" w:hAnsi="仿宋_GB2312" w:eastAsia="仿宋_GB2312" w:cs="仿宋_GB2312"/>
                <w:color w:val="000000"/>
                <w:sz w:val="24"/>
              </w:rPr>
              <w:t>56</w:t>
            </w:r>
            <w:r>
              <w:rPr>
                <w:rFonts w:hint="eastAsia" w:ascii="仿宋_GB2312" w:hAnsi="仿宋_GB2312" w:eastAsia="仿宋_GB2312" w:cs="仿宋_GB2312"/>
                <w:color w:val="000000"/>
                <w:sz w:val="24"/>
              </w:rPr>
              <w:t>家（工业企业</w:t>
            </w:r>
            <w:r>
              <w:rPr>
                <w:rFonts w:ascii="仿宋_GB2312" w:hAnsi="仿宋_GB2312" w:eastAsia="仿宋_GB2312" w:cs="仿宋_GB2312"/>
                <w:color w:val="000000"/>
                <w:sz w:val="24"/>
              </w:rPr>
              <w:t>32</w:t>
            </w:r>
            <w:r>
              <w:rPr>
                <w:rFonts w:hint="eastAsia" w:ascii="仿宋_GB2312" w:hAnsi="仿宋_GB2312" w:eastAsia="仿宋_GB2312" w:cs="仿宋_GB2312"/>
                <w:color w:val="000000"/>
                <w:sz w:val="24"/>
              </w:rPr>
              <w:t>家，建筑企业及地产开发企业</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家，商贸企业及物流企业</w:t>
            </w: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家，其他</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家），达到建会标准。9月28日我区党工委会议研究确定了工商联党组书记和班子提名人选，23年年初召开成立大会。</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圆满完成人大建议、政协提案办理办结工作。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432</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432</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412.67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139.52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128.66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273.15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412.67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139.52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128.66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273.15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目标1：围绕党的二十大开展系列主题党建活动，结合党建联点开展“我为企业解难题，我为群众办实事”实践活动；组织非公党支部与机关支部开展“红色传承 携手共建”活动；举办城陵矶新港区第二届企业文化节等活动。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目标2：根据党工委指示做好组织人事工作，统筹干部提拔人事安排，开展各类培训活动，组织开展干部档案专项审核清淤行动，推进完善大工委体制机制管理模式。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目标3：落实巴陵新政20条与岳阳市人才新政45条，制定适应于三区的人才政策。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目标4：积极配合市委统战部落实统一战线工作。</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1.围绕党的二十大开展系列主题党建活动，结合党建联点开展“我为企业解难题，我为群众办实事”实践活动；组织非公党支部与机关支部开展“红色传承 携手共建”活动；举办城陵矶新港区第二届企业文化节等活动。抓实两新党员教育管理工作，推动开展党组织书记、党务工作者等培训班7期、二十大精神轮训班3期、“开放崛起大讲堂”10期，举办党群服务中心读书班23场、车间夜校微课堂35场、红色车间微宣讲56场，全面完成800余名党员集中培训任务。</w:t>
            </w:r>
            <w:r>
              <w:rPr>
                <w:rFonts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2.</w:t>
            </w:r>
            <w:r>
              <w:rPr>
                <w:rFonts w:hint="eastAsia"/>
              </w:rPr>
              <w:t xml:space="preserve"> </w:t>
            </w:r>
            <w:r>
              <w:rPr>
                <w:rFonts w:hint="eastAsia" w:ascii="仿宋_GB2312" w:hAnsi="仿宋_GB2312" w:eastAsia="仿宋_GB2312" w:cs="仿宋_GB2312"/>
                <w:color w:val="000000"/>
                <w:sz w:val="24"/>
              </w:rPr>
              <w:t>根据岳办〔2022〕9号  关于印发《中共湖南城陵矶新港区工作委员会城陵矶新港区管理委员会中国（湖南）自由贸易试验区岳阳片区管理委员会岳阳城陵矶综合保税区管理委员会职能配置、内设机构和人员编制规定》的通知迅速完成三区人员调整工作，运行顺畅。组织开展干部档案专项审核清淤行动，推进完善大工委体制机制管理模式。</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 w:eastAsia="仿宋_GB2312" w:cs="仿宋"/>
                <w:color w:val="000000"/>
                <w:sz w:val="32"/>
                <w:szCs w:val="32"/>
                <w:shd w:val="clear" w:color="auto" w:fill="FFFFFF"/>
              </w:rPr>
              <w:t xml:space="preserve"> </w:t>
            </w:r>
            <w:r>
              <w:rPr>
                <w:rFonts w:hint="eastAsia" w:ascii="仿宋_GB2312" w:hAnsi="仿宋_GB2312" w:eastAsia="仿宋_GB2312" w:cs="仿宋_GB2312"/>
                <w:color w:val="000000"/>
                <w:sz w:val="24"/>
              </w:rPr>
              <w:t>研究出台《城陵矶新港区加快人才高地建设的若干措施》“惠企十条”等精准支持政策。</w:t>
            </w:r>
            <w:r>
              <w:rPr>
                <w:rFonts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4. 积极配合市委统战部落实统一战线工作。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指标1：围绕党的二十大开展系列主题党建活动，结合党建联点开展“我为企业解难题，我为群众办实事”实践活动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指标2：落实巴陵新政20条与岳阳市人才新政45条，制定适应于三区的人才政策。</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指标3：根据党工委指示做好组织人事工作，统筹干部提拔人事安排，完善大工委体制机制管理模式，完成三区人员调整工作。</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指标4：积极配合市委统战部落实统一战线工作</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推动开展党组织书记、党务工作者等培训班7期、二十大精神轮训班3期、“开放崛起大讲堂”10期，举办党群服务中心读书班23场、车间夜校微课堂35场、红色车间微宣讲56场，全面完成800余名党员集中培训任务</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指标2：共调整干部2批次，涉及35名干部</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申报市、区级人才项目16批次，惠及青年人才、高层次创新创业人才、高技能人才、科技创新团队、人才集聚示范企业、高级技师及正高级职称人才（团队）近300人，其中多次开展巴陵工匠、巴陵工程师等本土特色人才项目，促进本土人才选拔激励工作，目前，市、区级财政已发放人才奖励资金累计近300万元</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能按照时间节点完成党建、组织人事、人才、统战工作。</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完成全部财政预算安排资金支出目标，不超范围、超预算支出</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指标1：丰富园区5万余名企业职工的业余生活，切实增加园区党员“此心安处是吾乡”的归属感和幸福感。</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指标2：加大引才留才的力度，在全区形成了浓厚的尊才爱才的氛围。</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为全区经济发展提供了坚强的人才与智力支撑</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确立了党建引领、服务人才的服务理念。</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服务对象满意率高于99%</w:t>
            </w:r>
          </w:p>
        </w:tc>
        <w:tc>
          <w:tcPr>
            <w:tcW w:w="2684" w:type="dxa"/>
            <w:gridSpan w:val="6"/>
            <w:vAlign w:val="center"/>
          </w:tcPr>
          <w:p>
            <w:pPr>
              <w:jc w:val="cente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胡雅琴</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党群工作部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napToGrid w:val="0"/>
              <w:spacing w:line="600" w:lineRule="exact"/>
              <w:ind w:firstLine="554" w:firstLineChars="200"/>
            </w:pPr>
            <w:r>
              <w:rPr>
                <w:rFonts w:hint="eastAsia" w:ascii="仿宋_GB2312" w:hAnsi="仿宋_GB2312" w:eastAsia="仿宋_GB2312" w:cs="仿宋_GB2312"/>
                <w:bCs/>
                <w:sz w:val="28"/>
                <w:szCs w:val="28"/>
              </w:rPr>
              <w:t>党群工作部基本情况人员共8人，其中在编人员3人。主要职能：负责党务工作，推进机关党建、非公党建业务；负责组织人事、队伍建设、人员录聘、人事人才工作；负责机构编制工作；负责统战工作，大人、政协联络以及建议案、提案办理工作；统筹协调群团工作。</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napToGrid w:val="0"/>
              <w:spacing w:line="600" w:lineRule="exact"/>
              <w:ind w:firstLine="554" w:firstLineChars="200"/>
              <w:rPr>
                <w:rFonts w:eastAsia="仿宋_GB2312"/>
                <w:color w:val="FF0000"/>
              </w:rPr>
            </w:pPr>
            <w:r>
              <w:rPr>
                <w:rFonts w:hint="eastAsia" w:ascii="仿宋_GB2312" w:hAnsi="仿宋_GB2312" w:eastAsia="仿宋_GB2312" w:cs="仿宋_GB2312"/>
                <w:bCs/>
                <w:sz w:val="28"/>
                <w:szCs w:val="28"/>
              </w:rPr>
              <w:t>部门支出规模412.67万元，基本支出资金139.52万元，其中128.66万元是人员支出费用，10.86万元是公用支出费用；项目支出273.15万元，其中167.82万元为党群服务中心专项支出，9.6万元为党群工作经费支出，55.9万元为非公党建专项支出,6.98万元为区妇联活动经费支出,14.99万元为区机关党委支出,5万元为区科协工作经费支出,3.93万元为区团委工作经费支出,3.93万元为人事管理经费支出,5万元为新阶联工作经费支出。</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基本支出资金139.52万元，其中128.66万元是人员支出费用，10.86万元是公用支出费用（二）专项支出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用于支付党群服务中心、非公党建、区妇联活动、区机关党委、区科协工作、区团委工作、人事管理、新阶联工作等相关建设及活动，群团建设卓有成效。</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napToGrid w:val="0"/>
              <w:spacing w:line="600" w:lineRule="exact"/>
              <w:ind w:firstLine="554" w:firstLineChars="200"/>
            </w:pPr>
            <w:r>
              <w:rPr>
                <w:rFonts w:hint="eastAsia" w:ascii="仿宋_GB2312" w:hAnsi="仿宋_GB2312" w:eastAsia="仿宋_GB2312" w:cs="仿宋_GB2312"/>
                <w:bCs/>
                <w:sz w:val="28"/>
                <w:szCs w:val="28"/>
              </w:rPr>
              <w:t>专项资金实际使用情况与预算情况一致，且发挥了专项资金效益。</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napToGrid w:val="0"/>
              <w:spacing w:line="600" w:lineRule="exact"/>
              <w:ind w:firstLine="554" w:firstLineChars="200"/>
            </w:pPr>
            <w:r>
              <w:rPr>
                <w:rFonts w:hint="eastAsia" w:ascii="仿宋_GB2312" w:hAnsi="仿宋_GB2312" w:eastAsia="仿宋_GB2312" w:cs="仿宋_GB2312"/>
                <w:bCs/>
                <w:sz w:val="28"/>
                <w:szCs w:val="28"/>
              </w:rPr>
              <w:t>已制定或具有预算资金管理办法，内部财务管理制度、会计核算制度等管理制度；相关管理制度合法、合规、完整；相关管理制度得到有效执行。</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napToGrid w:val="0"/>
              <w:spacing w:line="600" w:lineRule="exact"/>
              <w:ind w:firstLine="554" w:firstLineChars="200"/>
            </w:pPr>
            <w:r>
              <w:rPr>
                <w:rFonts w:hint="eastAsia" w:ascii="仿宋_GB2312" w:hAnsi="仿宋_GB2312" w:eastAsia="仿宋_GB2312" w:cs="仿宋_GB2312"/>
                <w:bCs/>
                <w:sz w:val="28"/>
                <w:szCs w:val="28"/>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2022年，我部门严格按照省委市委的部署要求，始终坚持“稳中求进”总基调，聚焦主业，深入推进全区党的建设、组织人事人才、统一战线、人大政协等工作，圆满完成了年度各项目标任务。主要绩效情况如下：</w:t>
            </w:r>
          </w:p>
          <w:p>
            <w:pPr>
              <w:spacing w:line="580" w:lineRule="exact"/>
              <w:ind w:firstLine="554"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（一）增量提质抓党建工作</w:t>
            </w:r>
          </w:p>
          <w:p>
            <w:pPr>
              <w:spacing w:line="58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2022年我区新增党支部49家，新发展党员55人，新接收党员286人,归属流动党员119人，基层党组织和党员数量与去年相比实现“双翻番”。积极谋划七一表彰及慰问活动，扎实推进“红色传承 携手共建”“我为企业解难题，我为群众办实事”等实践活动，各机关支部与非公企业支部共同开展活动50余次，共上党课30余次，为群众办实事为企业解决难题共300余件。联合工青妇等群团组织，开展趣味运动会、读书节、篮球赛、职业技能培训班、电影党课"一课一片一实践"等企业文化节活动20余次，丰富园区5万余名企业职工的业余生活，切实增加园区党员“此心安处是吾乡”的归属感和幸福感。</w:t>
            </w:r>
          </w:p>
          <w:p>
            <w:pPr>
              <w:spacing w:line="580" w:lineRule="exact"/>
              <w:ind w:firstLine="554"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（二）紧扣重点强组织建设</w:t>
            </w:r>
          </w:p>
          <w:p>
            <w:pPr>
              <w:autoSpaceDN w:val="0"/>
              <w:spacing w:line="580" w:lineRule="exact"/>
              <w:ind w:firstLine="554" w:firstLineChars="200"/>
              <w:jc w:val="left"/>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统筹干部提拔人事安排，坚持以政治建设考察统领干部提拔考察工作，落实“凡提四必”、廉政意见“双签字”的规定。今年共调整干部2批次，涉及35名干部。指导港发公司、自贸投、观盛公司等进行多批次社会招聘，进一步充实了区属国有公司人员力量，增强公司活力。二是加大干部培养力度。开展青年干部素质培训班、新入职员工培训班，常态化推进自有品牌“开放崛起大讲堂”培训，今年已组织安排学习培训12次，惠及三区干部和区内企业职工3500余人。三是深入开展三区干部人事档案专项审核，健全完善档案审核管理常态化机制，深化干部人事档案遗留问题“清淤”行动，共整理档案</w:t>
            </w:r>
            <w:r>
              <w:rPr>
                <w:rFonts w:ascii="仿宋_GB2312" w:hAnsi="仿宋_GB2312" w:eastAsia="仿宋_GB2312" w:cs="仿宋_GB2312"/>
                <w:bCs/>
                <w:sz w:val="28"/>
                <w:szCs w:val="28"/>
              </w:rPr>
              <w:t>71</w:t>
            </w:r>
            <w:r>
              <w:rPr>
                <w:rFonts w:hint="eastAsia" w:ascii="仿宋_GB2312" w:hAnsi="仿宋_GB2312" w:eastAsia="仿宋_GB2312" w:cs="仿宋_GB2312"/>
                <w:bCs/>
                <w:sz w:val="28"/>
                <w:szCs w:val="28"/>
              </w:rPr>
              <w:t>份，专项审核完成率达100%，累计核验、补充资料539份。四是围绕省、市园区体制机制改革创新安排部署，探索适合新港区“大工委”机制有效运转的改革方案，进一步规范机构设置，明确功能定位，打破身份壁垒，实行全员聘任、合同管理，建立市场化人力资源配置和公平竞争的用人机制，实行“多劳多得、优绩优酬”的薪酬绩效体系，为全力创建“五好园区”提供体制保障。</w:t>
            </w:r>
          </w:p>
          <w:p>
            <w:pPr>
              <w:pStyle w:val="14"/>
              <w:spacing w:line="600" w:lineRule="exact"/>
              <w:ind w:firstLine="55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此外，积极做好领导干部个人有关事项报告集中填报工作和干部因私出国境登记备案工作、机构改革后人员转隶工作等。</w:t>
            </w:r>
          </w:p>
          <w:p>
            <w:pPr>
              <w:spacing w:line="580" w:lineRule="exact"/>
              <w:ind w:firstLine="554"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（三）创新协同兴人才战略</w:t>
            </w:r>
          </w:p>
          <w:p>
            <w:pPr>
              <w:autoSpaceDN w:val="0"/>
              <w:spacing w:line="580" w:lineRule="exact"/>
              <w:ind w:firstLine="554" w:firstLineChars="200"/>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深入贯彻市委市政府“聚天下英才共建岳阳”的使命担当，我们一方面采取点对点方式大力宣传“巴陵人才新政20条”“人才新政45条”及其配套细则，采取线上线下相结合的方式建立人才工作服务群，举行人才政策宣讲会，建立人才服务窗口，畅通了人才服务通道。另一方面制定了符合三区人才创新及引进需求的《关于加快人才强区建设暨岳阳自贸片区人才引进的若干措施（试行）》及其配套实施细则，形成了聚才引才的良好氛围。今年共申报市、区级人才项目16批次，惠及青年人才、高层次创新创业人才、高技能人才、科技创新团队、人才集聚示范企业、高级技师及正高级职称人才（团队）近300人，其中多次开展巴陵工匠、巴陵工程师等本土特色人才项目，促进本土人才选拔激励工作，目前，市、区级财政已发放人才奖励资金累计近300万元。</w:t>
            </w:r>
          </w:p>
          <w:p>
            <w:pPr>
              <w:spacing w:line="580" w:lineRule="exact"/>
              <w:ind w:firstLine="554"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（四）夯实基础搭统战架构</w:t>
            </w:r>
          </w:p>
          <w:p>
            <w:pPr>
              <w:autoSpaceDN w:val="0"/>
              <w:spacing w:line="580" w:lineRule="exact"/>
              <w:ind w:firstLine="554" w:firstLineChars="200"/>
              <w:jc w:val="left"/>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部门职责，党群工作部加挂“统战部”牌子，为此，我们充实统一战线工作力量，摸排统战基础，凝聚统战力量。一是配合做好党外人士、出国和归国留学人员调查摸底工作。二是积极推荐党外人士担任“两代表一委员”，三是新阶联成立等相关工作。目前新阶联已正式成立，运转良好。四是稳步推进工商联成立。城陵矶新港区工商业联合会（总商会）经前期筹备，现已发展会员</w:t>
            </w:r>
            <w:r>
              <w:rPr>
                <w:rFonts w:ascii="仿宋_GB2312" w:hAnsi="仿宋_GB2312" w:eastAsia="仿宋_GB2312" w:cs="仿宋_GB2312"/>
                <w:bCs/>
                <w:sz w:val="28"/>
                <w:szCs w:val="28"/>
              </w:rPr>
              <w:t>56</w:t>
            </w:r>
            <w:r>
              <w:rPr>
                <w:rFonts w:hint="eastAsia" w:ascii="仿宋_GB2312" w:hAnsi="仿宋_GB2312" w:eastAsia="仿宋_GB2312" w:cs="仿宋_GB2312"/>
                <w:bCs/>
                <w:sz w:val="28"/>
                <w:szCs w:val="28"/>
              </w:rPr>
              <w:t>家（工业企业</w:t>
            </w:r>
            <w:r>
              <w:rPr>
                <w:rFonts w:ascii="仿宋_GB2312" w:hAnsi="仿宋_GB2312" w:eastAsia="仿宋_GB2312" w:cs="仿宋_GB2312"/>
                <w:bCs/>
                <w:sz w:val="28"/>
                <w:szCs w:val="28"/>
              </w:rPr>
              <w:t>32</w:t>
            </w:r>
            <w:r>
              <w:rPr>
                <w:rFonts w:hint="eastAsia" w:ascii="仿宋_GB2312" w:hAnsi="仿宋_GB2312" w:eastAsia="仿宋_GB2312" w:cs="仿宋_GB2312"/>
                <w:bCs/>
                <w:sz w:val="28"/>
                <w:szCs w:val="28"/>
              </w:rPr>
              <w:t>家，建筑企业及地产开发企业</w:t>
            </w:r>
            <w:r>
              <w:rPr>
                <w:rFonts w:ascii="仿宋_GB2312" w:hAnsi="仿宋_GB2312" w:eastAsia="仿宋_GB2312" w:cs="仿宋_GB2312"/>
                <w:bCs/>
                <w:sz w:val="28"/>
                <w:szCs w:val="28"/>
              </w:rPr>
              <w:t>10</w:t>
            </w:r>
            <w:r>
              <w:rPr>
                <w:rFonts w:hint="eastAsia" w:ascii="仿宋_GB2312" w:hAnsi="仿宋_GB2312" w:eastAsia="仿宋_GB2312" w:cs="仿宋_GB2312"/>
                <w:bCs/>
                <w:sz w:val="28"/>
                <w:szCs w:val="28"/>
              </w:rPr>
              <w:t>家，商贸企业及物流企业</w:t>
            </w:r>
            <w:r>
              <w:rPr>
                <w:rFonts w:ascii="仿宋_GB2312" w:hAnsi="仿宋_GB2312" w:eastAsia="仿宋_GB2312" w:cs="仿宋_GB2312"/>
                <w:bCs/>
                <w:sz w:val="28"/>
                <w:szCs w:val="28"/>
              </w:rPr>
              <w:t>11</w:t>
            </w:r>
            <w:r>
              <w:rPr>
                <w:rFonts w:hint="eastAsia" w:ascii="仿宋_GB2312" w:hAnsi="仿宋_GB2312" w:eastAsia="仿宋_GB2312" w:cs="仿宋_GB2312"/>
                <w:bCs/>
                <w:sz w:val="28"/>
                <w:szCs w:val="28"/>
              </w:rPr>
              <w:t>家，其他</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家），达到建会标准。9月28日我区党工委会议研究确定了工商联党组书记和班子提名人选，23年年初召开成立大会。</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8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预算绩效评价指标体系有待完善。因对项目支出规律研究不深，校内部分项目考核指标细化和量化不够，投入产出经济性、效益性、满意度考核指标不够明确、不够完善。</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会计制度功能科目和经济科目的要求科学分解财政预算，达到预算指标和绩效指标高度一致，以进一步提高整体支出绩效目标。完善项目绩效管理办法，落实项目绩效管理责任，严格项目管控过程，加快项目推进进度，建立自评与他评相结合的评价机制，提高绩效考核结果对预算编制的指挥作用。</w:t>
            </w:r>
          </w:p>
          <w:p>
            <w:pPr>
              <w:rPr>
                <w:rFonts w:eastAsia="楷体_GB2312"/>
                <w:bCs/>
                <w:sz w:val="28"/>
                <w:szCs w:val="28"/>
              </w:rPr>
            </w:pPr>
          </w:p>
        </w:tc>
      </w:tr>
    </w:tbl>
    <w:p>
      <w:pPr>
        <w:adjustRightInd w:val="0"/>
        <w:snapToGrid w:val="0"/>
        <w:spacing w:beforeLines="50"/>
        <w:contextualSpacing/>
        <w:rPr>
          <w:rFonts w:eastAsia="仿宋_GB2312"/>
          <w:sz w:val="32"/>
        </w:rPr>
      </w:pPr>
      <w:r>
        <w:rPr>
          <w:rFonts w:eastAsia="楷体_GB2312"/>
          <w:bCs/>
          <w:sz w:val="28"/>
          <w:szCs w:val="28"/>
        </w:rPr>
        <w:br w:type="page"/>
      </w:r>
      <w:bookmarkStart w:id="0" w:name="_GoBack"/>
      <w:bookmarkEnd w:id="0"/>
    </w:p>
    <w:p>
      <w:pPr>
        <w:adjustRightInd w:val="0"/>
        <w:snapToGrid w:val="0"/>
        <w:spacing w:line="640" w:lineRule="exact"/>
        <w:contextualSpacing/>
        <w:rPr>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2F055"/>
    <w:multiLevelType w:val="singleLevel"/>
    <w:tmpl w:val="C7C2F05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1ZWU5MDI1NGM1ZjI2Yjk0ZDlhYzBlMWRmZGFjODYifQ=="/>
    <w:docVar w:name="KSO_WPS_MARK_KEY" w:val="0ee7d815-2f00-4552-8a69-20e963c2de23"/>
  </w:docVars>
  <w:rsids>
    <w:rsidRoot w:val="00F521AC"/>
    <w:rsid w:val="00005DF5"/>
    <w:rsid w:val="00026EDF"/>
    <w:rsid w:val="000907A7"/>
    <w:rsid w:val="00096412"/>
    <w:rsid w:val="000A1BC8"/>
    <w:rsid w:val="000B10DA"/>
    <w:rsid w:val="000D2C50"/>
    <w:rsid w:val="000D35DF"/>
    <w:rsid w:val="000D6385"/>
    <w:rsid w:val="000E0C52"/>
    <w:rsid w:val="000E44B2"/>
    <w:rsid w:val="000F2261"/>
    <w:rsid w:val="001274A6"/>
    <w:rsid w:val="001477FB"/>
    <w:rsid w:val="001A39E3"/>
    <w:rsid w:val="001A6003"/>
    <w:rsid w:val="001D0882"/>
    <w:rsid w:val="001D59FA"/>
    <w:rsid w:val="001E757A"/>
    <w:rsid w:val="001F769E"/>
    <w:rsid w:val="00200034"/>
    <w:rsid w:val="002228C6"/>
    <w:rsid w:val="002319A0"/>
    <w:rsid w:val="00241C05"/>
    <w:rsid w:val="0027463E"/>
    <w:rsid w:val="00276667"/>
    <w:rsid w:val="002908F0"/>
    <w:rsid w:val="002A4310"/>
    <w:rsid w:val="002B36FF"/>
    <w:rsid w:val="002B742B"/>
    <w:rsid w:val="002C5FA1"/>
    <w:rsid w:val="002F390D"/>
    <w:rsid w:val="003A5AAC"/>
    <w:rsid w:val="003B56A9"/>
    <w:rsid w:val="003C08FC"/>
    <w:rsid w:val="003C5A25"/>
    <w:rsid w:val="003C7356"/>
    <w:rsid w:val="003D0A51"/>
    <w:rsid w:val="003F0CA5"/>
    <w:rsid w:val="003F6FBE"/>
    <w:rsid w:val="00497775"/>
    <w:rsid w:val="004A175A"/>
    <w:rsid w:val="004E4D39"/>
    <w:rsid w:val="004F6EEB"/>
    <w:rsid w:val="00532371"/>
    <w:rsid w:val="00557CE8"/>
    <w:rsid w:val="00564E7D"/>
    <w:rsid w:val="005725E6"/>
    <w:rsid w:val="005901A2"/>
    <w:rsid w:val="00595358"/>
    <w:rsid w:val="005961D8"/>
    <w:rsid w:val="005A5CEA"/>
    <w:rsid w:val="005D56EF"/>
    <w:rsid w:val="00604AE8"/>
    <w:rsid w:val="00637954"/>
    <w:rsid w:val="0066251B"/>
    <w:rsid w:val="00666EA3"/>
    <w:rsid w:val="0067543D"/>
    <w:rsid w:val="00682829"/>
    <w:rsid w:val="006C4524"/>
    <w:rsid w:val="006E55F0"/>
    <w:rsid w:val="00700961"/>
    <w:rsid w:val="00701987"/>
    <w:rsid w:val="00736EFE"/>
    <w:rsid w:val="007556ED"/>
    <w:rsid w:val="00773BC9"/>
    <w:rsid w:val="007928AF"/>
    <w:rsid w:val="007A3CC4"/>
    <w:rsid w:val="007B6F8E"/>
    <w:rsid w:val="00804F23"/>
    <w:rsid w:val="008234AB"/>
    <w:rsid w:val="008613DB"/>
    <w:rsid w:val="008671CE"/>
    <w:rsid w:val="008766B7"/>
    <w:rsid w:val="00893926"/>
    <w:rsid w:val="00894AED"/>
    <w:rsid w:val="008C44EC"/>
    <w:rsid w:val="008F291E"/>
    <w:rsid w:val="00902843"/>
    <w:rsid w:val="00904DA1"/>
    <w:rsid w:val="00914A31"/>
    <w:rsid w:val="00942A92"/>
    <w:rsid w:val="009A306D"/>
    <w:rsid w:val="009A6E11"/>
    <w:rsid w:val="009C67E8"/>
    <w:rsid w:val="009E3BEA"/>
    <w:rsid w:val="00A3081A"/>
    <w:rsid w:val="00A33916"/>
    <w:rsid w:val="00A44484"/>
    <w:rsid w:val="00A558F7"/>
    <w:rsid w:val="00A9594D"/>
    <w:rsid w:val="00AA16BE"/>
    <w:rsid w:val="00AD105F"/>
    <w:rsid w:val="00AD574C"/>
    <w:rsid w:val="00AD78C5"/>
    <w:rsid w:val="00B32B1E"/>
    <w:rsid w:val="00B735BC"/>
    <w:rsid w:val="00B97B8F"/>
    <w:rsid w:val="00BC7F9A"/>
    <w:rsid w:val="00BD3264"/>
    <w:rsid w:val="00BF3858"/>
    <w:rsid w:val="00C111C8"/>
    <w:rsid w:val="00C473A5"/>
    <w:rsid w:val="00C91577"/>
    <w:rsid w:val="00CE7209"/>
    <w:rsid w:val="00CF32B3"/>
    <w:rsid w:val="00D41F2D"/>
    <w:rsid w:val="00D44B17"/>
    <w:rsid w:val="00D7081E"/>
    <w:rsid w:val="00DB2C5A"/>
    <w:rsid w:val="00DC0295"/>
    <w:rsid w:val="00DC5AFB"/>
    <w:rsid w:val="00DD6155"/>
    <w:rsid w:val="00DF1BBB"/>
    <w:rsid w:val="00DF3D22"/>
    <w:rsid w:val="00E60FCA"/>
    <w:rsid w:val="00E96D3A"/>
    <w:rsid w:val="00EA1E6B"/>
    <w:rsid w:val="00EB2748"/>
    <w:rsid w:val="00F041BA"/>
    <w:rsid w:val="00F521AC"/>
    <w:rsid w:val="00F74B28"/>
    <w:rsid w:val="00F8627B"/>
    <w:rsid w:val="00F86472"/>
    <w:rsid w:val="02AC2ED8"/>
    <w:rsid w:val="21DE1912"/>
    <w:rsid w:val="21FD5A6A"/>
    <w:rsid w:val="2A6D1036"/>
    <w:rsid w:val="30DF318F"/>
    <w:rsid w:val="3C12626D"/>
    <w:rsid w:val="4233680D"/>
    <w:rsid w:val="46EF7542"/>
    <w:rsid w:val="57FD1EF9"/>
    <w:rsid w:val="6AD16123"/>
    <w:rsid w:val="71EE037F"/>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3786</Words>
  <Characters>21581</Characters>
  <Lines>179</Lines>
  <Paragraphs>50</Paragraphs>
  <TotalTime>87</TotalTime>
  <ScaleCrop>false</ScaleCrop>
  <LinksUpToDate>false</LinksUpToDate>
  <CharactersWithSpaces>25317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2023-03-04T09:07:00Z</dcterms:created>
  <dc:creator>lenvov</dc:creator>
  <cp:lastModifiedBy>未设置</cp:lastModifiedBy>
  <dcterms:modified xsi:type="dcterms:W3CDTF">2023-09-08T02:25:20Z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2AE19271176E4A32B61A6F4B89C3A345_13</vt:lpwstr>
  </property>
</Properties>
</file>