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p>
    <w:p>
      <w:pPr>
        <w:spacing w:line="800" w:lineRule="exact"/>
        <w:jc w:val="center"/>
        <w:rPr>
          <w:rFonts w:eastAsia="方正小标宋简体"/>
          <w:bCs/>
          <w:sz w:val="46"/>
          <w:szCs w:val="46"/>
        </w:rPr>
      </w:pPr>
      <w:r>
        <w:rPr>
          <w:rFonts w:hint="eastAsia" w:eastAsia="方正小标宋简体"/>
          <w:bCs/>
          <w:sz w:val="46"/>
          <w:szCs w:val="46"/>
        </w:rPr>
        <w:t>湖南城陵矶新港区</w:t>
      </w:r>
      <w:r>
        <w:rPr>
          <w:rFonts w:hint="eastAsia" w:eastAsia="方正小标宋简体"/>
          <w:bCs/>
          <w:sz w:val="46"/>
          <w:szCs w:val="46"/>
          <w:u w:val="single"/>
        </w:rPr>
        <w:t>20</w:t>
      </w:r>
      <w:r>
        <w:rPr>
          <w:rFonts w:hint="eastAsia" w:eastAsia="方正小标宋简体"/>
          <w:bCs/>
          <w:sz w:val="46"/>
          <w:szCs w:val="46"/>
          <w:u w:val="single"/>
          <w:lang w:val="en-US" w:eastAsia="zh-CN"/>
        </w:rPr>
        <w:t>22</w:t>
      </w:r>
      <w:r>
        <w:rPr>
          <w:rFonts w:hint="eastAsia" w:eastAsia="方正小标宋简体"/>
          <w:bCs/>
          <w:sz w:val="46"/>
          <w:szCs w:val="46"/>
        </w:rPr>
        <w:t>年度部门</w:t>
      </w:r>
    </w:p>
    <w:p>
      <w:pPr>
        <w:spacing w:line="800" w:lineRule="exact"/>
        <w:jc w:val="center"/>
        <w:rPr>
          <w:rFonts w:eastAsia="方正小标宋简体"/>
          <w:bCs/>
          <w:sz w:val="46"/>
          <w:szCs w:val="46"/>
        </w:rPr>
      </w:pPr>
      <w:r>
        <w:rPr>
          <w:rFonts w:hint="eastAsia" w:eastAsia="方正小标宋简体"/>
          <w:bCs/>
          <w:sz w:val="46"/>
          <w:szCs w:val="46"/>
        </w:rPr>
        <w:t>整体支出绩效评价自评报告</w:t>
      </w:r>
    </w:p>
    <w:p>
      <w:pPr>
        <w:rPr>
          <w:rFonts w:eastAsia="仿宋_GB2312"/>
          <w:b/>
          <w:sz w:val="32"/>
        </w:rPr>
      </w:pP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lang w:val="en-US" w:eastAsia="zh-CN"/>
        </w:rPr>
        <w:t>岳阳市市场监督管理局城陵矶新港区分局</w:t>
      </w:r>
      <w:r>
        <w:rPr>
          <w:rFonts w:hint="eastAsia" w:eastAsia="仿宋_GB2312"/>
          <w:sz w:val="32"/>
          <w:szCs w:val="32"/>
          <w:u w:val="single"/>
        </w:rPr>
        <w:t xml:space="preserve">                                  </w:t>
      </w:r>
    </w:p>
    <w:p>
      <w:pPr>
        <w:spacing w:beforeLines="50" w:line="348" w:lineRule="auto"/>
        <w:ind w:firstLine="476" w:firstLineChars="150"/>
        <w:rPr>
          <w:rFonts w:hint="eastAsia" w:eastAsia="仿宋_GB2312"/>
          <w:spacing w:val="30"/>
          <w:sz w:val="32"/>
          <w:szCs w:val="32"/>
          <w:lang w:val="en-US" w:eastAsia="zh-CN"/>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30"/>
          <w:sz w:val="32"/>
          <w:szCs w:val="32"/>
          <w:lang w:val="en-US" w:eastAsia="zh-CN"/>
        </w:rPr>
        <w:t>011001</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rPr>
          <w:rFonts w:eastAsia="仿宋_GB2312"/>
          <w:sz w:val="32"/>
        </w:rPr>
      </w:pPr>
    </w:p>
    <w:p>
      <w:pPr>
        <w:spacing w:line="720" w:lineRule="exact"/>
        <w:rPr>
          <w:rFonts w:eastAsia="仿宋_GB2312"/>
          <w:sz w:val="32"/>
        </w:rPr>
      </w:pPr>
    </w:p>
    <w:p>
      <w:pPr>
        <w:spacing w:line="348" w:lineRule="auto"/>
        <w:jc w:val="center"/>
        <w:rPr>
          <w:rFonts w:eastAsia="仿宋_GB2312"/>
          <w:sz w:val="32"/>
        </w:rPr>
      </w:pPr>
      <w:r>
        <w:rPr>
          <w:rFonts w:hint="eastAsia" w:eastAsia="仿宋_GB2312"/>
          <w:sz w:val="32"/>
        </w:rPr>
        <w:t xml:space="preserve">报告日期： </w:t>
      </w:r>
      <w:r>
        <w:rPr>
          <w:rFonts w:hint="eastAsia" w:eastAsia="仿宋_GB2312"/>
          <w:sz w:val="32"/>
          <w:lang w:val="en-US" w:eastAsia="zh-CN"/>
        </w:rPr>
        <w:t>2023</w:t>
      </w:r>
      <w:r>
        <w:rPr>
          <w:rFonts w:hint="eastAsia" w:eastAsia="仿宋_GB2312"/>
          <w:sz w:val="32"/>
        </w:rPr>
        <w:t>年</w:t>
      </w:r>
      <w:r>
        <w:rPr>
          <w:rFonts w:hint="eastAsia" w:eastAsia="仿宋_GB2312"/>
          <w:sz w:val="32"/>
          <w:lang w:val="en-US" w:eastAsia="zh-CN"/>
        </w:rPr>
        <w:t>2</w:t>
      </w:r>
      <w:r>
        <w:rPr>
          <w:rFonts w:hint="eastAsia" w:eastAsia="仿宋_GB2312"/>
          <w:sz w:val="32"/>
        </w:rPr>
        <w:t>月</w:t>
      </w:r>
      <w:r>
        <w:rPr>
          <w:rFonts w:hint="eastAsia" w:eastAsia="仿宋_GB2312"/>
          <w:sz w:val="32"/>
          <w:lang w:val="en-US" w:eastAsia="zh-CN"/>
        </w:rPr>
        <w:t>24</w:t>
      </w:r>
      <w:r>
        <w:rPr>
          <w:rFonts w:hint="eastAsia" w:eastAsia="仿宋_GB2312"/>
          <w:sz w:val="32"/>
        </w:rPr>
        <w:t>日</w:t>
      </w:r>
    </w:p>
    <w:tbl>
      <w:tblPr>
        <w:tblStyle w:val="8"/>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黎诗妤</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13975043332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18</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宋体" w:eastAsia="仿宋_GB2312" w:cs="仿宋_GB2312"/>
                <w:color w:val="000000"/>
                <w:kern w:val="0"/>
                <w:sz w:val="22"/>
                <w:szCs w:val="22"/>
                <w:lang w:eastAsia="zh-CN"/>
              </w:rPr>
              <w:t>负责市场综合监督</w:t>
            </w:r>
            <w:r>
              <w:rPr>
                <w:rFonts w:hint="eastAsia" w:ascii="仿宋_GB2312" w:hAnsi="宋体" w:eastAsia="仿宋_GB2312" w:cs="仿宋_GB2312"/>
                <w:color w:val="000000"/>
                <w:kern w:val="0"/>
                <w:sz w:val="22"/>
                <w:szCs w:val="22"/>
                <w:lang w:val="en-US" w:eastAsia="zh-CN"/>
              </w:rPr>
              <w:t>管理</w:t>
            </w:r>
            <w:r>
              <w:rPr>
                <w:rFonts w:hint="eastAsia" w:ascii="仿宋_GB2312" w:hAnsi="宋体" w:eastAsia="仿宋_GB2312" w:cs="仿宋_GB2312"/>
                <w:color w:val="000000"/>
                <w:kern w:val="0"/>
                <w:sz w:val="22"/>
                <w:szCs w:val="22"/>
                <w:lang w:eastAsia="zh-CN"/>
              </w:rPr>
              <w:t>；市场主体统一登记注册；组织市场监管综合执法；反垄断执法调查；监督管理市场秩序；负责宏观质量管理；产品质量安全监管；特种设备安全监管；食品安全监管综合协调</w:t>
            </w:r>
            <w:r>
              <w:rPr>
                <w:rFonts w:hint="eastAsia" w:ascii="仿宋_GB2312" w:hAnsi="宋体" w:eastAsia="仿宋_GB2312" w:cs="仿宋_GB2312"/>
                <w:color w:val="000000"/>
                <w:kern w:val="0"/>
                <w:sz w:val="22"/>
                <w:szCs w:val="22"/>
                <w:lang w:val="en-US" w:eastAsia="zh-CN"/>
              </w:rPr>
              <w:t>及</w:t>
            </w:r>
            <w:r>
              <w:rPr>
                <w:rFonts w:hint="eastAsia" w:ascii="仿宋_GB2312" w:hAnsi="宋体" w:eastAsia="仿宋_GB2312" w:cs="仿宋_GB2312"/>
                <w:color w:val="000000"/>
                <w:kern w:val="0"/>
                <w:sz w:val="22"/>
                <w:szCs w:val="22"/>
                <w:lang w:eastAsia="zh-CN"/>
              </w:rPr>
              <w:t>管理；统一管理计量、标准化、检验检测、认证认可工作；负责实施知识产权</w:t>
            </w:r>
            <w:r>
              <w:rPr>
                <w:rFonts w:hint="eastAsia" w:ascii="仿宋_GB2312" w:hAnsi="宋体" w:eastAsia="仿宋_GB2312" w:cs="仿宋_GB2312"/>
                <w:color w:val="000000"/>
                <w:kern w:val="0"/>
                <w:sz w:val="22"/>
                <w:szCs w:val="22"/>
                <w:lang w:val="en-US" w:eastAsia="zh-CN"/>
              </w:rPr>
              <w:t>保护、创造、运用及战略实施；</w:t>
            </w:r>
            <w:r>
              <w:rPr>
                <w:rFonts w:hint="eastAsia" w:ascii="仿宋_GB2312" w:hAnsi="宋体" w:eastAsia="仿宋_GB2312" w:cs="仿宋_GB2312"/>
                <w:color w:val="000000"/>
                <w:kern w:val="0"/>
                <w:sz w:val="22"/>
                <w:szCs w:val="22"/>
                <w:lang w:eastAsia="zh-CN"/>
              </w:rPr>
              <w:t>负责组织开展消费维权工作；负责药品、医疗器械和化妆品安全、</w:t>
            </w:r>
            <w:r>
              <w:rPr>
                <w:rFonts w:hint="eastAsia" w:ascii="仿宋_GB2312" w:hAnsi="宋体" w:eastAsia="仿宋_GB2312" w:cs="仿宋_GB2312"/>
                <w:color w:val="000000"/>
                <w:kern w:val="0"/>
                <w:sz w:val="22"/>
                <w:szCs w:val="22"/>
                <w:lang w:val="en-US" w:eastAsia="zh-CN"/>
              </w:rPr>
              <w:t>质量、上市后风险</w:t>
            </w:r>
            <w:r>
              <w:rPr>
                <w:rFonts w:hint="eastAsia" w:ascii="仿宋_GB2312" w:hAnsi="宋体" w:eastAsia="仿宋_GB2312" w:cs="仿宋_GB2312"/>
                <w:color w:val="000000"/>
                <w:kern w:val="0"/>
                <w:sz w:val="22"/>
                <w:szCs w:val="22"/>
                <w:lang w:eastAsia="zh-CN"/>
              </w:rPr>
              <w:t>监督管理；完成市、区政府和市市场监管局交办的其他任务。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pacing w:line="320" w:lineRule="exact"/>
              <w:jc w:val="left"/>
              <w:textAlignment w:val="center"/>
              <w:rPr>
                <w:rFonts w:hint="eastAsia" w:ascii="仿宋_GB2312" w:hAnsi="宋体" w:eastAsia="仿宋_GB2312" w:cs="仿宋_GB2312"/>
                <w:color w:val="000000"/>
                <w:kern w:val="0"/>
                <w:sz w:val="22"/>
                <w:szCs w:val="22"/>
                <w:lang w:val="en-US" w:eastAsia="zh-CN"/>
              </w:rPr>
            </w:pPr>
            <w:r>
              <w:rPr>
                <w:rFonts w:hint="eastAsia" w:ascii="仿宋_GB2312" w:hAnsi="仿宋_GB2312" w:eastAsia="仿宋_GB2312" w:cs="仿宋_GB2312"/>
                <w:color w:val="000000"/>
                <w:sz w:val="24"/>
                <w:szCs w:val="24"/>
              </w:rPr>
              <w:t>任</w:t>
            </w:r>
            <w:r>
              <w:rPr>
                <w:rFonts w:hint="eastAsia" w:ascii="仿宋_GB2312" w:hAnsi="宋体" w:eastAsia="仿宋_GB2312" w:cs="仿宋_GB2312"/>
                <w:color w:val="000000"/>
                <w:kern w:val="0"/>
                <w:sz w:val="22"/>
                <w:szCs w:val="22"/>
                <w:lang w:eastAsia="zh-CN"/>
              </w:rPr>
              <w:t>务1：</w:t>
            </w:r>
            <w:r>
              <w:rPr>
                <w:rFonts w:hint="eastAsia" w:ascii="仿宋_GB2312" w:hAnsi="宋体" w:eastAsia="仿宋_GB2312" w:cs="仿宋_GB2312"/>
                <w:color w:val="000000"/>
                <w:kern w:val="0"/>
                <w:sz w:val="22"/>
                <w:szCs w:val="22"/>
                <w:lang w:val="en-US" w:eastAsia="zh-CN"/>
              </w:rPr>
              <w:t>坚持党建引领的红线,扎实开展“不忘初心、牢记使命”主题教育，抓班子带队伍，坚定干部职工理想信念。</w:t>
            </w:r>
          </w:p>
          <w:p>
            <w:pPr>
              <w:autoSpaceDN w:val="0"/>
              <w:spacing w:line="320" w:lineRule="exact"/>
              <w:jc w:val="left"/>
              <w:textAlignment w:val="center"/>
              <w:rPr>
                <w:rFonts w:hint="eastAsia" w:ascii="仿宋_GB2312" w:hAnsi="宋体" w:eastAsia="仿宋_GB2312" w:cs="仿宋_GB2312"/>
                <w:color w:val="000000"/>
                <w:kern w:val="0"/>
                <w:sz w:val="22"/>
                <w:szCs w:val="22"/>
                <w:lang w:val="en-US" w:eastAsia="zh-CN"/>
              </w:rPr>
            </w:pPr>
            <w:r>
              <w:rPr>
                <w:rFonts w:hint="eastAsia" w:ascii="仿宋_GB2312" w:hAnsi="宋体" w:eastAsia="仿宋_GB2312" w:cs="仿宋_GB2312"/>
                <w:color w:val="000000"/>
                <w:kern w:val="0"/>
                <w:sz w:val="22"/>
                <w:szCs w:val="22"/>
                <w:lang w:eastAsia="zh-CN"/>
              </w:rPr>
              <w:t>任务2：</w:t>
            </w:r>
            <w:r>
              <w:rPr>
                <w:rFonts w:hint="eastAsia" w:ascii="仿宋_GB2312" w:hAnsi="宋体" w:eastAsia="仿宋_GB2312" w:cs="仿宋_GB2312"/>
                <w:color w:val="000000"/>
                <w:kern w:val="0"/>
                <w:sz w:val="22"/>
                <w:szCs w:val="22"/>
                <w:lang w:val="en-US" w:eastAsia="zh-CN"/>
              </w:rPr>
              <w:t>抓实商事改革的主线。进一步深化商事制度“放管服”改革，落实“一件事一次办”，巩固成果，突出特色。</w:t>
            </w:r>
          </w:p>
          <w:p>
            <w:pPr>
              <w:autoSpaceDN w:val="0"/>
              <w:spacing w:line="320" w:lineRule="exact"/>
              <w:jc w:val="left"/>
              <w:textAlignment w:val="center"/>
              <w:rPr>
                <w:rFonts w:hint="eastAsia" w:ascii="仿宋_GB2312" w:hAnsi="宋体" w:eastAsia="仿宋_GB2312" w:cs="仿宋_GB2312"/>
                <w:color w:val="000000"/>
                <w:kern w:val="0"/>
                <w:sz w:val="22"/>
                <w:szCs w:val="22"/>
                <w:lang w:val="en-US" w:eastAsia="zh-CN"/>
              </w:rPr>
            </w:pPr>
            <w:r>
              <w:rPr>
                <w:rFonts w:hint="eastAsia" w:ascii="仿宋_GB2312" w:hAnsi="宋体" w:eastAsia="仿宋_GB2312" w:cs="仿宋_GB2312"/>
                <w:color w:val="000000"/>
                <w:kern w:val="0"/>
                <w:sz w:val="22"/>
                <w:szCs w:val="22"/>
                <w:lang w:eastAsia="zh-CN"/>
              </w:rPr>
              <w:t>任务3：</w:t>
            </w:r>
            <w:r>
              <w:rPr>
                <w:rFonts w:hint="eastAsia" w:ascii="仿宋_GB2312" w:hAnsi="宋体" w:eastAsia="仿宋_GB2312" w:cs="仿宋_GB2312"/>
                <w:color w:val="000000"/>
                <w:kern w:val="0"/>
                <w:sz w:val="22"/>
                <w:szCs w:val="22"/>
                <w:lang w:val="en-US" w:eastAsia="zh-CN"/>
              </w:rPr>
              <w:t>守住市场安全的底线。突出食品药品特种设备、重点工业产品监管，防范风险，维护市场公平正义。紧扣消费维权的热线。</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宋体" w:eastAsia="仿宋_GB2312" w:cs="仿宋_GB2312"/>
                <w:color w:val="000000"/>
                <w:kern w:val="0"/>
                <w:sz w:val="22"/>
                <w:szCs w:val="22"/>
                <w:lang w:val="en-US" w:eastAsia="zh-CN"/>
              </w:rPr>
              <w:t>任务4：围绕中心，服务大局，完善机构改革，服务新港区中心工作，维护好消费者权益。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hint="eastAsia" w:ascii="仿宋_GB2312" w:hAnsi="宋体" w:eastAsia="仿宋_GB2312" w:cs="仿宋_GB2312"/>
                <w:color w:val="000000"/>
                <w:kern w:val="0"/>
                <w:sz w:val="22"/>
                <w:szCs w:val="22"/>
                <w:lang w:val="en-US" w:eastAsia="zh-CN"/>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宋体" w:eastAsia="仿宋_GB2312" w:cs="仿宋_GB2312"/>
                <w:color w:val="000000"/>
                <w:kern w:val="0"/>
                <w:sz w:val="22"/>
                <w:szCs w:val="22"/>
                <w:lang w:val="en-US" w:eastAsia="zh-CN"/>
              </w:rPr>
              <w:t>1、率先在全市推出办理市场主体登记注册“二维码”；2、确保了27项省、市级两级放权赋权事项放权精准、承接到位，办理各类登记、许可事项6627笔，比2021年多了3927笔，业务量递增了145%；3、全年质押融资金额1527万元,同比2021年增长了205.4%，排名全市第四；4、2022年，分局免费为2</w:t>
            </w:r>
            <w:r>
              <w:rPr>
                <w:rFonts w:hint="default" w:ascii="仿宋_GB2312" w:hAnsi="宋体" w:eastAsia="仿宋_GB2312" w:cs="仿宋_GB2312"/>
                <w:color w:val="000000"/>
                <w:kern w:val="0"/>
                <w:sz w:val="22"/>
                <w:szCs w:val="22"/>
                <w:lang w:val="en-US" w:eastAsia="zh-CN"/>
              </w:rPr>
              <w:t>00</w:t>
            </w:r>
            <w:r>
              <w:rPr>
                <w:rFonts w:hint="eastAsia" w:ascii="仿宋_GB2312" w:hAnsi="宋体" w:eastAsia="仿宋_GB2312" w:cs="仿宋_GB2312"/>
                <w:color w:val="000000"/>
                <w:kern w:val="0"/>
                <w:sz w:val="22"/>
                <w:szCs w:val="22"/>
                <w:lang w:val="en-US" w:eastAsia="zh-CN"/>
              </w:rPr>
              <w:t>余家企业提供</w:t>
            </w:r>
            <w:r>
              <w:rPr>
                <w:rFonts w:hint="default" w:ascii="仿宋_GB2312" w:hAnsi="宋体" w:eastAsia="仿宋_GB2312" w:cs="仿宋_GB2312"/>
                <w:color w:val="000000"/>
                <w:kern w:val="0"/>
                <w:sz w:val="22"/>
                <w:szCs w:val="22"/>
                <w:lang w:val="en-US" w:eastAsia="zh-CN"/>
              </w:rPr>
              <w:t>10</w:t>
            </w:r>
            <w:r>
              <w:rPr>
                <w:rFonts w:hint="eastAsia" w:ascii="仿宋_GB2312" w:hAnsi="宋体" w:eastAsia="仿宋_GB2312" w:cs="仿宋_GB2312"/>
                <w:color w:val="000000"/>
                <w:kern w:val="0"/>
                <w:sz w:val="22"/>
                <w:szCs w:val="22"/>
                <w:lang w:val="en-US" w:eastAsia="zh-CN"/>
              </w:rPr>
              <w:t>余起惠及</w:t>
            </w:r>
            <w:r>
              <w:rPr>
                <w:rFonts w:hint="default" w:ascii="仿宋_GB2312" w:hAnsi="宋体" w:eastAsia="仿宋_GB2312" w:cs="仿宋_GB2312"/>
                <w:color w:val="000000"/>
                <w:kern w:val="0"/>
                <w:sz w:val="22"/>
                <w:szCs w:val="22"/>
                <w:lang w:val="en-US" w:eastAsia="zh-CN"/>
              </w:rPr>
              <w:t>2000</w:t>
            </w:r>
            <w:r>
              <w:rPr>
                <w:rFonts w:hint="eastAsia" w:ascii="仿宋_GB2312" w:hAnsi="宋体" w:eastAsia="仿宋_GB2312" w:cs="仿宋_GB2312"/>
                <w:color w:val="000000"/>
                <w:kern w:val="0"/>
                <w:sz w:val="22"/>
                <w:szCs w:val="22"/>
                <w:lang w:val="en-US" w:eastAsia="zh-CN"/>
              </w:rPr>
              <w:t>余人的知识产权培训讲座，主动上门为200余家企业提供专利布局、挖掘、查新等全方位服务2000余次，指导5家企业申报2022年湖南省知识产权战略实施专项项目；5、出动执法人员300余人次，对辖区内80余户食品生产经营企业进行300余次日常监督检查。</w:t>
            </w: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160.02</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160.02</w:t>
            </w:r>
          </w:p>
        </w:tc>
        <w:tc>
          <w:tcPr>
            <w:tcW w:w="1705"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160.02</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160.02</w:t>
            </w:r>
          </w:p>
        </w:tc>
        <w:tc>
          <w:tcPr>
            <w:tcW w:w="1705"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80.12</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80.12</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12</w:t>
            </w:r>
          </w:p>
        </w:tc>
        <w:tc>
          <w:tcPr>
            <w:tcW w:w="216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68.12</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w:t>
            </w:r>
          </w:p>
        </w:tc>
        <w:tc>
          <w:tcPr>
            <w:tcW w:w="720" w:type="dxa"/>
            <w:gridSpan w:val="3"/>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79.9</w:t>
            </w: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79.9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80.12</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80.12</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12</w:t>
            </w:r>
          </w:p>
        </w:tc>
        <w:tc>
          <w:tcPr>
            <w:tcW w:w="216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68.12</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w:t>
            </w:r>
          </w:p>
        </w:tc>
        <w:tc>
          <w:tcPr>
            <w:tcW w:w="720" w:type="dxa"/>
            <w:gridSpan w:val="3"/>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79.9</w:t>
            </w: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79.9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w:t>
            </w: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w:t>
            </w: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w:t>
            </w: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w:t>
            </w: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val="en-US" w:eastAsia="zh-CN"/>
              </w:rPr>
              <w:t>创新机制，高标准承接自贸片区相关工作，服务自贸片区建设；</w:t>
            </w:r>
            <w:r>
              <w:rPr>
                <w:rFonts w:hint="eastAsia" w:ascii="仿宋_GB2312" w:hAnsi="仿宋_GB2312" w:eastAsia="仿宋_GB2312" w:cs="仿宋_GB2312"/>
                <w:color w:val="000000"/>
                <w:sz w:val="24"/>
              </w:rPr>
              <w:t>目标2：</w:t>
            </w:r>
            <w:r>
              <w:rPr>
                <w:rFonts w:hint="eastAsia" w:ascii="仿宋_GB2312" w:hAnsi="仿宋_GB2312" w:eastAsia="仿宋_GB2312" w:cs="仿宋_GB2312"/>
                <w:color w:val="000000"/>
                <w:sz w:val="24"/>
                <w:lang w:eastAsia="zh-CN"/>
              </w:rPr>
              <w:t>加大惠企力度，持续优化营商环境；</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目标3：积极挖掘港区企业专利潜力，促进港区经济高质量发展；</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w:t>
            </w:r>
            <w:r>
              <w:rPr>
                <w:rFonts w:hint="eastAsia" w:ascii="仿宋_GB2312" w:hAnsi="仿宋_GB2312" w:eastAsia="仿宋_GB2312" w:cs="仿宋_GB2312"/>
                <w:kern w:val="2"/>
                <w:sz w:val="24"/>
                <w:szCs w:val="24"/>
                <w:lang w:val="en-US" w:eastAsia="zh-CN"/>
              </w:rPr>
              <w:t>守住市场安全的底线。</w:t>
            </w:r>
          </w:p>
        </w:tc>
        <w:tc>
          <w:tcPr>
            <w:tcW w:w="4585" w:type="dxa"/>
            <w:gridSpan w:val="9"/>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宋体" w:eastAsia="仿宋_GB2312" w:cs="仿宋_GB2312"/>
                <w:color w:val="000000"/>
                <w:kern w:val="0"/>
                <w:sz w:val="22"/>
                <w:szCs w:val="22"/>
                <w:lang w:val="en-US" w:eastAsia="zh-CN"/>
              </w:rPr>
              <w:t>1、率先在全市推出办理市场主体登记注册“二维码”；2、确保了27项省、市级两级放权赋权事项放权精准、承接到位，办理各类登记、许可事项6627笔，比2021年多了3927笔，业务量递增了145%；3、全年质押融资金额1527万元,同比2021年增长了205.4%，排名全市第四；4、2022年，分局免费为2</w:t>
            </w:r>
            <w:r>
              <w:rPr>
                <w:rFonts w:hint="default" w:ascii="仿宋_GB2312" w:hAnsi="宋体" w:eastAsia="仿宋_GB2312" w:cs="仿宋_GB2312"/>
                <w:color w:val="000000"/>
                <w:kern w:val="0"/>
                <w:sz w:val="22"/>
                <w:szCs w:val="22"/>
                <w:lang w:val="en-US" w:eastAsia="zh-CN"/>
              </w:rPr>
              <w:t>00</w:t>
            </w:r>
            <w:r>
              <w:rPr>
                <w:rFonts w:hint="eastAsia" w:ascii="仿宋_GB2312" w:hAnsi="宋体" w:eastAsia="仿宋_GB2312" w:cs="仿宋_GB2312"/>
                <w:color w:val="000000"/>
                <w:kern w:val="0"/>
                <w:sz w:val="22"/>
                <w:szCs w:val="22"/>
                <w:lang w:val="en-US" w:eastAsia="zh-CN"/>
              </w:rPr>
              <w:t>余家企业提供</w:t>
            </w:r>
            <w:r>
              <w:rPr>
                <w:rFonts w:hint="default" w:ascii="仿宋_GB2312" w:hAnsi="宋体" w:eastAsia="仿宋_GB2312" w:cs="仿宋_GB2312"/>
                <w:color w:val="000000"/>
                <w:kern w:val="0"/>
                <w:sz w:val="22"/>
                <w:szCs w:val="22"/>
                <w:lang w:val="en-US" w:eastAsia="zh-CN"/>
              </w:rPr>
              <w:t>10</w:t>
            </w:r>
            <w:r>
              <w:rPr>
                <w:rFonts w:hint="eastAsia" w:ascii="仿宋_GB2312" w:hAnsi="宋体" w:eastAsia="仿宋_GB2312" w:cs="仿宋_GB2312"/>
                <w:color w:val="000000"/>
                <w:kern w:val="0"/>
                <w:sz w:val="22"/>
                <w:szCs w:val="22"/>
                <w:lang w:val="en-US" w:eastAsia="zh-CN"/>
              </w:rPr>
              <w:t>余起惠及</w:t>
            </w:r>
            <w:r>
              <w:rPr>
                <w:rFonts w:hint="default" w:ascii="仿宋_GB2312" w:hAnsi="宋体" w:eastAsia="仿宋_GB2312" w:cs="仿宋_GB2312"/>
                <w:color w:val="000000"/>
                <w:kern w:val="0"/>
                <w:sz w:val="22"/>
                <w:szCs w:val="22"/>
                <w:lang w:val="en-US" w:eastAsia="zh-CN"/>
              </w:rPr>
              <w:t>2000</w:t>
            </w:r>
            <w:r>
              <w:rPr>
                <w:rFonts w:hint="eastAsia" w:ascii="仿宋_GB2312" w:hAnsi="宋体" w:eastAsia="仿宋_GB2312" w:cs="仿宋_GB2312"/>
                <w:color w:val="000000"/>
                <w:kern w:val="0"/>
                <w:sz w:val="22"/>
                <w:szCs w:val="22"/>
                <w:lang w:val="en-US" w:eastAsia="zh-CN"/>
              </w:rPr>
              <w:t>余人的知识产权培训讲座，主动上门为200余家企业提供专利布局、挖掘、查新等全方位服务2000余次，指导5家企业申报2022年湖南省知识产权战略实施专项项目；5、出动执法人员300余人次，对辖区内80余户食品生产经营企业进行300余次日常监督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spacing w:line="360" w:lineRule="exact"/>
              <w:jc w:val="both"/>
              <w:rPr>
                <w:rFonts w:ascii="仿宋_GB2312" w:hAnsi="仿宋_GB2312" w:eastAsia="仿宋_GB2312" w:cs="仿宋_GB2312"/>
                <w:color w:val="000000"/>
                <w:sz w:val="24"/>
              </w:rPr>
            </w:pPr>
            <w:r>
              <w:rPr>
                <w:rFonts w:hint="eastAsia" w:eastAsia="仿宋_GB2312"/>
                <w:sz w:val="24"/>
                <w:lang w:eastAsia="zh-CN"/>
              </w:rPr>
              <w:t>指标</w:t>
            </w:r>
            <w:r>
              <w:rPr>
                <w:rFonts w:hint="eastAsia" w:eastAsia="仿宋_GB2312"/>
                <w:sz w:val="24"/>
                <w:lang w:val="en-US" w:eastAsia="zh-CN"/>
              </w:rPr>
              <w:t>1：</w:t>
            </w:r>
            <w:r>
              <w:rPr>
                <w:rFonts w:hint="eastAsia" w:eastAsia="仿宋_GB2312"/>
                <w:sz w:val="24"/>
                <w:lang w:eastAsia="zh-CN"/>
              </w:rPr>
              <w:t>抽检结果完成</w:t>
            </w:r>
            <w:r>
              <w:rPr>
                <w:rFonts w:hint="eastAsia" w:eastAsia="仿宋_GB2312"/>
                <w:sz w:val="24"/>
                <w:lang w:val="en-US" w:eastAsia="zh-CN"/>
              </w:rPr>
              <w:t>:100%</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kern w:val="2"/>
                <w:sz w:val="24"/>
                <w:szCs w:val="22"/>
                <w:lang w:val="en-US" w:eastAsia="zh-CN" w:bidi="ar-SA"/>
              </w:rPr>
            </w:pPr>
            <w:r>
              <w:rPr>
                <w:rFonts w:hint="eastAsia" w:ascii="仿宋_GB2312" w:hAnsi="仿宋_GB2312" w:eastAsia="仿宋_GB2312" w:cs="仿宋_GB2312"/>
                <w:b w:val="0"/>
                <w:bCs/>
                <w:color w:val="000000"/>
                <w:sz w:val="24"/>
                <w:lang w:eastAsia="zh-CN"/>
              </w:rPr>
              <w:t>实际完成</w:t>
            </w:r>
            <w:r>
              <w:rPr>
                <w:rFonts w:hint="eastAsia" w:ascii="仿宋_GB2312" w:hAnsi="仿宋_GB2312" w:eastAsia="仿宋_GB2312" w:cs="仿宋_GB2312"/>
                <w:b w:val="0"/>
                <w:bCs/>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spacing w:line="360" w:lineRule="exact"/>
              <w:jc w:val="left"/>
              <w:rPr>
                <w:rFonts w:ascii="仿宋_GB2312" w:hAnsi="仿宋_GB2312" w:eastAsia="仿宋_GB2312" w:cs="仿宋_GB2312"/>
                <w:color w:val="000000"/>
                <w:sz w:val="24"/>
              </w:rPr>
            </w:pPr>
            <w:r>
              <w:rPr>
                <w:rFonts w:hint="eastAsia" w:eastAsia="仿宋_GB2312"/>
                <w:sz w:val="24"/>
                <w:lang w:val="en-US" w:eastAsia="zh-CN"/>
              </w:rPr>
              <w:t>指标2：发生</w:t>
            </w:r>
            <w:r>
              <w:rPr>
                <w:rFonts w:hint="eastAsia" w:eastAsia="仿宋_GB2312"/>
                <w:sz w:val="24"/>
                <w:lang w:eastAsia="zh-CN"/>
              </w:rPr>
              <w:t>影响恶劣的重大执法违法违规事件为</w:t>
            </w:r>
            <w:r>
              <w:rPr>
                <w:rFonts w:hint="eastAsia" w:eastAsia="仿宋_GB2312"/>
                <w:sz w:val="24"/>
                <w:lang w:val="en-US" w:eastAsia="zh-CN"/>
              </w:rPr>
              <w:t>0次</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kern w:val="2"/>
                <w:sz w:val="24"/>
                <w:szCs w:val="22"/>
                <w:lang w:val="en-US" w:eastAsia="zh-CN" w:bidi="ar-SA"/>
              </w:rPr>
            </w:pPr>
            <w:r>
              <w:rPr>
                <w:rFonts w:hint="eastAsia" w:ascii="仿宋_GB2312" w:hAnsi="仿宋_GB2312" w:eastAsia="仿宋_GB2312" w:cs="仿宋_GB2312"/>
                <w:b w:val="0"/>
                <w:bCs/>
                <w:color w:val="000000"/>
                <w:sz w:val="24"/>
                <w:lang w:eastAsia="zh-CN"/>
              </w:rPr>
              <w:t>实际无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spacing w:line="360" w:lineRule="exact"/>
              <w:jc w:val="left"/>
              <w:rPr>
                <w:rFonts w:ascii="仿宋_GB2312" w:hAnsi="仿宋_GB2312" w:eastAsia="仿宋_GB2312" w:cs="仿宋_GB2312"/>
                <w:color w:val="000000"/>
                <w:sz w:val="24"/>
              </w:rPr>
            </w:pPr>
            <w:r>
              <w:rPr>
                <w:rFonts w:hint="eastAsia" w:eastAsia="仿宋_GB2312"/>
                <w:sz w:val="24"/>
                <w:lang w:eastAsia="zh-CN"/>
              </w:rPr>
              <w:t>指标</w:t>
            </w:r>
            <w:r>
              <w:rPr>
                <w:rFonts w:hint="eastAsia" w:eastAsia="仿宋_GB2312"/>
                <w:sz w:val="24"/>
                <w:lang w:val="en-US" w:eastAsia="zh-CN"/>
              </w:rPr>
              <w:t>3：</w:t>
            </w:r>
            <w:r>
              <w:rPr>
                <w:rFonts w:hint="eastAsia" w:eastAsia="仿宋_GB2312"/>
                <w:sz w:val="24"/>
                <w:lang w:eastAsia="zh-CN"/>
              </w:rPr>
              <w:t>食品生产环节发生系统性、区域性安全事故次数为</w:t>
            </w:r>
            <w:r>
              <w:rPr>
                <w:rFonts w:hint="eastAsia" w:eastAsia="仿宋_GB2312"/>
                <w:sz w:val="24"/>
                <w:lang w:val="en-US" w:eastAsia="zh-CN"/>
              </w:rPr>
              <w:t>0次</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kern w:val="2"/>
                <w:sz w:val="24"/>
                <w:szCs w:val="22"/>
                <w:lang w:val="en-US" w:eastAsia="zh-CN" w:bidi="ar-SA"/>
              </w:rPr>
            </w:pPr>
            <w:r>
              <w:rPr>
                <w:rFonts w:hint="eastAsia" w:ascii="仿宋_GB2312" w:hAnsi="仿宋_GB2312" w:eastAsia="仿宋_GB2312" w:cs="仿宋_GB2312"/>
                <w:b w:val="0"/>
                <w:bCs/>
                <w:color w:val="000000"/>
                <w:sz w:val="24"/>
                <w:lang w:eastAsia="zh-CN"/>
              </w:rPr>
              <w:t>实际无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spacing w:line="360" w:lineRule="exact"/>
              <w:jc w:val="left"/>
              <w:rPr>
                <w:rFonts w:ascii="仿宋_GB2312" w:hAnsi="仿宋_GB2312" w:eastAsia="仿宋_GB2312" w:cs="仿宋_GB2312"/>
                <w:color w:val="000000"/>
                <w:sz w:val="24"/>
              </w:rPr>
            </w:pPr>
            <w:r>
              <w:rPr>
                <w:rFonts w:hint="eastAsia" w:eastAsia="仿宋_GB2312"/>
                <w:sz w:val="24"/>
                <w:highlight w:val="none"/>
                <w:lang w:eastAsia="zh-CN"/>
              </w:rPr>
              <w:t>指标</w:t>
            </w:r>
            <w:r>
              <w:rPr>
                <w:rFonts w:hint="eastAsia" w:eastAsia="仿宋_GB2312"/>
                <w:sz w:val="24"/>
                <w:highlight w:val="none"/>
                <w:lang w:val="en-US" w:eastAsia="zh-CN"/>
              </w:rPr>
              <w:t>1：</w:t>
            </w:r>
            <w:r>
              <w:rPr>
                <w:rFonts w:hint="eastAsia" w:eastAsia="仿宋_GB2312"/>
                <w:sz w:val="24"/>
                <w:highlight w:val="none"/>
                <w:lang w:eastAsia="zh-CN"/>
              </w:rPr>
              <w:t>食品抽检</w:t>
            </w:r>
            <w:r>
              <w:rPr>
                <w:rFonts w:hint="eastAsia" w:eastAsia="仿宋_GB2312"/>
                <w:sz w:val="24"/>
                <w:highlight w:val="none"/>
                <w:lang w:val="en-US" w:eastAsia="zh-CN"/>
              </w:rPr>
              <w:t>40</w:t>
            </w:r>
            <w:r>
              <w:rPr>
                <w:rFonts w:hint="eastAsia" w:eastAsia="仿宋_GB2312"/>
                <w:sz w:val="24"/>
                <w:highlight w:val="none"/>
                <w:lang w:eastAsia="zh-CN"/>
              </w:rPr>
              <w:t>批次</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eastAsia="仿宋_GB2312"/>
                <w:sz w:val="24"/>
                <w:highlight w:val="none"/>
                <w:lang w:val="en-US" w:eastAsia="zh-CN"/>
              </w:rPr>
              <w:t>完成抽检40批次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spacing w:line="360" w:lineRule="exact"/>
              <w:jc w:val="left"/>
              <w:rPr>
                <w:rFonts w:ascii="仿宋_GB2312" w:hAnsi="仿宋_GB2312" w:eastAsia="仿宋_GB2312" w:cs="仿宋_GB2312"/>
                <w:color w:val="000000"/>
                <w:sz w:val="24"/>
              </w:rPr>
            </w:pPr>
            <w:r>
              <w:rPr>
                <w:rFonts w:hint="eastAsia" w:eastAsia="仿宋_GB2312"/>
                <w:sz w:val="24"/>
                <w:highlight w:val="none"/>
                <w:lang w:eastAsia="zh-CN"/>
              </w:rPr>
              <w:t>指标</w:t>
            </w:r>
            <w:r>
              <w:rPr>
                <w:rFonts w:hint="eastAsia" w:eastAsia="仿宋_GB2312"/>
                <w:sz w:val="24"/>
                <w:highlight w:val="none"/>
                <w:lang w:val="en-US" w:eastAsia="zh-CN"/>
              </w:rPr>
              <w:t>2：药品</w:t>
            </w:r>
            <w:r>
              <w:rPr>
                <w:rFonts w:hint="eastAsia" w:eastAsia="仿宋_GB2312"/>
                <w:sz w:val="24"/>
                <w:highlight w:val="none"/>
                <w:lang w:eastAsia="zh-CN"/>
              </w:rPr>
              <w:t>抽检</w:t>
            </w:r>
            <w:r>
              <w:rPr>
                <w:rFonts w:hint="eastAsia" w:eastAsia="仿宋_GB2312"/>
                <w:sz w:val="24"/>
                <w:highlight w:val="none"/>
                <w:lang w:val="en-US" w:eastAsia="zh-CN"/>
              </w:rPr>
              <w:t>20</w:t>
            </w:r>
            <w:r>
              <w:rPr>
                <w:rFonts w:hint="eastAsia" w:eastAsia="仿宋_GB2312"/>
                <w:sz w:val="24"/>
                <w:highlight w:val="none"/>
                <w:lang w:eastAsia="zh-CN"/>
              </w:rPr>
              <w:t>批次</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eastAsia="仿宋_GB2312"/>
                <w:sz w:val="24"/>
                <w:highlight w:val="none"/>
                <w:lang w:val="en-US" w:eastAsia="zh-CN"/>
              </w:rPr>
              <w:t>完成抽检20批次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spacing w:line="360" w:lineRule="exact"/>
              <w:jc w:val="left"/>
              <w:rPr>
                <w:rFonts w:ascii="仿宋_GB2312" w:hAnsi="仿宋_GB2312" w:eastAsia="仿宋_GB2312" w:cs="仿宋_GB2312"/>
                <w:color w:val="000000"/>
                <w:sz w:val="24"/>
              </w:rPr>
            </w:pPr>
            <w:r>
              <w:rPr>
                <w:rFonts w:hint="eastAsia" w:eastAsia="仿宋_GB2312"/>
                <w:sz w:val="24"/>
                <w:lang w:eastAsia="zh-CN"/>
              </w:rPr>
              <w:t>指标</w:t>
            </w:r>
            <w:r>
              <w:rPr>
                <w:rFonts w:hint="eastAsia" w:eastAsia="仿宋_GB2312"/>
                <w:sz w:val="24"/>
                <w:lang w:val="en-US" w:eastAsia="zh-CN"/>
              </w:rPr>
              <w:t>3：特种设备定检率100%</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eastAsia="仿宋_GB2312"/>
                <w:sz w:val="24"/>
                <w:lang w:val="en-US" w:eastAsia="zh-CN"/>
              </w:rPr>
              <w:t>完成100%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tcBorders>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tcBorders>
              <w:bottom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lang w:eastAsia="zh-CN"/>
              </w:rPr>
              <w:t>指标</w:t>
            </w:r>
            <w:r>
              <w:rPr>
                <w:rFonts w:hint="eastAsia" w:eastAsia="仿宋_GB2312"/>
                <w:sz w:val="24"/>
                <w:lang w:val="en-US" w:eastAsia="zh-CN"/>
              </w:rPr>
              <w:t>4：</w:t>
            </w:r>
            <w:r>
              <w:rPr>
                <w:rFonts w:hint="eastAsia" w:eastAsia="仿宋_GB2312"/>
                <w:sz w:val="24"/>
                <w:lang w:eastAsia="zh-CN"/>
              </w:rPr>
              <w:t>巡查</w:t>
            </w:r>
            <w:r>
              <w:rPr>
                <w:rFonts w:hint="eastAsia" w:eastAsia="仿宋_GB2312"/>
                <w:sz w:val="24"/>
                <w:lang w:val="en-US" w:eastAsia="zh-CN"/>
              </w:rPr>
              <w:t>食品经营户覆盖率100%</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eastAsia="仿宋_GB2312"/>
                <w:sz w:val="24"/>
                <w:lang w:val="en-US" w:eastAsia="zh-CN"/>
              </w:rPr>
              <w:t>完成100%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tcBorders>
              <w:top w:val="single" w:color="auto" w:sz="4" w:space="0"/>
            </w:tcBorders>
            <w:vAlign w:val="center"/>
          </w:tcPr>
          <w:p>
            <w:pPr>
              <w:spacing w:line="360" w:lineRule="exact"/>
              <w:jc w:val="center"/>
              <w:rPr>
                <w:rFonts w:hint="default" w:ascii="仿宋_GB2312" w:hAnsi="仿宋_GB2312" w:eastAsia="仿宋_GB2312" w:cs="仿宋_GB2312"/>
                <w:color w:val="000000"/>
                <w:sz w:val="24"/>
                <w:lang w:val="en-US"/>
              </w:rPr>
            </w:pPr>
            <w:r>
              <w:rPr>
                <w:rFonts w:hint="eastAsia" w:eastAsia="仿宋_GB2312"/>
                <w:sz w:val="24"/>
                <w:highlight w:val="none"/>
                <w:lang w:eastAsia="zh-CN"/>
              </w:rPr>
              <w:t>指标</w:t>
            </w:r>
            <w:r>
              <w:rPr>
                <w:rFonts w:hint="eastAsia" w:eastAsia="仿宋_GB2312"/>
                <w:sz w:val="24"/>
                <w:highlight w:val="none"/>
                <w:lang w:val="en-US" w:eastAsia="zh-CN"/>
              </w:rPr>
              <w:t>1：</w:t>
            </w:r>
            <w:r>
              <w:rPr>
                <w:rFonts w:hint="eastAsia" w:eastAsia="仿宋_GB2312"/>
                <w:sz w:val="24"/>
                <w:highlight w:val="none"/>
                <w:lang w:eastAsia="zh-CN"/>
              </w:rPr>
              <w:t>抽样于</w:t>
            </w:r>
            <w:r>
              <w:rPr>
                <w:rFonts w:hint="eastAsia" w:eastAsia="仿宋_GB2312"/>
                <w:sz w:val="24"/>
                <w:highlight w:val="none"/>
                <w:lang w:val="en-US" w:eastAsia="zh-CN"/>
              </w:rPr>
              <w:t>11月完成</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val="0"/>
                <w:bCs/>
                <w:color w:val="000000"/>
                <w:sz w:val="24"/>
                <w:highlight w:val="none"/>
                <w:lang w:eastAsia="zh-CN"/>
              </w:rPr>
              <w:t>与时间匹配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spacing w:line="360" w:lineRule="exact"/>
              <w:jc w:val="center"/>
              <w:rPr>
                <w:rFonts w:hint="default" w:ascii="仿宋_GB2312" w:hAnsi="仿宋_GB2312" w:eastAsia="仿宋_GB2312" w:cs="仿宋_GB2312"/>
                <w:color w:val="000000"/>
                <w:sz w:val="24"/>
                <w:lang w:val="en-US"/>
              </w:rPr>
            </w:pPr>
            <w:r>
              <w:rPr>
                <w:rFonts w:hint="eastAsia" w:eastAsia="仿宋_GB2312"/>
                <w:sz w:val="24"/>
                <w:highlight w:val="none"/>
                <w:lang w:eastAsia="zh-CN"/>
              </w:rPr>
              <w:t>指标</w:t>
            </w:r>
            <w:r>
              <w:rPr>
                <w:rFonts w:hint="eastAsia" w:eastAsia="仿宋_GB2312"/>
                <w:sz w:val="24"/>
                <w:highlight w:val="none"/>
                <w:lang w:val="en-US" w:eastAsia="zh-CN"/>
              </w:rPr>
              <w:t>2：</w:t>
            </w:r>
            <w:r>
              <w:rPr>
                <w:rFonts w:hint="eastAsia" w:eastAsia="仿宋_GB2312"/>
                <w:sz w:val="24"/>
                <w:highlight w:val="none"/>
                <w:lang w:eastAsia="zh-CN"/>
              </w:rPr>
              <w:t>检验</w:t>
            </w:r>
            <w:r>
              <w:rPr>
                <w:rFonts w:hint="eastAsia" w:eastAsia="仿宋_GB2312"/>
                <w:sz w:val="24"/>
                <w:highlight w:val="none"/>
                <w:lang w:val="en-US" w:eastAsia="zh-CN"/>
              </w:rPr>
              <w:t>于11月完成</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val="0"/>
                <w:bCs/>
                <w:color w:val="000000"/>
                <w:sz w:val="24"/>
                <w:highlight w:val="none"/>
                <w:lang w:eastAsia="zh-CN"/>
              </w:rPr>
              <w:t>与时间匹配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消费者对消费环境满意度</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eastAsia="zh-CN"/>
              </w:rPr>
              <w:t>达到</w:t>
            </w:r>
            <w:r>
              <w:rPr>
                <w:rFonts w:hint="eastAsia" w:ascii="仿宋_GB2312" w:hAnsi="仿宋_GB2312" w:eastAsia="仿宋_GB2312" w:cs="仿宋_GB2312"/>
                <w:b w:val="0"/>
                <w:bCs/>
                <w:color w:val="000000"/>
                <w:sz w:val="24"/>
                <w:lang w:val="en-US" w:eastAsia="zh-CN"/>
              </w:rPr>
              <w:t>90%以上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both"/>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99分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both"/>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尹赤波</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副局长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市场监管局新港区分局</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黎诗妤</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报账员</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市场监管局新港区分局</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eastAsia="仿宋_GB2312"/>
                <w:sz w:val="32"/>
                <w:szCs w:val="32"/>
              </w:rPr>
            </w:pPr>
            <w:r>
              <w:rPr>
                <w:rFonts w:hint="eastAsia" w:ascii="黑体" w:hAnsi="黑体" w:eastAsia="黑体" w:cs="黑体"/>
                <w:bCs/>
                <w:sz w:val="28"/>
                <w:szCs w:val="28"/>
              </w:rPr>
              <w:t>五、评价报告综述（文字部分）</w:t>
            </w:r>
          </w:p>
          <w:p>
            <w:pPr>
              <w:spacing w:line="560" w:lineRule="exact"/>
              <w:ind w:firstLine="554"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pStyle w:val="7"/>
              <w:shd w:val="clear" w:color="auto" w:fill="FFFFFF"/>
              <w:spacing w:before="0" w:beforeAutospacing="0" w:after="0" w:afterAutospacing="0"/>
              <w:ind w:firstLine="416" w:firstLineChars="150"/>
              <w:rPr>
                <w:rFonts w:ascii="Arial" w:hAnsi="Arial" w:cs="Arial"/>
                <w:b/>
                <w:bCs w:val="0"/>
                <w:sz w:val="28"/>
              </w:rPr>
            </w:pPr>
            <w:r>
              <w:rPr>
                <w:rFonts w:hint="eastAsia" w:ascii="仿宋_GB2312" w:hAnsi="仿宋_GB2312" w:eastAsia="仿宋_GB2312" w:cs="仿宋_GB2312"/>
                <w:b/>
                <w:bCs w:val="0"/>
                <w:sz w:val="28"/>
                <w:szCs w:val="28"/>
                <w:lang w:val="en-US" w:eastAsia="zh-CN"/>
              </w:rPr>
              <w:t>1、机构设置</w:t>
            </w:r>
          </w:p>
          <w:p>
            <w:pPr>
              <w:pStyle w:val="7"/>
              <w:shd w:val="clear" w:color="auto" w:fill="FFFFFF"/>
              <w:spacing w:before="0" w:beforeAutospacing="0" w:after="0" w:afterAutospacing="0"/>
              <w:ind w:firstLine="570"/>
              <w:rPr>
                <w:rFonts w:hint="eastAsia" w:ascii="仿宋_GB2312" w:hAnsi="仿宋_GB2312" w:eastAsia="仿宋_GB2312" w:cs="仿宋_GB2312"/>
                <w:color w:val="333333"/>
                <w:sz w:val="28"/>
                <w:szCs w:val="28"/>
                <w:lang w:eastAsia="zh-CN"/>
              </w:rPr>
            </w:pPr>
            <w:r>
              <w:rPr>
                <w:rFonts w:hint="eastAsia" w:ascii="仿宋_GB2312" w:hAnsi="仿宋_GB2312" w:eastAsia="仿宋_GB2312" w:cs="仿宋_GB2312"/>
                <w:color w:val="333333"/>
                <w:sz w:val="28"/>
                <w:szCs w:val="28"/>
                <w:lang w:eastAsia="zh-CN"/>
              </w:rPr>
              <w:t>根据市委编办核定，我局设置机构</w:t>
            </w:r>
            <w:r>
              <w:rPr>
                <w:rFonts w:hint="eastAsia" w:ascii="仿宋_GB2312" w:hAnsi="仿宋_GB2312" w:eastAsia="仿宋_GB2312" w:cs="仿宋_GB2312"/>
                <w:color w:val="333333"/>
                <w:sz w:val="28"/>
                <w:szCs w:val="28"/>
                <w:lang w:val="en-US" w:eastAsia="zh-CN"/>
              </w:rPr>
              <w:t>4个，其中</w:t>
            </w:r>
            <w:r>
              <w:rPr>
                <w:rFonts w:hint="eastAsia" w:ascii="仿宋_GB2312" w:hAnsi="仿宋_GB2312" w:eastAsia="仿宋_GB2312" w:cs="仿宋_GB2312"/>
                <w:color w:val="333333"/>
                <w:sz w:val="28"/>
                <w:szCs w:val="28"/>
                <w:lang w:eastAsia="zh-CN"/>
              </w:rPr>
              <w:t>内设机构</w:t>
            </w:r>
            <w:r>
              <w:rPr>
                <w:rFonts w:hint="eastAsia" w:ascii="仿宋_GB2312" w:hAnsi="仿宋_GB2312" w:eastAsia="仿宋_GB2312" w:cs="仿宋_GB2312"/>
                <w:color w:val="333333"/>
                <w:sz w:val="28"/>
                <w:szCs w:val="28"/>
                <w:lang w:val="en-US" w:eastAsia="zh-CN"/>
              </w:rPr>
              <w:t>3</w:t>
            </w:r>
            <w:r>
              <w:rPr>
                <w:rFonts w:hint="eastAsia" w:ascii="仿宋_GB2312" w:hAnsi="仿宋_GB2312" w:eastAsia="仿宋_GB2312" w:cs="仿宋_GB2312"/>
                <w:color w:val="333333"/>
                <w:sz w:val="28"/>
                <w:szCs w:val="28"/>
                <w:lang w:eastAsia="zh-CN"/>
              </w:rPr>
              <w:t>个，</w:t>
            </w:r>
            <w:r>
              <w:rPr>
                <w:rFonts w:hint="eastAsia" w:ascii="仿宋_GB2312" w:hAnsi="仿宋_GB2312" w:eastAsia="仿宋_GB2312" w:cs="仿宋_GB2312"/>
                <w:color w:val="333333"/>
                <w:sz w:val="28"/>
                <w:szCs w:val="28"/>
                <w:lang w:val="en-US" w:eastAsia="zh-CN"/>
              </w:rPr>
              <w:t>副科级市场监管所1个。</w:t>
            </w:r>
            <w:r>
              <w:rPr>
                <w:rFonts w:hint="eastAsia" w:ascii="仿宋_GB2312" w:hAnsi="仿宋_GB2312" w:eastAsia="仿宋_GB2312" w:cs="仿宋_GB2312"/>
                <w:color w:val="333333"/>
                <w:sz w:val="28"/>
                <w:szCs w:val="28"/>
                <w:lang w:eastAsia="zh-CN"/>
              </w:rPr>
              <w:t>内设科室分别是</w:t>
            </w:r>
            <w:r>
              <w:rPr>
                <w:rFonts w:hint="eastAsia" w:ascii="仿宋_GB2312" w:hAnsi="仿宋_GB2312" w:eastAsia="仿宋_GB2312" w:cs="仿宋_GB2312"/>
                <w:color w:val="333333"/>
                <w:sz w:val="28"/>
                <w:szCs w:val="28"/>
                <w:lang w:val="en-US" w:eastAsia="zh-CN"/>
              </w:rPr>
              <w:t>行政综合办公室、登记注册和信息化股（非公党建办公室）、综合业务股</w:t>
            </w:r>
            <w:r>
              <w:rPr>
                <w:rFonts w:hint="eastAsia" w:ascii="仿宋_GB2312" w:hAnsi="仿宋_GB2312" w:eastAsia="仿宋_GB2312" w:cs="仿宋_GB2312"/>
                <w:color w:val="333333"/>
                <w:sz w:val="28"/>
                <w:szCs w:val="28"/>
                <w:lang w:eastAsia="zh-CN"/>
              </w:rPr>
              <w:t>。</w:t>
            </w:r>
          </w:p>
          <w:p>
            <w:pPr>
              <w:pStyle w:val="7"/>
              <w:shd w:val="clear" w:color="auto" w:fill="FFFFFF"/>
              <w:spacing w:before="0" w:beforeAutospacing="0" w:after="0" w:afterAutospacing="0"/>
              <w:ind w:firstLine="570"/>
              <w:rPr>
                <w:rFonts w:hint="eastAsia" w:ascii="仿宋_GB2312" w:hAnsi="仿宋_GB2312" w:eastAsia="仿宋_GB2312" w:cs="仿宋_GB2312"/>
                <w:color w:val="333333"/>
                <w:sz w:val="28"/>
                <w:szCs w:val="28"/>
                <w:lang w:eastAsia="zh-CN"/>
              </w:rPr>
            </w:pPr>
            <w:r>
              <w:rPr>
                <w:rFonts w:hint="eastAsia" w:ascii="仿宋_GB2312" w:hAnsi="仿宋_GB2312" w:eastAsia="仿宋_GB2312" w:cs="仿宋_GB2312"/>
                <w:color w:val="333333"/>
                <w:sz w:val="28"/>
                <w:szCs w:val="28"/>
                <w:lang w:val="en-US" w:eastAsia="zh-CN"/>
              </w:rPr>
              <w:t>副科级市场监管所是新港市场监管所</w:t>
            </w:r>
            <w:r>
              <w:rPr>
                <w:rFonts w:hint="eastAsia" w:ascii="仿宋_GB2312" w:hAnsi="仿宋_GB2312" w:eastAsia="仿宋_GB2312" w:cs="仿宋_GB2312"/>
                <w:color w:val="333333"/>
                <w:sz w:val="28"/>
                <w:szCs w:val="28"/>
                <w:lang w:eastAsia="zh-CN"/>
              </w:rPr>
              <w:t>。</w:t>
            </w:r>
          </w:p>
          <w:p>
            <w:pPr>
              <w:pStyle w:val="7"/>
              <w:shd w:val="clear" w:color="auto" w:fill="FFFFFF"/>
              <w:spacing w:before="0" w:beforeAutospacing="0" w:after="0" w:afterAutospacing="0"/>
              <w:ind w:firstLine="570"/>
              <w:rPr>
                <w:rFonts w:hint="eastAsia" w:ascii="Arial" w:hAnsi="Arial" w:cs="Arial"/>
                <w:b/>
                <w:bCs/>
                <w:sz w:val="28"/>
                <w:lang w:val="en-US" w:eastAsia="zh-CN"/>
              </w:rPr>
            </w:pPr>
            <w:r>
              <w:rPr>
                <w:rFonts w:hint="eastAsia" w:ascii="Arial" w:hAnsi="Arial" w:cs="Arial"/>
                <w:b/>
                <w:bCs/>
                <w:sz w:val="28"/>
                <w:lang w:val="en-US" w:eastAsia="zh-CN"/>
              </w:rPr>
              <w:t>2、人员情况</w:t>
            </w:r>
          </w:p>
          <w:p>
            <w:pPr>
              <w:pStyle w:val="7"/>
              <w:shd w:val="clear" w:color="auto" w:fill="FFFFFF"/>
              <w:spacing w:before="0" w:beforeAutospacing="0" w:after="0" w:afterAutospacing="0"/>
              <w:ind w:firstLine="570"/>
              <w:rPr>
                <w:rFonts w:hint="default"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2021年末编制人数18人，其中行政编制17人，机关后勤服务事业编制1名。</w:t>
            </w:r>
          </w:p>
          <w:p>
            <w:pPr>
              <w:pStyle w:val="7"/>
              <w:shd w:val="clear" w:color="auto" w:fill="FFFFFF"/>
              <w:spacing w:before="0" w:beforeAutospacing="0" w:after="0" w:afterAutospacing="0"/>
              <w:ind w:firstLine="570"/>
              <w:rPr>
                <w:rFonts w:hint="eastAsia" w:ascii="Arial" w:hAnsi="Arial" w:eastAsia="宋体" w:cs="Arial"/>
                <w:b/>
                <w:bCs/>
                <w:sz w:val="28"/>
                <w:lang w:val="en-US" w:eastAsia="zh-CN"/>
              </w:rPr>
            </w:pPr>
            <w:r>
              <w:rPr>
                <w:rFonts w:hint="eastAsia" w:ascii="Arial" w:hAnsi="Arial" w:cs="Arial"/>
                <w:b/>
                <w:bCs/>
                <w:sz w:val="28"/>
                <w:lang w:val="en-US" w:eastAsia="zh-CN"/>
              </w:rPr>
              <w:t>3、</w:t>
            </w:r>
            <w:r>
              <w:rPr>
                <w:rFonts w:ascii="Arial" w:hAnsi="Arial" w:cs="Arial"/>
                <w:b/>
                <w:bCs/>
                <w:sz w:val="28"/>
              </w:rPr>
              <w:t>职能职责 </w:t>
            </w:r>
          </w:p>
          <w:p>
            <w:pPr>
              <w:pStyle w:val="7"/>
              <w:shd w:val="clear" w:color="auto" w:fill="FFFFFF"/>
              <w:spacing w:before="0" w:beforeAutospacing="0" w:after="0" w:afterAutospacing="0"/>
              <w:ind w:firstLine="570"/>
              <w:rPr>
                <w:rFonts w:hint="eastAsia" w:ascii="仿宋_GB2312" w:hAnsi="仿宋_GB2312" w:eastAsia="仿宋_GB2312" w:cs="仿宋_GB2312"/>
                <w:color w:val="333333"/>
                <w:sz w:val="28"/>
                <w:szCs w:val="28"/>
                <w:lang w:eastAsia="zh-CN"/>
              </w:rPr>
            </w:pPr>
            <w:r>
              <w:rPr>
                <w:rFonts w:hint="eastAsia" w:ascii="仿宋_GB2312" w:hAnsi="仿宋_GB2312" w:eastAsia="仿宋_GB2312" w:cs="仿宋_GB2312"/>
                <w:color w:val="333333"/>
                <w:sz w:val="28"/>
                <w:szCs w:val="28"/>
                <w:lang w:eastAsia="zh-CN"/>
              </w:rPr>
              <w:t>（一）负责市场综合监督管理。贯彻执行国家市场监督管理的方针、政策和法律法规规章，组织实施质量强市、食品安全、标准化和知识产权等战略，拟订并组织实施有关规划，规范和维护市场秩序，营造诚实守信、公平竞争的市场环境。</w:t>
            </w:r>
          </w:p>
          <w:p>
            <w:pPr>
              <w:pStyle w:val="7"/>
              <w:shd w:val="clear" w:color="auto" w:fill="FFFFFF"/>
              <w:spacing w:before="0" w:beforeAutospacing="0" w:after="0" w:afterAutospacing="0"/>
              <w:ind w:firstLine="570"/>
              <w:rPr>
                <w:rFonts w:hint="eastAsia" w:ascii="仿宋_GB2312" w:hAnsi="仿宋_GB2312" w:eastAsia="仿宋_GB2312" w:cs="仿宋_GB2312"/>
                <w:color w:val="333333"/>
                <w:sz w:val="28"/>
                <w:szCs w:val="28"/>
                <w:lang w:eastAsia="zh-CN"/>
              </w:rPr>
            </w:pPr>
            <w:r>
              <w:rPr>
                <w:rFonts w:hint="eastAsia" w:ascii="仿宋_GB2312" w:hAnsi="仿宋_GB2312" w:eastAsia="仿宋_GB2312" w:cs="仿宋_GB2312"/>
                <w:color w:val="333333"/>
                <w:sz w:val="28"/>
                <w:szCs w:val="28"/>
                <w:lang w:eastAsia="zh-CN"/>
              </w:rPr>
              <w:t>（二）负责市场主体统一登记注册工作。负责全市各类企业、农民专业合作社和从事经营活动的单位、个体工商户以及外国（地区）企业、常驻代表机构等市场主体的登记注册工作。建立市场主体信息公示和共享机制，依法公示</w:t>
            </w:r>
          </w:p>
          <w:p>
            <w:pPr>
              <w:pStyle w:val="7"/>
              <w:shd w:val="clear" w:color="auto" w:fill="FFFFFF"/>
              <w:spacing w:before="0" w:beforeAutospacing="0" w:after="0" w:afterAutospacing="0"/>
              <w:rPr>
                <w:rFonts w:hint="eastAsia" w:ascii="仿宋_GB2312" w:hAnsi="仿宋_GB2312" w:eastAsia="仿宋_GB2312" w:cs="仿宋_GB2312"/>
                <w:color w:val="333333"/>
                <w:sz w:val="28"/>
                <w:szCs w:val="28"/>
                <w:lang w:eastAsia="zh-CN"/>
              </w:rPr>
            </w:pPr>
            <w:r>
              <w:rPr>
                <w:rFonts w:hint="eastAsia" w:ascii="仿宋_GB2312" w:hAnsi="仿宋_GB2312" w:eastAsia="仿宋_GB2312" w:cs="仿宋_GB2312"/>
                <w:color w:val="333333"/>
                <w:sz w:val="28"/>
                <w:szCs w:val="28"/>
                <w:lang w:eastAsia="zh-CN"/>
              </w:rPr>
              <w:t>和共享有关信息，加强信用监管，推动市场主体信用体系建设。</w:t>
            </w:r>
          </w:p>
          <w:p>
            <w:pPr>
              <w:pStyle w:val="7"/>
              <w:numPr>
                <w:ilvl w:val="0"/>
                <w:numId w:val="1"/>
              </w:numPr>
              <w:shd w:val="clear" w:color="auto" w:fill="FFFFFF"/>
              <w:spacing w:before="0" w:beforeAutospacing="0" w:after="0" w:afterAutospacing="0"/>
              <w:ind w:firstLine="570"/>
              <w:rPr>
                <w:rFonts w:hint="eastAsia" w:ascii="仿宋_GB2312" w:eastAsia="仿宋_GB2312"/>
                <w:sz w:val="28"/>
                <w:szCs w:val="28"/>
              </w:rPr>
            </w:pPr>
            <w:r>
              <w:rPr>
                <w:rFonts w:hint="eastAsia" w:ascii="仿宋_GB2312" w:hAnsi="仿宋_GB2312" w:eastAsia="仿宋_GB2312" w:cs="仿宋_GB2312"/>
                <w:color w:val="333333"/>
                <w:sz w:val="28"/>
                <w:szCs w:val="28"/>
                <w:lang w:eastAsia="zh-CN"/>
              </w:rPr>
              <w:t>负责组织指导市场监管综合执法工作。指导县市区市场监管综合执法队伍整合和建设，推动实行统一的市场监管。组织指导或直接查处违法案件，</w:t>
            </w:r>
            <w:r>
              <w:rPr>
                <w:rFonts w:hint="eastAsia" w:ascii="仿宋_GB2312" w:eastAsia="仿宋_GB2312"/>
                <w:sz w:val="28"/>
                <w:szCs w:val="28"/>
              </w:rPr>
              <w:t>规范市场监管行政执法行为。</w:t>
            </w:r>
          </w:p>
          <w:p>
            <w:pPr>
              <w:pStyle w:val="7"/>
              <w:shd w:val="clear" w:color="auto" w:fill="FFFFFF"/>
              <w:spacing w:before="0" w:beforeAutospacing="0" w:after="0" w:afterAutospacing="0"/>
              <w:ind w:firstLine="570"/>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四）依委托开展反垄断统一执法调查工作。统筹推进竞争政策实施，组织实施公平竞争审查制度。依委托协助开展垄断协议、滥用市场支配地位和滥用行政权力排除、限制竞争等反垄断执法调查工作，指导企业在国外的反垄断应诉工作。</w:t>
            </w:r>
          </w:p>
          <w:p>
            <w:pPr>
              <w:pStyle w:val="7"/>
              <w:shd w:val="clear" w:color="auto" w:fill="FFFFFF"/>
              <w:spacing w:before="0" w:beforeAutospacing="0" w:after="0" w:afterAutospacing="0"/>
              <w:ind w:firstLine="570"/>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五）负责监督管理市场秩序。依法监督管理市场交易、网络商品交易及有关服务的行为。组织指导查处价格收费违法违规、不正当竞争、违法直销、传销、侵犯商标专利知识产权和制售假冒伪劣行为。依法监督处理合同违法行为，依法实施对拍卖行为的监督管理，管理动产抵押物登记。指导广告业的发展，监督管理广告活动。承担依法查处无照生产经营和相关无证生产经营行为。</w:t>
            </w:r>
          </w:p>
          <w:p>
            <w:pPr>
              <w:pStyle w:val="7"/>
              <w:shd w:val="clear" w:color="auto" w:fill="FFFFFF"/>
              <w:spacing w:before="0" w:beforeAutospacing="0" w:after="0" w:afterAutospacing="0"/>
              <w:ind w:firstLine="570"/>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六）负责宏观质量管理。贯彻国家、省质量发展的有关政策，拟订推进质量发展战略的政策措施并组织实施，对全市质量管理工作进行宏观指导。组织实施质量奖励制度，积极推进质量强市战略和品牌建设，推动建立产品质量诚信制度；组织实施产品和服务质量提升、开展服务质量监测；按规定权限组织对重大产品质量事故调查，配合实施缺陷产品召回制度，监督管理产品防伪工作。</w:t>
            </w:r>
          </w:p>
          <w:p>
            <w:pPr>
              <w:pStyle w:val="7"/>
              <w:shd w:val="clear" w:color="auto" w:fill="FFFFFF"/>
              <w:spacing w:before="0" w:beforeAutospacing="0" w:after="0" w:afterAutospacing="0"/>
              <w:ind w:firstLine="570"/>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（七）负责产品质量安全监督管理。负责产品质量安全监督抽查和风险监控工作，组织实施质量分级制度、质量安全追溯制度。负责工业产品生产许可证证后管理。负责纤维质量监督检验工作。</w:t>
            </w:r>
          </w:p>
          <w:p>
            <w:pPr>
              <w:pStyle w:val="7"/>
              <w:shd w:val="clear" w:color="auto" w:fill="FFFFFF"/>
              <w:spacing w:before="0" w:beforeAutospacing="0" w:after="0" w:afterAutospacing="0"/>
              <w:ind w:firstLine="570"/>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八）负责特种设备安全监督管理。综合管理特种设备安全监察、监督工作，监督检查高耗能特种设备节能标准和锅炉生产、进口、销售环节环境保护标准的执行情况。按规定权限组织调查处理特种设备事故并进行统计分析。</w:t>
            </w:r>
          </w:p>
          <w:p>
            <w:pPr>
              <w:pStyle w:val="7"/>
              <w:shd w:val="clear" w:color="auto" w:fill="FFFFFF"/>
              <w:spacing w:before="0" w:beforeAutospacing="0" w:after="0" w:afterAutospacing="0"/>
              <w:ind w:firstLine="570"/>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（九）负责食品安全监督管理综合协调。负责食品安全应急体系建设，组织指导重大食品安全事件应急处置和调查处理工作。落实食品安全重要信息直报制度。承担市食品安全委员会日常工作。</w:t>
            </w:r>
          </w:p>
          <w:p>
            <w:pPr>
              <w:pStyle w:val="7"/>
              <w:shd w:val="clear" w:color="auto" w:fill="FFFFFF"/>
              <w:spacing w:before="0" w:beforeAutospacing="0" w:after="0" w:afterAutospacing="0"/>
              <w:ind w:firstLine="570"/>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十）负责食品安全监督管理。建立覆盖食品生产、流通、消费全过程的监督检查制度和隐患排查治理机制并组织实施，防范区域性、系统性食品安全风险。推动建立食品生产经营者落实主体责任的机制，健全食品安全追溯体系。组织开展食品安全监督抽检、风险监测、核查处置和风险预警、风险交流等工作。组织实施特殊食品监督管理。负责食盐专营管理和食盐安全监督管理。</w:t>
            </w:r>
          </w:p>
          <w:p>
            <w:pPr>
              <w:pStyle w:val="7"/>
              <w:shd w:val="clear" w:color="auto" w:fill="FFFFFF"/>
              <w:spacing w:before="0" w:beforeAutospacing="0" w:after="0" w:afterAutospacing="0"/>
              <w:ind w:firstLine="570"/>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（十一）负责统一管理计量工作。推行国家法定计量单位，执行国家计量制度,依职权管理计量器具及量值传递和比对工作。规范、监督商品量和市场计量行为。</w:t>
            </w:r>
          </w:p>
          <w:p>
            <w:pPr>
              <w:pStyle w:val="7"/>
              <w:shd w:val="clear" w:color="auto" w:fill="FFFFFF"/>
              <w:spacing w:before="0" w:beforeAutospacing="0" w:after="0" w:afterAutospacing="0"/>
              <w:ind w:firstLine="570"/>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十二）负责统一管理标准化工作。组织实施标准化法律、法规，推进本行政区域内标准化战略的实施；依法承担地方标准立项、编号和发布等工作，依法协调指导市级地方标准、团体标准制定工作。依法开展标准化试点示范工作；管理全市商品条码工作；依据法定职责，对标准的制定进行指导监督，对标准的实施进行监督检查。推行采用国际标准。</w:t>
            </w:r>
          </w:p>
          <w:p>
            <w:pPr>
              <w:pStyle w:val="7"/>
              <w:shd w:val="clear" w:color="auto" w:fill="FFFFFF"/>
              <w:spacing w:before="0" w:beforeAutospacing="0" w:after="0" w:afterAutospacing="0"/>
              <w:ind w:firstLine="570"/>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（十三）负责统一管理检验检测工作。组织实施检验检测机构资质认定监督管理；协调推进检验检测机构改革；规范检验检测市场，完善检验检测体系，指导协调检验检测行业发展。</w:t>
            </w:r>
          </w:p>
          <w:p>
            <w:pPr>
              <w:pStyle w:val="7"/>
              <w:shd w:val="clear" w:color="auto" w:fill="FFFFFF"/>
              <w:spacing w:before="0" w:beforeAutospacing="0" w:after="0" w:afterAutospacing="0"/>
              <w:ind w:firstLine="570"/>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（十四）负责统一管理、监督和综合协调认证认可工作。依法监督管理全市认证认可和合格评定有关活动。</w:t>
            </w:r>
          </w:p>
          <w:p>
            <w:pPr>
              <w:pStyle w:val="7"/>
              <w:shd w:val="clear" w:color="auto" w:fill="FFFFFF"/>
              <w:spacing w:before="0" w:beforeAutospacing="0" w:after="0" w:afterAutospacing="0"/>
              <w:ind w:firstLine="570"/>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（十五）负责市场监督管理、知识产权领域科技和信息化建设、新闻宣传、对外交流与合作。按规定承担技术性贸易措施有关工作。</w:t>
            </w:r>
          </w:p>
          <w:p>
            <w:pPr>
              <w:pStyle w:val="7"/>
              <w:shd w:val="clear" w:color="auto" w:fill="FFFFFF"/>
              <w:spacing w:before="0" w:beforeAutospacing="0" w:after="0" w:afterAutospacing="0"/>
              <w:ind w:firstLine="570"/>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（十六）负责实施知识产权战略，推进知识产权强市建设。制定知识产权创造、保护、运用的管理措施并组织实施。建设知识产权公共服务体系，推动知识产权信息传播利用，建设知识产权人才队伍。</w:t>
            </w:r>
          </w:p>
          <w:p>
            <w:pPr>
              <w:pStyle w:val="7"/>
              <w:shd w:val="clear" w:color="auto" w:fill="FFFFFF"/>
              <w:spacing w:before="0" w:beforeAutospacing="0" w:after="0" w:afterAutospacing="0"/>
              <w:ind w:firstLine="570"/>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（十七）负责保护知识产权。落实严格保护专利、商标、原产地地理标志等相关工作，建设知识产权保护体系，指导监督商标、专利及原产地地理标志执法。</w:t>
            </w:r>
          </w:p>
          <w:p>
            <w:pPr>
              <w:pStyle w:val="7"/>
              <w:shd w:val="clear" w:color="auto" w:fill="FFFFFF"/>
              <w:spacing w:before="0" w:beforeAutospacing="0" w:after="0" w:afterAutospacing="0"/>
              <w:ind w:firstLine="570"/>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（十八）负责知识产权创造运用。开展知识产权运营体系建设，指导重大经济活动知识产权评议，规范知识产权交易和无形资产评估，促进知识产权转移转化，推动知识产权高质量发展。</w:t>
            </w:r>
          </w:p>
          <w:p>
            <w:pPr>
              <w:pStyle w:val="7"/>
              <w:shd w:val="clear" w:color="auto" w:fill="FFFFFF"/>
              <w:spacing w:before="0" w:beforeAutospacing="0" w:after="0" w:afterAutospacing="0"/>
              <w:ind w:firstLine="570"/>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十九）负责组织开展有关商品和服务领域消费维权工作，查处假冒伪劣等违法行为，指导消费者咨询、投诉、举报受理、处理和网络体系建设等工作，保护经营者、消费者合法权益。指导消费者权益保护组织开展消费维权工作。</w:t>
            </w:r>
          </w:p>
          <w:p>
            <w:pPr>
              <w:pStyle w:val="7"/>
              <w:shd w:val="clear" w:color="auto" w:fill="FFFFFF"/>
              <w:spacing w:before="0" w:beforeAutospacing="0" w:after="0" w:afterAutospacing="0"/>
              <w:ind w:firstLine="570"/>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（二十）负责药品（含中药、民族药，下同）、医疗器械和化妆品安全监督管理。贯彻执行国家、省关于药品、医疗器械、化妆品安全监督管理的法律、法规和规章，拟订地方性政策规划并组织实施。</w:t>
            </w:r>
          </w:p>
          <w:p>
            <w:pPr>
              <w:pStyle w:val="7"/>
              <w:shd w:val="clear" w:color="auto" w:fill="FFFFFF"/>
              <w:spacing w:before="0" w:beforeAutospacing="0" w:after="0" w:afterAutospacing="0"/>
              <w:ind w:firstLine="570"/>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（二十一）监督实施药品、医疗器械、化妆品标准和分类管理制度，配合有关部门实施国家基本药物制度。</w:t>
            </w:r>
          </w:p>
          <w:p>
            <w:pPr>
              <w:pStyle w:val="7"/>
              <w:shd w:val="clear" w:color="auto" w:fill="FFFFFF"/>
              <w:spacing w:before="0" w:beforeAutospacing="0" w:after="0" w:afterAutospacing="0"/>
              <w:ind w:firstLine="570"/>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（二十二）负责权限范围内药品、医疗器械和化妆品质量管理。监督实施药品、医疗器械经营质量管理规范，监督实施化妆品经营、使用卫生标准和技术规范。</w:t>
            </w:r>
          </w:p>
          <w:p>
            <w:pPr>
              <w:pStyle w:val="7"/>
              <w:shd w:val="clear" w:color="auto" w:fill="FFFFFF"/>
              <w:spacing w:before="0" w:beforeAutospacing="0" w:after="0" w:afterAutospacing="0"/>
              <w:ind w:firstLine="570"/>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二十三）负责权限范围内药品、医疗器械和化妆品上市后风险管理。组织开展药品不良反应、医疗器械不良事件和化妆品不良反应的监测、评价和处置工作。依法承担药品、医疗器械和化妆品安全应急管理工作。</w:t>
            </w:r>
          </w:p>
          <w:p>
            <w:pPr>
              <w:pStyle w:val="7"/>
              <w:shd w:val="clear" w:color="auto" w:fill="FFFFFF"/>
              <w:spacing w:before="0" w:beforeAutospacing="0" w:after="0" w:afterAutospacing="0"/>
              <w:ind w:firstLine="570"/>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二十四）负责组织实施药品、医疗器械和化妆品监督检查。制定检查制度，依法查处药品、医疗器械和化妆品经营、使用环节违法行为，监督实施问题产品召回和处置制度，依职责组织指导查处其他环节的违法行为。</w:t>
            </w:r>
          </w:p>
          <w:p>
            <w:pPr>
              <w:pStyle w:val="7"/>
              <w:shd w:val="clear" w:color="auto" w:fill="FFFFFF"/>
              <w:spacing w:before="0" w:beforeAutospacing="0" w:after="0" w:afterAutospacing="0"/>
              <w:ind w:firstLine="570"/>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（二十五）负责指导市县市场监督管理部门承担的药品、医疗器械、化妆品有关监督管理工作。</w:t>
            </w:r>
          </w:p>
          <w:p>
            <w:pPr>
              <w:pStyle w:val="7"/>
              <w:shd w:val="clear" w:color="auto" w:fill="FFFFFF"/>
              <w:spacing w:before="0" w:beforeAutospacing="0" w:after="0" w:afterAutospacing="0"/>
              <w:ind w:firstLine="570"/>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（二十六）按规定要求，承担对口事业服务机构业务工作的指导、协调和监督职责。</w:t>
            </w:r>
          </w:p>
          <w:p>
            <w:pPr>
              <w:pStyle w:val="7"/>
              <w:shd w:val="clear" w:color="auto" w:fill="FFFFFF"/>
              <w:spacing w:before="0" w:beforeAutospacing="0" w:after="0" w:afterAutospacing="0"/>
              <w:ind w:firstLine="570"/>
              <w:rPr>
                <w:rFonts w:hint="eastAsia" w:ascii="仿宋_GB2312" w:eastAsia="仿宋_GB2312"/>
                <w:sz w:val="28"/>
                <w:szCs w:val="28"/>
              </w:rPr>
            </w:pPr>
            <w:r>
              <w:rPr>
                <w:rFonts w:hint="eastAsia" w:ascii="仿宋_GB2312" w:hAnsi="仿宋_GB2312" w:eastAsia="仿宋_GB2312" w:cs="仿宋_GB2312"/>
                <w:color w:val="333333"/>
                <w:sz w:val="28"/>
                <w:szCs w:val="28"/>
                <w:lang w:val="en-US" w:eastAsia="zh-CN"/>
              </w:rPr>
              <w:t>（二十七）完成市委、市政府交办的其他任务。</w:t>
            </w:r>
          </w:p>
          <w:p>
            <w:pPr>
              <w:spacing w:line="560" w:lineRule="exact"/>
              <w:ind w:firstLine="554" w:firstLineChars="200"/>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4、部门整体支出管理状况</w:t>
            </w:r>
          </w:p>
          <w:p>
            <w:pPr>
              <w:pStyle w:val="7"/>
              <w:shd w:val="clear" w:color="auto" w:fill="FFFFFF"/>
              <w:spacing w:before="0" w:beforeAutospacing="0" w:after="0" w:afterAutospacing="0"/>
              <w:ind w:firstLine="570"/>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（一）2022年，我局为加强部门整体支出管理，提高资金使用效益，除日常的管理工作之外，我局在部门整体支出管理方面开展了如下工作：</w:t>
            </w:r>
          </w:p>
          <w:p>
            <w:pPr>
              <w:pStyle w:val="7"/>
              <w:shd w:val="clear" w:color="auto" w:fill="FFFFFF"/>
              <w:spacing w:before="0" w:beforeAutospacing="0" w:after="0" w:afterAutospacing="0"/>
              <w:ind w:firstLine="570"/>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1、重视预算支出绩效评估工作，成立了以局领导和相关科室负责人组成的预算支出绩效评估领导小组，强化了分局预算管理意识。</w:t>
            </w:r>
          </w:p>
          <w:p>
            <w:pPr>
              <w:pStyle w:val="7"/>
              <w:shd w:val="clear" w:color="auto" w:fill="FFFFFF"/>
              <w:spacing w:before="0" w:beforeAutospacing="0" w:after="0" w:afterAutospacing="0"/>
              <w:ind w:firstLine="570"/>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2、重视财政预算资金管理方面制度的学习，不断提高资金管理能力。</w:t>
            </w:r>
          </w:p>
          <w:p>
            <w:pPr>
              <w:pStyle w:val="7"/>
              <w:shd w:val="clear" w:color="auto" w:fill="FFFFFF"/>
              <w:spacing w:before="0" w:beforeAutospacing="0" w:after="0" w:afterAutospacing="0"/>
              <w:ind w:firstLine="570"/>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3、建立了财务管理制度，并不断进行完善和修订。</w:t>
            </w:r>
          </w:p>
          <w:p>
            <w:pPr>
              <w:pStyle w:val="7"/>
              <w:shd w:val="clear" w:color="auto" w:fill="FFFFFF"/>
              <w:spacing w:before="0" w:beforeAutospacing="0" w:after="0" w:afterAutospacing="0"/>
              <w:ind w:firstLine="570"/>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4、严格制度的执行，特别是“三公”经费的管理。通过加强对招待费的严格控制，“三公”经费较好的控制在预算范围之内。</w:t>
            </w:r>
          </w:p>
          <w:p>
            <w:pPr>
              <w:spacing w:line="560" w:lineRule="exact"/>
              <w:ind w:firstLine="554" w:firstLineChars="200"/>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（二）部门（单位）整体支出规模、使用方向和主要内容、涉及范围等</w:t>
            </w:r>
          </w:p>
          <w:p>
            <w:pPr>
              <w:spacing w:line="560" w:lineRule="exact"/>
              <w:ind w:firstLine="554" w:firstLineChars="200"/>
              <w:rPr>
                <w:rFonts w:hint="eastAsia" w:ascii="黑体" w:hAnsi="黑体" w:eastAsia="黑体" w:cs="黑体"/>
                <w:b/>
                <w:bCs w:val="0"/>
                <w:sz w:val="28"/>
                <w:szCs w:val="28"/>
                <w:lang w:val="en-US" w:eastAsia="zh-CN"/>
              </w:rPr>
            </w:pPr>
            <w:r>
              <w:rPr>
                <w:rFonts w:hint="eastAsia" w:ascii="黑体" w:hAnsi="黑体" w:eastAsia="黑体" w:cs="黑体"/>
                <w:bCs/>
                <w:sz w:val="28"/>
                <w:szCs w:val="28"/>
                <w:lang w:val="en-US" w:eastAsia="zh-CN"/>
              </w:rPr>
              <w:t>1、年度部门预算收支情况及</w:t>
            </w:r>
            <w:r>
              <w:rPr>
                <w:rFonts w:hint="eastAsia" w:ascii="宋体" w:hAnsi="宋体" w:eastAsia="宋体" w:cs="宋体"/>
                <w:b/>
                <w:bCs w:val="0"/>
                <w:sz w:val="28"/>
                <w:szCs w:val="28"/>
                <w:lang w:val="en-US" w:eastAsia="zh-CN"/>
              </w:rPr>
              <w:t>使用方向和主要内容、涉及范围</w:t>
            </w:r>
          </w:p>
          <w:p>
            <w:pPr>
              <w:spacing w:line="560" w:lineRule="exact"/>
              <w:ind w:firstLine="554" w:firstLineChars="20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根据财政部门的预算批复，我局年度部门收支预算情况如下：</w:t>
            </w:r>
          </w:p>
          <w:p>
            <w:pPr>
              <w:widowControl/>
              <w:spacing w:line="480" w:lineRule="auto"/>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         单位：万元</w:t>
            </w:r>
          </w:p>
          <w:tbl>
            <w:tblPr>
              <w:tblStyle w:val="8"/>
              <w:tblW w:w="9441" w:type="dxa"/>
              <w:tblInd w:w="1"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30" w:type="dxa"/>
                <w:left w:w="30" w:type="dxa"/>
                <w:bottom w:w="30" w:type="dxa"/>
                <w:right w:w="30" w:type="dxa"/>
              </w:tblCellMar>
            </w:tblPr>
            <w:tblGrid>
              <w:gridCol w:w="4536"/>
              <w:gridCol w:w="4905"/>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53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jc w:val="center"/>
                    <w:rPr>
                      <w:rFonts w:ascii="黑体" w:hAnsi="宋体" w:eastAsia="黑体" w:cs="宋体"/>
                      <w:color w:val="333333"/>
                      <w:kern w:val="0"/>
                      <w:sz w:val="28"/>
                      <w:szCs w:val="28"/>
                    </w:rPr>
                  </w:pPr>
                  <w:r>
                    <w:rPr>
                      <w:rFonts w:hint="eastAsia" w:ascii="黑体" w:hAnsi="宋体" w:eastAsia="黑体" w:cs="宋体"/>
                      <w:color w:val="333333"/>
                      <w:kern w:val="0"/>
                      <w:sz w:val="28"/>
                      <w:szCs w:val="28"/>
                    </w:rPr>
                    <w:t>预算项目</w:t>
                  </w:r>
                </w:p>
              </w:tc>
              <w:tc>
                <w:tcPr>
                  <w:tcW w:w="490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ind w:firstLine="2216" w:firstLineChars="800"/>
                    <w:jc w:val="center"/>
                    <w:rPr>
                      <w:rFonts w:ascii="黑体" w:hAnsi="宋体" w:eastAsia="黑体" w:cs="宋体"/>
                      <w:color w:val="333333"/>
                      <w:kern w:val="0"/>
                      <w:sz w:val="28"/>
                      <w:szCs w:val="28"/>
                    </w:rPr>
                  </w:pPr>
                  <w:r>
                    <w:rPr>
                      <w:rFonts w:hint="eastAsia" w:ascii="黑体" w:hAnsi="宋体" w:eastAsia="黑体" w:cs="宋体"/>
                      <w:color w:val="333333"/>
                      <w:kern w:val="0"/>
                      <w:sz w:val="28"/>
                      <w:szCs w:val="28"/>
                    </w:rPr>
                    <w:t>合计</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trHeight w:val="469" w:hRule="atLeast"/>
              </w:trPr>
              <w:tc>
                <w:tcPr>
                  <w:tcW w:w="4536"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jc w:val="center"/>
                    <w:textAlignment w:val="center"/>
                    <w:rPr>
                      <w:rFonts w:hint="eastAsia" w:ascii="宋体" w:hAnsi="宋体" w:eastAsia="宋体" w:cs="宋体"/>
                      <w:color w:val="333333"/>
                      <w:kern w:val="0"/>
                      <w:sz w:val="24"/>
                      <w:szCs w:val="24"/>
                    </w:rPr>
                  </w:pPr>
                  <w:r>
                    <w:rPr>
                      <w:rFonts w:hint="eastAsia" w:ascii="宋体" w:hAnsi="宋体" w:eastAsia="宋体" w:cs="宋体"/>
                      <w:i w:val="0"/>
                      <w:color w:val="000000"/>
                      <w:kern w:val="0"/>
                      <w:sz w:val="24"/>
                      <w:szCs w:val="24"/>
                      <w:u w:val="none"/>
                      <w:lang w:val="en-US" w:eastAsia="zh-CN" w:bidi="ar"/>
                    </w:rPr>
                    <w:t>一、本年收入</w:t>
                  </w:r>
                </w:p>
              </w:tc>
              <w:tc>
                <w:tcPr>
                  <w:tcW w:w="4905"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jc w:val="center"/>
                    <w:textAlignment w:val="center"/>
                    <w:rPr>
                      <w:rFonts w:hint="default"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195.985</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trHeight w:val="477" w:hRule="atLeast"/>
              </w:trPr>
              <w:tc>
                <w:tcPr>
                  <w:tcW w:w="4536"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jc w:val="center"/>
                    <w:textAlignment w:val="center"/>
                    <w:rPr>
                      <w:rFonts w:hint="eastAsia" w:ascii="宋体" w:hAnsi="宋体" w:eastAsia="宋体" w:cs="宋体"/>
                      <w:color w:val="333333"/>
                      <w:kern w:val="0"/>
                      <w:sz w:val="24"/>
                      <w:szCs w:val="24"/>
                    </w:rPr>
                  </w:pPr>
                  <w:r>
                    <w:rPr>
                      <w:rFonts w:hint="eastAsia" w:ascii="宋体" w:hAnsi="宋体" w:eastAsia="宋体" w:cs="宋体"/>
                      <w:i w:val="0"/>
                      <w:color w:val="000000"/>
                      <w:kern w:val="0"/>
                      <w:sz w:val="24"/>
                      <w:szCs w:val="24"/>
                      <w:u w:val="none"/>
                      <w:lang w:val="en-US" w:eastAsia="zh-CN" w:bidi="ar"/>
                    </w:rPr>
                    <w:t>经费拨款(补助)</w:t>
                  </w:r>
                </w:p>
              </w:tc>
              <w:tc>
                <w:tcPr>
                  <w:tcW w:w="4905"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jc w:val="center"/>
                    <w:textAlignment w:val="center"/>
                    <w:rPr>
                      <w:rFonts w:hint="default"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195.985</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trHeight w:val="579" w:hRule="atLeast"/>
              </w:trPr>
              <w:tc>
                <w:tcPr>
                  <w:tcW w:w="4536" w:type="dxa"/>
                  <w:tcBorders>
                    <w:top w:val="outset" w:color="000000" w:sz="6" w:space="0"/>
                    <w:left w:val="outset" w:color="000000" w:sz="6" w:space="0"/>
                    <w:bottom w:val="outset" w:color="000000" w:sz="6" w:space="0"/>
                    <w:right w:val="outset" w:color="000000" w:sz="6" w:space="0"/>
                  </w:tcBorders>
                  <w:noWrap w:val="0"/>
                  <w:vAlign w:val="center"/>
                </w:tcPr>
                <w:p>
                  <w:pPr>
                    <w:keepNext w:val="0"/>
                    <w:keepLines w:val="0"/>
                    <w:widowControl/>
                    <w:suppressLineNumbers w:val="0"/>
                    <w:jc w:val="center"/>
                    <w:textAlignment w:val="center"/>
                    <w:rPr>
                      <w:rFonts w:hint="eastAsia" w:ascii="宋体" w:hAnsi="宋体" w:eastAsia="宋体" w:cs="宋体"/>
                      <w:color w:val="333333"/>
                      <w:kern w:val="0"/>
                      <w:sz w:val="24"/>
                      <w:szCs w:val="24"/>
                    </w:rPr>
                  </w:pPr>
                  <w:r>
                    <w:rPr>
                      <w:rFonts w:hint="eastAsia" w:ascii="宋体" w:hAnsi="宋体" w:eastAsia="宋体" w:cs="宋体"/>
                      <w:i w:val="0"/>
                      <w:color w:val="000000"/>
                      <w:kern w:val="0"/>
                      <w:sz w:val="24"/>
                      <w:szCs w:val="24"/>
                      <w:u w:val="none"/>
                      <w:lang w:val="en-US" w:eastAsia="zh-CN" w:bidi="ar"/>
                    </w:rPr>
                    <w:t>纳入一般公共预算管理的非税收入拨款</w:t>
                  </w:r>
                </w:p>
              </w:tc>
              <w:tc>
                <w:tcPr>
                  <w:tcW w:w="490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ind w:firstLine="2370" w:firstLineChars="1000"/>
                    <w:jc w:val="both"/>
                    <w:rPr>
                      <w:rFonts w:hint="default"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53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jc w:val="center"/>
                    <w:rPr>
                      <w:rFonts w:hint="eastAsia" w:ascii="宋体" w:hAnsi="宋体" w:eastAsia="宋体" w:cs="宋体"/>
                      <w:color w:val="333333"/>
                      <w:kern w:val="0"/>
                      <w:sz w:val="24"/>
                      <w:szCs w:val="24"/>
                      <w:lang w:eastAsia="zh-CN"/>
                    </w:rPr>
                  </w:pPr>
                  <w:r>
                    <w:rPr>
                      <w:rFonts w:hint="eastAsia" w:ascii="宋体" w:hAnsi="宋体" w:eastAsia="宋体" w:cs="宋体"/>
                      <w:color w:val="333333"/>
                      <w:kern w:val="0"/>
                      <w:sz w:val="24"/>
                      <w:szCs w:val="24"/>
                      <w:lang w:eastAsia="zh-CN"/>
                    </w:rPr>
                    <w:t>二、本年支出</w:t>
                  </w:r>
                </w:p>
              </w:tc>
              <w:tc>
                <w:tcPr>
                  <w:tcW w:w="490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jc w:val="center"/>
                    <w:rPr>
                      <w:rFonts w:hint="default"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195.985</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53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基本支出</w:t>
                  </w:r>
                </w:p>
              </w:tc>
              <w:tc>
                <w:tcPr>
                  <w:tcW w:w="490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jc w:val="center"/>
                    <w:rPr>
                      <w:rFonts w:hint="default"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53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其中：财政拨款支出</w:t>
                  </w:r>
                </w:p>
              </w:tc>
              <w:tc>
                <w:tcPr>
                  <w:tcW w:w="490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jc w:val="center"/>
                    <w:rPr>
                      <w:rFonts w:hint="default"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0</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53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项目支出</w:t>
                  </w:r>
                </w:p>
              </w:tc>
              <w:tc>
                <w:tcPr>
                  <w:tcW w:w="490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jc w:val="center"/>
                    <w:rPr>
                      <w:rFonts w:hint="default"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195.985</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53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其中：财政拨款支出</w:t>
                  </w:r>
                </w:p>
              </w:tc>
              <w:tc>
                <w:tcPr>
                  <w:tcW w:w="490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jc w:val="center"/>
                    <w:rPr>
                      <w:rFonts w:hint="default"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195.985</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4536"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支出预算合计</w:t>
                  </w:r>
                </w:p>
              </w:tc>
              <w:tc>
                <w:tcPr>
                  <w:tcW w:w="4905" w:type="dxa"/>
                  <w:tcBorders>
                    <w:top w:val="outset" w:color="000000" w:sz="6" w:space="0"/>
                    <w:left w:val="outset" w:color="000000" w:sz="6" w:space="0"/>
                    <w:bottom w:val="outset" w:color="000000" w:sz="6" w:space="0"/>
                    <w:right w:val="outset" w:color="000000" w:sz="6" w:space="0"/>
                  </w:tcBorders>
                  <w:noWrap w:val="0"/>
                  <w:vAlign w:val="center"/>
                </w:tcPr>
                <w:p>
                  <w:pPr>
                    <w:widowControl/>
                    <w:spacing w:line="480" w:lineRule="auto"/>
                    <w:jc w:val="center"/>
                    <w:rPr>
                      <w:rFonts w:hint="default"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195.985</w:t>
                  </w:r>
                </w:p>
              </w:tc>
            </w:tr>
          </w:tbl>
          <w:p>
            <w:pPr>
              <w:spacing w:line="560" w:lineRule="exact"/>
              <w:ind w:firstLine="554" w:firstLineChars="200"/>
              <w:rPr>
                <w:rFonts w:hint="default" w:ascii="黑体" w:hAnsi="黑体" w:eastAsia="黑体" w:cs="黑体"/>
                <w:bCs/>
                <w:sz w:val="28"/>
                <w:szCs w:val="28"/>
                <w:lang w:val="en-US" w:eastAsia="zh-CN"/>
              </w:rPr>
            </w:pPr>
            <w:r>
              <w:rPr>
                <w:rFonts w:hint="eastAsia" w:ascii="仿宋_GB2312" w:hAnsi="仿宋_GB2312" w:eastAsia="仿宋_GB2312" w:cs="仿宋_GB2312"/>
                <w:b w:val="0"/>
                <w:bCs/>
                <w:sz w:val="28"/>
                <w:szCs w:val="28"/>
                <w:lang w:val="en-US" w:eastAsia="zh-CN"/>
              </w:rPr>
              <w:t>从预算批复分析，年度预算收入195.985万元，全部为财政拨款收入，全年预算支出195.985万元，全部为项目支出，使用内容为：市场监督经费19.8724万元，办公场所租赁费19.836万元，绩效考核奖金55.3332万元，临聘人员经费11.8606万元，商事制度改革经费9.9828万元，特种设备安全监管经费4万元，食品安全监管专项资金8万元，企业知识产权专利资助奖励资金67.1万元。</w:t>
            </w:r>
          </w:p>
          <w:p>
            <w:pPr>
              <w:numPr>
                <w:ilvl w:val="0"/>
                <w:numId w:val="0"/>
              </w:numPr>
              <w:spacing w:line="560" w:lineRule="exact"/>
              <w:ind w:leftChars="0" w:firstLine="277" w:firstLineChars="100"/>
              <w:rPr>
                <w:rFonts w:hint="eastAsia" w:ascii="宋体" w:hAnsi="宋体" w:eastAsia="宋体" w:cs="宋体"/>
                <w:b/>
                <w:bCs w:val="0"/>
                <w:sz w:val="28"/>
                <w:szCs w:val="28"/>
                <w:lang w:val="en-US" w:eastAsia="zh-CN"/>
              </w:rPr>
            </w:pPr>
            <w:r>
              <w:rPr>
                <w:rFonts w:hint="eastAsia" w:ascii="黑体" w:hAnsi="黑体" w:eastAsia="黑体" w:cs="黑体"/>
                <w:bCs/>
                <w:sz w:val="28"/>
                <w:szCs w:val="28"/>
                <w:lang w:val="en-US" w:eastAsia="zh-CN"/>
              </w:rPr>
              <w:t>2、年度部门决算收支情况及</w:t>
            </w:r>
            <w:r>
              <w:rPr>
                <w:rFonts w:hint="eastAsia" w:ascii="宋体" w:hAnsi="宋体" w:eastAsia="宋体" w:cs="宋体"/>
                <w:b/>
                <w:bCs w:val="0"/>
                <w:sz w:val="28"/>
                <w:szCs w:val="28"/>
                <w:lang w:val="en-US" w:eastAsia="zh-CN"/>
              </w:rPr>
              <w:t>使用方向和主要内容、涉及范围</w:t>
            </w:r>
          </w:p>
          <w:p>
            <w:pPr>
              <w:numPr>
                <w:ilvl w:val="0"/>
                <w:numId w:val="0"/>
              </w:numPr>
              <w:spacing w:line="560" w:lineRule="exact"/>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收入决算情况</w:t>
            </w:r>
          </w:p>
          <w:tbl>
            <w:tblPr>
              <w:tblStyle w:val="8"/>
              <w:tblW w:w="0" w:type="auto"/>
              <w:tblInd w:w="-15" w:type="dxa"/>
              <w:tblLayout w:type="fixed"/>
              <w:tblCellMar>
                <w:top w:w="0" w:type="dxa"/>
                <w:left w:w="0" w:type="dxa"/>
                <w:bottom w:w="0" w:type="dxa"/>
                <w:right w:w="0" w:type="dxa"/>
              </w:tblCellMar>
            </w:tblPr>
            <w:tblGrid>
              <w:gridCol w:w="1520"/>
              <w:gridCol w:w="1590"/>
              <w:gridCol w:w="1390"/>
              <w:gridCol w:w="1460"/>
              <w:gridCol w:w="1140"/>
              <w:gridCol w:w="1683"/>
            </w:tblGrid>
            <w:tr>
              <w:tblPrEx>
                <w:tblCellMar>
                  <w:top w:w="0" w:type="dxa"/>
                  <w:left w:w="0" w:type="dxa"/>
                  <w:bottom w:w="0" w:type="dxa"/>
                  <w:right w:w="0" w:type="dxa"/>
                </w:tblCellMar>
              </w:tblPrEx>
              <w:trPr>
                <w:trHeight w:val="465" w:hRule="atLeast"/>
              </w:trPr>
              <w:tc>
                <w:tcPr>
                  <w:tcW w:w="152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单位名称</w:t>
                  </w:r>
                </w:p>
              </w:tc>
              <w:tc>
                <w:tcPr>
                  <w:tcW w:w="1590"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预算收入</w:t>
                  </w:r>
                </w:p>
              </w:tc>
              <w:tc>
                <w:tcPr>
                  <w:tcW w:w="1390"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决算收入</w:t>
                  </w:r>
                </w:p>
              </w:tc>
              <w:tc>
                <w:tcPr>
                  <w:tcW w:w="1460"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年末结余</w:t>
                  </w:r>
                </w:p>
              </w:tc>
              <w:tc>
                <w:tcPr>
                  <w:tcW w:w="1140"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上年结余</w:t>
                  </w:r>
                </w:p>
              </w:tc>
              <w:tc>
                <w:tcPr>
                  <w:tcW w:w="1683"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本年结余</w:t>
                  </w:r>
                </w:p>
              </w:tc>
            </w:tr>
            <w:tr>
              <w:tblPrEx>
                <w:tblCellMar>
                  <w:top w:w="0" w:type="dxa"/>
                  <w:left w:w="0" w:type="dxa"/>
                  <w:bottom w:w="0" w:type="dxa"/>
                  <w:right w:w="0" w:type="dxa"/>
                </w:tblCellMar>
              </w:tblPrEx>
              <w:trPr>
                <w:trHeight w:val="728" w:hRule="atLeast"/>
              </w:trPr>
              <w:tc>
                <w:tcPr>
                  <w:tcW w:w="1520"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市场监管局</w:t>
                  </w:r>
                </w:p>
              </w:tc>
              <w:tc>
                <w:tcPr>
                  <w:tcW w:w="1590"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u w:val="none"/>
                      <w:lang w:val="en-US"/>
                    </w:rPr>
                  </w:pPr>
                  <w:r>
                    <w:rPr>
                      <w:rFonts w:hint="eastAsia" w:ascii="宋体" w:hAnsi="宋体" w:cs="宋体"/>
                      <w:i w:val="0"/>
                      <w:color w:val="auto"/>
                      <w:kern w:val="0"/>
                      <w:sz w:val="24"/>
                      <w:szCs w:val="24"/>
                      <w:u w:val="none"/>
                      <w:lang w:val="en-US" w:eastAsia="zh-CN" w:bidi="ar"/>
                    </w:rPr>
                    <w:t>195.985</w:t>
                  </w:r>
                </w:p>
              </w:tc>
              <w:tc>
                <w:tcPr>
                  <w:tcW w:w="1390"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u w:val="none"/>
                      <w:lang w:val="en-US"/>
                    </w:rPr>
                  </w:pPr>
                  <w:r>
                    <w:rPr>
                      <w:rFonts w:hint="eastAsia" w:ascii="宋体" w:hAnsi="宋体" w:cs="宋体"/>
                      <w:i w:val="0"/>
                      <w:color w:val="auto"/>
                      <w:kern w:val="0"/>
                      <w:sz w:val="24"/>
                      <w:szCs w:val="24"/>
                      <w:u w:val="none"/>
                      <w:lang w:val="en-US" w:eastAsia="zh-CN" w:bidi="ar"/>
                    </w:rPr>
                    <w:t>195.985</w:t>
                  </w:r>
                </w:p>
              </w:tc>
              <w:tc>
                <w:tcPr>
                  <w:tcW w:w="1460"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u w:val="none"/>
                      <w:lang w:val="en-US"/>
                    </w:rPr>
                  </w:pPr>
                  <w:r>
                    <w:rPr>
                      <w:rFonts w:hint="eastAsia" w:ascii="宋体" w:hAnsi="宋体" w:eastAsia="宋体" w:cs="宋体"/>
                      <w:i w:val="0"/>
                      <w:color w:val="auto"/>
                      <w:kern w:val="0"/>
                      <w:sz w:val="24"/>
                      <w:szCs w:val="24"/>
                      <w:u w:val="none"/>
                      <w:lang w:val="en-US" w:eastAsia="zh-CN" w:bidi="ar"/>
                    </w:rPr>
                    <w:t>0</w:t>
                  </w:r>
                </w:p>
              </w:tc>
              <w:tc>
                <w:tcPr>
                  <w:tcW w:w="1140"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u w:val="none"/>
                      <w:lang w:val="en-US"/>
                    </w:rPr>
                  </w:pPr>
                  <w:r>
                    <w:rPr>
                      <w:rFonts w:hint="eastAsia" w:ascii="宋体" w:hAnsi="宋体" w:eastAsia="宋体" w:cs="宋体"/>
                      <w:i w:val="0"/>
                      <w:color w:val="auto"/>
                      <w:kern w:val="0"/>
                      <w:sz w:val="24"/>
                      <w:szCs w:val="24"/>
                      <w:u w:val="none"/>
                      <w:lang w:val="en-US" w:eastAsia="zh-CN" w:bidi="ar"/>
                    </w:rPr>
                    <w:t>0</w:t>
                  </w:r>
                </w:p>
              </w:tc>
              <w:tc>
                <w:tcPr>
                  <w:tcW w:w="1683"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0</w:t>
                  </w:r>
                </w:p>
              </w:tc>
            </w:tr>
          </w:tbl>
          <w:p>
            <w:pPr>
              <w:numPr>
                <w:ilvl w:val="0"/>
                <w:numId w:val="0"/>
              </w:numPr>
              <w:spacing w:line="560" w:lineRule="exact"/>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支出决算情况</w:t>
            </w:r>
          </w:p>
          <w:p>
            <w:pPr>
              <w:numPr>
                <w:ilvl w:val="0"/>
                <w:numId w:val="0"/>
              </w:numPr>
              <w:spacing w:line="560" w:lineRule="exact"/>
              <w:rPr>
                <w:rFonts w:hint="default"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金额单位：万元</w:t>
            </w:r>
          </w:p>
          <w:tbl>
            <w:tblPr>
              <w:tblStyle w:val="8"/>
              <w:tblW w:w="0" w:type="auto"/>
              <w:tblInd w:w="-15" w:type="dxa"/>
              <w:tblLayout w:type="fixed"/>
              <w:tblCellMar>
                <w:top w:w="0" w:type="dxa"/>
                <w:left w:w="0" w:type="dxa"/>
                <w:bottom w:w="0" w:type="dxa"/>
                <w:right w:w="0" w:type="dxa"/>
              </w:tblCellMar>
            </w:tblPr>
            <w:tblGrid>
              <w:gridCol w:w="1400"/>
              <w:gridCol w:w="1088"/>
              <w:gridCol w:w="1425"/>
              <w:gridCol w:w="1461"/>
              <w:gridCol w:w="1445"/>
              <w:gridCol w:w="1912"/>
            </w:tblGrid>
            <w:tr>
              <w:tblPrEx>
                <w:tblCellMar>
                  <w:top w:w="0" w:type="dxa"/>
                  <w:left w:w="0" w:type="dxa"/>
                  <w:bottom w:w="0" w:type="dxa"/>
                  <w:right w:w="0" w:type="dxa"/>
                </w:tblCellMar>
              </w:tblPrEx>
              <w:trPr>
                <w:trHeight w:val="420" w:hRule="atLeast"/>
              </w:trPr>
              <w:tc>
                <w:tcPr>
                  <w:tcW w:w="1400" w:type="dxa"/>
                  <w:tcBorders>
                    <w:top w:val="single" w:color="auto" w:sz="4" w:space="0"/>
                    <w:left w:val="single" w:color="auto" w:sz="4" w:space="0"/>
                    <w:bottom w:val="single" w:color="auto" w:sz="4" w:space="0"/>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2513" w:type="dxa"/>
                  <w:gridSpan w:val="2"/>
                  <w:tcBorders>
                    <w:top w:val="single" w:color="auto" w:sz="4" w:space="0"/>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预算批复</w:t>
                  </w:r>
                </w:p>
              </w:tc>
              <w:tc>
                <w:tcPr>
                  <w:tcW w:w="1461" w:type="dxa"/>
                  <w:tcBorders>
                    <w:top w:val="single" w:color="auto" w:sz="4" w:space="0"/>
                    <w:left w:val="nil"/>
                    <w:bottom w:val="single" w:color="auto" w:sz="4" w:space="0"/>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3357" w:type="dxa"/>
                  <w:gridSpan w:val="2"/>
                  <w:tcBorders>
                    <w:top w:val="single" w:color="auto" w:sz="4" w:space="0"/>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决算数据</w:t>
                  </w:r>
                </w:p>
              </w:tc>
            </w:tr>
            <w:tr>
              <w:tblPrEx>
                <w:tblCellMar>
                  <w:top w:w="0" w:type="dxa"/>
                  <w:left w:w="0" w:type="dxa"/>
                  <w:bottom w:w="0" w:type="dxa"/>
                  <w:right w:w="0" w:type="dxa"/>
                </w:tblCellMar>
              </w:tblPrEx>
              <w:trPr>
                <w:trHeight w:val="420" w:hRule="atLeast"/>
              </w:trPr>
              <w:tc>
                <w:tcPr>
                  <w:tcW w:w="1400"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合计</w:t>
                  </w:r>
                </w:p>
              </w:tc>
              <w:tc>
                <w:tcPr>
                  <w:tcW w:w="1088"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基本支出</w:t>
                  </w:r>
                </w:p>
              </w:tc>
              <w:tc>
                <w:tcPr>
                  <w:tcW w:w="1425"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项目支出</w:t>
                  </w:r>
                </w:p>
              </w:tc>
              <w:tc>
                <w:tcPr>
                  <w:tcW w:w="1461"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合计</w:t>
                  </w:r>
                </w:p>
              </w:tc>
              <w:tc>
                <w:tcPr>
                  <w:tcW w:w="1445"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基本支出</w:t>
                  </w:r>
                </w:p>
              </w:tc>
              <w:tc>
                <w:tcPr>
                  <w:tcW w:w="1912"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项目支出</w:t>
                  </w:r>
                </w:p>
              </w:tc>
            </w:tr>
            <w:tr>
              <w:tblPrEx>
                <w:tblCellMar>
                  <w:top w:w="0" w:type="dxa"/>
                  <w:left w:w="0" w:type="dxa"/>
                  <w:bottom w:w="0" w:type="dxa"/>
                  <w:right w:w="0" w:type="dxa"/>
                </w:tblCellMar>
              </w:tblPrEx>
              <w:trPr>
                <w:trHeight w:val="420" w:hRule="atLeast"/>
              </w:trPr>
              <w:tc>
                <w:tcPr>
                  <w:tcW w:w="1400"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195.985</w:t>
                  </w:r>
                </w:p>
              </w:tc>
              <w:tc>
                <w:tcPr>
                  <w:tcW w:w="1088"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0</w:t>
                  </w:r>
                </w:p>
              </w:tc>
              <w:tc>
                <w:tcPr>
                  <w:tcW w:w="1425"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u w:val="none"/>
                      <w:lang w:val="en-US"/>
                    </w:rPr>
                  </w:pPr>
                  <w:r>
                    <w:rPr>
                      <w:rFonts w:hint="eastAsia" w:ascii="宋体" w:hAnsi="宋体" w:cs="宋体"/>
                      <w:i w:val="0"/>
                      <w:color w:val="auto"/>
                      <w:kern w:val="0"/>
                      <w:sz w:val="24"/>
                      <w:szCs w:val="24"/>
                      <w:u w:val="none"/>
                      <w:lang w:val="en-US" w:eastAsia="zh-CN" w:bidi="ar"/>
                    </w:rPr>
                    <w:t>195.985</w:t>
                  </w:r>
                </w:p>
              </w:tc>
              <w:tc>
                <w:tcPr>
                  <w:tcW w:w="1461"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195.985</w:t>
                  </w:r>
                </w:p>
              </w:tc>
              <w:tc>
                <w:tcPr>
                  <w:tcW w:w="1445"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0</w:t>
                  </w:r>
                </w:p>
              </w:tc>
              <w:tc>
                <w:tcPr>
                  <w:tcW w:w="1912"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u w:val="none"/>
                      <w:lang w:val="en-US"/>
                    </w:rPr>
                  </w:pPr>
                  <w:r>
                    <w:rPr>
                      <w:rFonts w:hint="eastAsia" w:ascii="宋体" w:hAnsi="宋体" w:cs="宋体"/>
                      <w:i w:val="0"/>
                      <w:color w:val="auto"/>
                      <w:kern w:val="0"/>
                      <w:sz w:val="24"/>
                      <w:szCs w:val="24"/>
                      <w:u w:val="none"/>
                      <w:lang w:val="en-US" w:eastAsia="zh-CN" w:bidi="ar"/>
                    </w:rPr>
                    <w:t>195.985</w:t>
                  </w:r>
                </w:p>
              </w:tc>
            </w:tr>
          </w:tbl>
          <w:p>
            <w:pPr>
              <w:spacing w:line="560" w:lineRule="exact"/>
              <w:rPr>
                <w:rFonts w:hint="default" w:ascii="仿宋_GB2312" w:hAnsi="仿宋_GB2312" w:eastAsia="仿宋_GB2312" w:cs="仿宋_GB2312"/>
                <w:b w:val="0"/>
                <w:bCs/>
                <w:sz w:val="28"/>
                <w:szCs w:val="28"/>
                <w:lang w:val="en-US"/>
              </w:rPr>
            </w:pPr>
            <w:r>
              <w:rPr>
                <w:rFonts w:hint="eastAsia" w:ascii="仿宋_GB2312" w:hAnsi="仿宋_GB2312" w:eastAsia="仿宋_GB2312" w:cs="仿宋_GB2312"/>
                <w:b w:val="0"/>
                <w:bCs/>
                <w:sz w:val="28"/>
                <w:szCs w:val="28"/>
                <w:lang w:val="en-US" w:eastAsia="zh-CN"/>
              </w:rPr>
              <w:t>从上述数据分析：2022</w:t>
            </w:r>
            <w:bookmarkStart w:id="0" w:name="_GoBack"/>
            <w:bookmarkEnd w:id="0"/>
            <w:r>
              <w:rPr>
                <w:rFonts w:hint="eastAsia" w:ascii="仿宋_GB2312" w:hAnsi="仿宋_GB2312" w:eastAsia="仿宋_GB2312" w:cs="仿宋_GB2312"/>
                <w:b w:val="0"/>
                <w:bCs/>
                <w:sz w:val="28"/>
                <w:szCs w:val="28"/>
                <w:lang w:val="en-US" w:eastAsia="zh-CN"/>
              </w:rPr>
              <w:t>年预算收入195.985万元，决算195.985万元，严格按照预算控制资金使用。</w:t>
            </w:r>
          </w:p>
          <w:p>
            <w:pPr>
              <w:spacing w:line="560" w:lineRule="exact"/>
              <w:ind w:firstLine="554"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54"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w:t>
            </w:r>
            <w:r>
              <w:rPr>
                <w:rFonts w:hint="eastAsia" w:ascii="仿宋_GB2312" w:hAnsi="仿宋_GB2312" w:eastAsia="仿宋_GB2312" w:cs="仿宋_GB2312"/>
                <w:bCs/>
                <w:sz w:val="28"/>
                <w:szCs w:val="28"/>
                <w:lang w:val="en-US" w:eastAsia="zh-CN"/>
              </w:rPr>
              <w:t>项目</w:t>
            </w:r>
            <w:r>
              <w:rPr>
                <w:rFonts w:hint="eastAsia" w:ascii="仿宋_GB2312" w:hAnsi="仿宋_GB2312" w:eastAsia="仿宋_GB2312" w:cs="仿宋_GB2312"/>
                <w:bCs/>
                <w:sz w:val="28"/>
                <w:szCs w:val="28"/>
              </w:rPr>
              <w:t>支出</w:t>
            </w:r>
          </w:p>
          <w:p>
            <w:pPr>
              <w:spacing w:line="560" w:lineRule="exact"/>
              <w:ind w:firstLine="554"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1、我局经费全部为项目支出，具体如下：</w:t>
            </w:r>
          </w:p>
          <w:p>
            <w:pPr>
              <w:spacing w:line="560" w:lineRule="exact"/>
              <w:ind w:firstLine="554"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 w:val="0"/>
                <w:bCs/>
                <w:sz w:val="28"/>
                <w:szCs w:val="28"/>
                <w:lang w:val="en-US" w:eastAsia="zh-CN"/>
              </w:rPr>
              <w:t>市场监</w:t>
            </w:r>
            <w:r>
              <w:rPr>
                <w:rFonts w:hint="eastAsia" w:ascii="仿宋_GB2312" w:hAnsi="仿宋_GB2312" w:eastAsia="仿宋_GB2312" w:cs="仿宋_GB2312"/>
                <w:bCs/>
                <w:sz w:val="28"/>
                <w:szCs w:val="28"/>
                <w:lang w:val="en-US" w:eastAsia="zh-CN"/>
              </w:rPr>
              <w:t>督经费、办公场所租赁费、绩效考核奖金、临聘人员经费、商事制度改革经费、特种设备安全监管经费、食品安全监管专项资金、企业知识产权专利资助奖励资金。</w:t>
            </w:r>
          </w:p>
          <w:p>
            <w:pPr>
              <w:spacing w:line="560" w:lineRule="exact"/>
              <w:ind w:firstLine="554"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eastAsia="zh-CN"/>
              </w:rPr>
              <w:t>具体为</w:t>
            </w:r>
            <w:r>
              <w:rPr>
                <w:rFonts w:hint="eastAsia" w:ascii="仿宋_GB2312" w:hAnsi="仿宋_GB2312" w:eastAsia="仿宋_GB2312" w:cs="仿宋_GB2312"/>
                <w:bCs/>
                <w:sz w:val="28"/>
                <w:szCs w:val="28"/>
                <w:lang w:val="en-US" w:eastAsia="zh-CN"/>
              </w:rPr>
              <w:t>房屋租金、</w:t>
            </w:r>
            <w:r>
              <w:rPr>
                <w:rFonts w:hint="eastAsia" w:ascii="仿宋_GB2312" w:hAnsi="仿宋_GB2312" w:eastAsia="仿宋_GB2312" w:cs="仿宋_GB2312"/>
                <w:bCs/>
                <w:sz w:val="28"/>
                <w:szCs w:val="28"/>
                <w:lang w:eastAsia="zh-CN"/>
              </w:rPr>
              <w:t>办公费、邮电费、</w:t>
            </w:r>
            <w:r>
              <w:rPr>
                <w:rFonts w:hint="eastAsia" w:ascii="仿宋_GB2312" w:hAnsi="仿宋_GB2312" w:eastAsia="仿宋_GB2312" w:cs="仿宋_GB2312"/>
                <w:bCs/>
                <w:sz w:val="28"/>
                <w:szCs w:val="28"/>
                <w:lang w:val="en-US" w:eastAsia="zh-CN"/>
              </w:rPr>
              <w:t>保险费、档案扫描费、报刊杂志费、</w:t>
            </w:r>
            <w:r>
              <w:rPr>
                <w:rFonts w:hint="eastAsia" w:ascii="仿宋_GB2312" w:hAnsi="仿宋_GB2312" w:eastAsia="仿宋_GB2312" w:cs="仿宋_GB2312"/>
                <w:bCs/>
                <w:sz w:val="28"/>
                <w:szCs w:val="28"/>
                <w:lang w:eastAsia="zh-CN"/>
              </w:rPr>
              <w:t>印刷</w:t>
            </w:r>
            <w:r>
              <w:rPr>
                <w:rFonts w:hint="eastAsia" w:ascii="仿宋_GB2312" w:hAnsi="仿宋_GB2312" w:eastAsia="仿宋_GB2312" w:cs="仿宋_GB2312"/>
                <w:bCs/>
                <w:sz w:val="28"/>
                <w:szCs w:val="28"/>
                <w:lang w:val="en-US" w:eastAsia="zh-CN"/>
              </w:rPr>
              <w:t>宣传</w:t>
            </w:r>
            <w:r>
              <w:rPr>
                <w:rFonts w:hint="eastAsia" w:ascii="仿宋_GB2312" w:hAnsi="仿宋_GB2312" w:eastAsia="仿宋_GB2312" w:cs="仿宋_GB2312"/>
                <w:bCs/>
                <w:sz w:val="28"/>
                <w:szCs w:val="28"/>
                <w:lang w:eastAsia="zh-CN"/>
              </w:rPr>
              <w:t>费、</w:t>
            </w:r>
            <w:r>
              <w:rPr>
                <w:rFonts w:hint="eastAsia" w:ascii="仿宋_GB2312" w:hAnsi="仿宋_GB2312" w:eastAsia="仿宋_GB2312" w:cs="仿宋_GB2312"/>
                <w:bCs/>
                <w:sz w:val="28"/>
                <w:szCs w:val="28"/>
                <w:lang w:val="en-US" w:eastAsia="zh-CN"/>
              </w:rPr>
              <w:t>工作餐费、知识产权奖励资金、知识产权咨询费、工会活动支出、大厅工装支出、保洁费、劳务费、绩效奖金，项目支出的管理和使用情况如下：</w:t>
            </w:r>
          </w:p>
          <w:p>
            <w:pPr>
              <w:spacing w:line="560" w:lineRule="exact"/>
              <w:ind w:firstLine="554"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项目支出执行情况表（金额单位:万元）</w:t>
            </w:r>
          </w:p>
          <w:tbl>
            <w:tblPr>
              <w:tblStyle w:val="8"/>
              <w:tblW w:w="0" w:type="auto"/>
              <w:tblInd w:w="114" w:type="dxa"/>
              <w:tblLayout w:type="fixed"/>
              <w:tblCellMar>
                <w:top w:w="0" w:type="dxa"/>
                <w:left w:w="0" w:type="dxa"/>
                <w:bottom w:w="0" w:type="dxa"/>
                <w:right w:w="0" w:type="dxa"/>
              </w:tblCellMar>
            </w:tblPr>
            <w:tblGrid>
              <w:gridCol w:w="3271"/>
              <w:gridCol w:w="2626"/>
              <w:gridCol w:w="2738"/>
            </w:tblGrid>
            <w:tr>
              <w:tblPrEx>
                <w:tblCellMar>
                  <w:top w:w="0" w:type="dxa"/>
                  <w:left w:w="0" w:type="dxa"/>
                  <w:bottom w:w="0" w:type="dxa"/>
                  <w:right w:w="0" w:type="dxa"/>
                </w:tblCellMar>
              </w:tblPrEx>
              <w:trPr>
                <w:trHeight w:val="435" w:hRule="atLeast"/>
              </w:trPr>
              <w:tc>
                <w:tcPr>
                  <w:tcW w:w="32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line="560" w:lineRule="exact"/>
                    <w:ind w:firstLine="1385" w:firstLineChars="500"/>
                    <w:jc w:val="both"/>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项  目</w:t>
                  </w:r>
                </w:p>
              </w:tc>
              <w:tc>
                <w:tcPr>
                  <w:tcW w:w="2626" w:type="dxa"/>
                  <w:tcBorders>
                    <w:top w:val="single" w:color="auto" w:sz="4" w:space="0"/>
                    <w:left w:val="nil"/>
                    <w:bottom w:val="single" w:color="auto" w:sz="4" w:space="0"/>
                    <w:right w:val="nil"/>
                  </w:tcBorders>
                  <w:noWrap/>
                  <w:tcMar>
                    <w:top w:w="15" w:type="dxa"/>
                    <w:left w:w="15" w:type="dxa"/>
                    <w:right w:w="15" w:type="dxa"/>
                  </w:tcMar>
                  <w:vAlign w:val="center"/>
                </w:tcPr>
                <w:p>
                  <w:pPr>
                    <w:spacing w:line="560" w:lineRule="exact"/>
                    <w:ind w:firstLine="831" w:firstLineChars="300"/>
                    <w:jc w:val="both"/>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预算批复</w:t>
                  </w:r>
                </w:p>
              </w:tc>
              <w:tc>
                <w:tcPr>
                  <w:tcW w:w="273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line="560" w:lineRule="exact"/>
                    <w:ind w:firstLine="831" w:firstLineChars="300"/>
                    <w:jc w:val="both"/>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决算数据</w:t>
                  </w:r>
                </w:p>
              </w:tc>
            </w:tr>
            <w:tr>
              <w:tblPrEx>
                <w:tblCellMar>
                  <w:top w:w="0" w:type="dxa"/>
                  <w:left w:w="0" w:type="dxa"/>
                  <w:bottom w:w="0" w:type="dxa"/>
                  <w:right w:w="0" w:type="dxa"/>
                </w:tblCellMar>
              </w:tblPrEx>
              <w:trPr>
                <w:trHeight w:val="622" w:hRule="atLeast"/>
              </w:trPr>
              <w:tc>
                <w:tcPr>
                  <w:tcW w:w="3271"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spacing w:line="560" w:lineRule="exact"/>
                    <w:ind w:firstLine="831" w:firstLineChars="300"/>
                    <w:jc w:val="both"/>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市场监督经费</w:t>
                  </w:r>
                </w:p>
              </w:tc>
              <w:tc>
                <w:tcPr>
                  <w:tcW w:w="2626"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u w:val="none"/>
                      <w:lang w:val="en-US" w:eastAsia="zh-CN"/>
                    </w:rPr>
                  </w:pPr>
                  <w:r>
                    <w:rPr>
                      <w:rFonts w:hint="eastAsia" w:ascii="仿宋_GB2312" w:hAnsi="仿宋_GB2312" w:eastAsia="仿宋_GB2312" w:cs="仿宋_GB2312"/>
                      <w:b w:val="0"/>
                      <w:bCs/>
                      <w:sz w:val="28"/>
                      <w:szCs w:val="28"/>
                      <w:lang w:val="en-US" w:eastAsia="zh-CN"/>
                    </w:rPr>
                    <w:t>19.8724</w:t>
                  </w:r>
                </w:p>
              </w:tc>
              <w:tc>
                <w:tcPr>
                  <w:tcW w:w="2738"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u w:val="none"/>
                      <w:lang w:val="en-US"/>
                    </w:rPr>
                  </w:pPr>
                  <w:r>
                    <w:rPr>
                      <w:rFonts w:hint="eastAsia" w:ascii="仿宋_GB2312" w:hAnsi="仿宋_GB2312" w:eastAsia="仿宋_GB2312" w:cs="仿宋_GB2312"/>
                      <w:b w:val="0"/>
                      <w:bCs/>
                      <w:sz w:val="28"/>
                      <w:szCs w:val="28"/>
                      <w:lang w:val="en-US" w:eastAsia="zh-CN"/>
                    </w:rPr>
                    <w:t>19.8724</w:t>
                  </w:r>
                </w:p>
              </w:tc>
            </w:tr>
            <w:tr>
              <w:tblPrEx>
                <w:tblCellMar>
                  <w:top w:w="0" w:type="dxa"/>
                  <w:left w:w="0" w:type="dxa"/>
                  <w:bottom w:w="0" w:type="dxa"/>
                  <w:right w:w="0" w:type="dxa"/>
                </w:tblCellMar>
              </w:tblPrEx>
              <w:trPr>
                <w:trHeight w:val="285" w:hRule="atLeast"/>
              </w:trPr>
              <w:tc>
                <w:tcPr>
                  <w:tcW w:w="3271"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pPr>
                    <w:spacing w:line="560" w:lineRule="exact"/>
                    <w:ind w:firstLine="831" w:firstLineChars="300"/>
                    <w:jc w:val="both"/>
                    <w:rPr>
                      <w:rFonts w:hint="default"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办公室租赁费</w:t>
                  </w:r>
                </w:p>
              </w:tc>
              <w:tc>
                <w:tcPr>
                  <w:tcW w:w="2626" w:type="dxa"/>
                  <w:tcBorders>
                    <w:top w:val="nil"/>
                    <w:left w:val="nil"/>
                    <w:bottom w:val="single" w:color="auto" w:sz="4" w:space="0"/>
                    <w:right w:val="single" w:color="auto" w:sz="4" w:space="0"/>
                  </w:tcBorders>
                  <w:noWrap/>
                  <w:tcMar>
                    <w:top w:w="15" w:type="dxa"/>
                    <w:left w:w="15" w:type="dxa"/>
                    <w:right w:w="15" w:type="dxa"/>
                  </w:tcMar>
                  <w:vAlign w:val="center"/>
                </w:tcPr>
                <w:p>
                  <w:pPr>
                    <w:jc w:val="center"/>
                    <w:rPr>
                      <w:rFonts w:hint="default" w:ascii="宋体" w:hAnsi="宋体" w:eastAsia="宋体" w:cs="宋体"/>
                      <w:i w:val="0"/>
                      <w:color w:val="auto"/>
                      <w:sz w:val="24"/>
                      <w:szCs w:val="24"/>
                      <w:u w:val="none"/>
                      <w:lang w:val="en-US" w:eastAsia="zh-CN"/>
                    </w:rPr>
                  </w:pPr>
                  <w:r>
                    <w:rPr>
                      <w:rFonts w:hint="eastAsia" w:ascii="仿宋_GB2312" w:hAnsi="仿宋_GB2312" w:eastAsia="仿宋_GB2312" w:cs="仿宋_GB2312"/>
                      <w:b w:val="0"/>
                      <w:bCs/>
                      <w:sz w:val="28"/>
                      <w:szCs w:val="28"/>
                      <w:lang w:val="en-US" w:eastAsia="zh-CN"/>
                    </w:rPr>
                    <w:t>19.836</w:t>
                  </w:r>
                </w:p>
              </w:tc>
              <w:tc>
                <w:tcPr>
                  <w:tcW w:w="2738" w:type="dxa"/>
                  <w:tcBorders>
                    <w:top w:val="nil"/>
                    <w:left w:val="nil"/>
                    <w:bottom w:val="single" w:color="auto" w:sz="4" w:space="0"/>
                    <w:right w:val="single" w:color="auto" w:sz="4" w:space="0"/>
                  </w:tcBorders>
                  <w:noWrap/>
                  <w:tcMar>
                    <w:top w:w="15" w:type="dxa"/>
                    <w:left w:w="15" w:type="dxa"/>
                    <w:right w:w="15" w:type="dxa"/>
                  </w:tcMar>
                  <w:vAlign w:val="center"/>
                </w:tcPr>
                <w:p>
                  <w:pPr>
                    <w:jc w:val="center"/>
                    <w:rPr>
                      <w:rFonts w:hint="default" w:ascii="宋体" w:hAnsi="宋体" w:eastAsia="宋体" w:cs="宋体"/>
                      <w:i w:val="0"/>
                      <w:color w:val="auto"/>
                      <w:sz w:val="24"/>
                      <w:szCs w:val="24"/>
                      <w:u w:val="none"/>
                      <w:lang w:val="en-US" w:eastAsia="zh-CN"/>
                    </w:rPr>
                  </w:pPr>
                  <w:r>
                    <w:rPr>
                      <w:rFonts w:hint="eastAsia" w:ascii="仿宋_GB2312" w:hAnsi="仿宋_GB2312" w:eastAsia="仿宋_GB2312" w:cs="仿宋_GB2312"/>
                      <w:b w:val="0"/>
                      <w:bCs/>
                      <w:sz w:val="28"/>
                      <w:szCs w:val="28"/>
                      <w:lang w:val="en-US" w:eastAsia="zh-CN"/>
                    </w:rPr>
                    <w:t>19.836</w:t>
                  </w:r>
                </w:p>
              </w:tc>
            </w:tr>
            <w:tr>
              <w:tblPrEx>
                <w:tblCellMar>
                  <w:top w:w="0" w:type="dxa"/>
                  <w:left w:w="0" w:type="dxa"/>
                  <w:bottom w:w="0" w:type="dxa"/>
                  <w:right w:w="0" w:type="dxa"/>
                </w:tblCellMar>
              </w:tblPrEx>
              <w:trPr>
                <w:trHeight w:val="285" w:hRule="atLeast"/>
              </w:trPr>
              <w:tc>
                <w:tcPr>
                  <w:tcW w:w="32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仿宋_GB2312" w:hAnsi="仿宋_GB2312" w:eastAsia="仿宋_GB2312" w:cs="仿宋_GB2312"/>
                      <w:b w:val="0"/>
                      <w:bCs/>
                      <w:sz w:val="28"/>
                      <w:szCs w:val="28"/>
                      <w:lang w:val="en-US" w:eastAsia="zh-CN"/>
                    </w:rPr>
                    <w:t>绩效考核奖金</w:t>
                  </w:r>
                </w:p>
              </w:tc>
              <w:tc>
                <w:tcPr>
                  <w:tcW w:w="2626"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jc w:val="center"/>
                    <w:rPr>
                      <w:rFonts w:hint="default" w:ascii="宋体" w:hAnsi="宋体" w:cs="宋体"/>
                      <w:i w:val="0"/>
                      <w:color w:val="auto"/>
                      <w:sz w:val="24"/>
                      <w:szCs w:val="24"/>
                      <w:u w:val="none"/>
                      <w:lang w:val="en-US" w:eastAsia="zh-CN"/>
                    </w:rPr>
                  </w:pPr>
                  <w:r>
                    <w:rPr>
                      <w:rFonts w:hint="eastAsia" w:ascii="仿宋_GB2312" w:hAnsi="仿宋_GB2312" w:eastAsia="仿宋_GB2312" w:cs="仿宋_GB2312"/>
                      <w:b w:val="0"/>
                      <w:bCs/>
                      <w:sz w:val="28"/>
                      <w:szCs w:val="28"/>
                      <w:lang w:val="en-US" w:eastAsia="zh-CN"/>
                    </w:rPr>
                    <w:t>55.3332</w:t>
                  </w:r>
                </w:p>
              </w:tc>
              <w:tc>
                <w:tcPr>
                  <w:tcW w:w="2738"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jc w:val="center"/>
                    <w:rPr>
                      <w:rFonts w:hint="default" w:ascii="宋体" w:hAnsi="宋体" w:cs="宋体"/>
                      <w:i w:val="0"/>
                      <w:color w:val="auto"/>
                      <w:sz w:val="24"/>
                      <w:szCs w:val="24"/>
                      <w:u w:val="none"/>
                      <w:lang w:val="en-US" w:eastAsia="zh-CN"/>
                    </w:rPr>
                  </w:pPr>
                  <w:r>
                    <w:rPr>
                      <w:rFonts w:hint="eastAsia" w:ascii="仿宋_GB2312" w:hAnsi="仿宋_GB2312" w:eastAsia="仿宋_GB2312" w:cs="仿宋_GB2312"/>
                      <w:b w:val="0"/>
                      <w:bCs/>
                      <w:sz w:val="28"/>
                      <w:szCs w:val="28"/>
                      <w:lang w:val="en-US" w:eastAsia="zh-CN"/>
                    </w:rPr>
                    <w:t>55.3332</w:t>
                  </w:r>
                </w:p>
              </w:tc>
            </w:tr>
            <w:tr>
              <w:tblPrEx>
                <w:tblCellMar>
                  <w:top w:w="0" w:type="dxa"/>
                  <w:left w:w="0" w:type="dxa"/>
                  <w:bottom w:w="0" w:type="dxa"/>
                  <w:right w:w="0" w:type="dxa"/>
                </w:tblCellMar>
              </w:tblPrEx>
              <w:trPr>
                <w:trHeight w:val="285" w:hRule="atLeast"/>
              </w:trPr>
              <w:tc>
                <w:tcPr>
                  <w:tcW w:w="32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仿宋_GB2312" w:hAnsi="仿宋_GB2312" w:eastAsia="仿宋_GB2312" w:cs="仿宋_GB2312"/>
                      <w:b w:val="0"/>
                      <w:bCs/>
                      <w:sz w:val="28"/>
                      <w:szCs w:val="28"/>
                      <w:lang w:val="en-US" w:eastAsia="zh-CN"/>
                    </w:rPr>
                    <w:t>临聘人员经费</w:t>
                  </w:r>
                </w:p>
              </w:tc>
              <w:tc>
                <w:tcPr>
                  <w:tcW w:w="2626"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jc w:val="center"/>
                    <w:rPr>
                      <w:rFonts w:hint="eastAsia" w:ascii="宋体" w:hAnsi="宋体" w:cs="宋体"/>
                      <w:i w:val="0"/>
                      <w:color w:val="auto"/>
                      <w:sz w:val="24"/>
                      <w:szCs w:val="24"/>
                      <w:u w:val="none"/>
                      <w:lang w:val="en-US" w:eastAsia="zh-CN"/>
                    </w:rPr>
                  </w:pPr>
                  <w:r>
                    <w:rPr>
                      <w:rFonts w:hint="eastAsia" w:ascii="仿宋_GB2312" w:hAnsi="仿宋_GB2312" w:eastAsia="仿宋_GB2312" w:cs="仿宋_GB2312"/>
                      <w:b w:val="0"/>
                      <w:bCs/>
                      <w:sz w:val="28"/>
                      <w:szCs w:val="28"/>
                      <w:lang w:val="en-US" w:eastAsia="zh-CN"/>
                    </w:rPr>
                    <w:t>11.8606</w:t>
                  </w:r>
                </w:p>
              </w:tc>
              <w:tc>
                <w:tcPr>
                  <w:tcW w:w="2738"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jc w:val="center"/>
                    <w:rPr>
                      <w:rFonts w:hint="eastAsia" w:ascii="宋体" w:hAnsi="宋体" w:cs="宋体"/>
                      <w:i w:val="0"/>
                      <w:color w:val="auto"/>
                      <w:sz w:val="24"/>
                      <w:szCs w:val="24"/>
                      <w:u w:val="none"/>
                      <w:lang w:val="en-US" w:eastAsia="zh-CN"/>
                    </w:rPr>
                  </w:pPr>
                  <w:r>
                    <w:rPr>
                      <w:rFonts w:hint="eastAsia" w:ascii="仿宋_GB2312" w:hAnsi="仿宋_GB2312" w:eastAsia="仿宋_GB2312" w:cs="仿宋_GB2312"/>
                      <w:b w:val="0"/>
                      <w:bCs/>
                      <w:sz w:val="28"/>
                      <w:szCs w:val="28"/>
                      <w:lang w:val="en-US" w:eastAsia="zh-CN"/>
                    </w:rPr>
                    <w:t>11.8606</w:t>
                  </w:r>
                </w:p>
              </w:tc>
            </w:tr>
            <w:tr>
              <w:tblPrEx>
                <w:tblCellMar>
                  <w:top w:w="0" w:type="dxa"/>
                  <w:left w:w="0" w:type="dxa"/>
                  <w:bottom w:w="0" w:type="dxa"/>
                  <w:right w:w="0" w:type="dxa"/>
                </w:tblCellMar>
              </w:tblPrEx>
              <w:trPr>
                <w:trHeight w:val="285" w:hRule="atLeast"/>
              </w:trPr>
              <w:tc>
                <w:tcPr>
                  <w:tcW w:w="32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仿宋_GB2312" w:hAnsi="仿宋_GB2312" w:eastAsia="仿宋_GB2312" w:cs="仿宋_GB2312"/>
                      <w:b w:val="0"/>
                      <w:bCs/>
                      <w:sz w:val="28"/>
                      <w:szCs w:val="28"/>
                      <w:lang w:val="en-US" w:eastAsia="zh-CN"/>
                    </w:rPr>
                    <w:t>商事制度改革经费</w:t>
                  </w:r>
                </w:p>
              </w:tc>
              <w:tc>
                <w:tcPr>
                  <w:tcW w:w="2626"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jc w:val="center"/>
                    <w:rPr>
                      <w:rFonts w:hint="eastAsia" w:ascii="宋体" w:hAnsi="宋体" w:cs="宋体"/>
                      <w:i w:val="0"/>
                      <w:color w:val="auto"/>
                      <w:sz w:val="24"/>
                      <w:szCs w:val="24"/>
                      <w:u w:val="none"/>
                      <w:lang w:val="en-US" w:eastAsia="zh-CN"/>
                    </w:rPr>
                  </w:pPr>
                  <w:r>
                    <w:rPr>
                      <w:rFonts w:hint="eastAsia" w:ascii="仿宋_GB2312" w:hAnsi="仿宋_GB2312" w:eastAsia="仿宋_GB2312" w:cs="仿宋_GB2312"/>
                      <w:b w:val="0"/>
                      <w:bCs/>
                      <w:sz w:val="28"/>
                      <w:szCs w:val="28"/>
                      <w:lang w:val="en-US" w:eastAsia="zh-CN"/>
                    </w:rPr>
                    <w:t>9.9828</w:t>
                  </w:r>
                </w:p>
              </w:tc>
              <w:tc>
                <w:tcPr>
                  <w:tcW w:w="2738"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jc w:val="center"/>
                    <w:rPr>
                      <w:rFonts w:hint="eastAsia" w:ascii="宋体" w:hAnsi="宋体" w:cs="宋体"/>
                      <w:i w:val="0"/>
                      <w:color w:val="auto"/>
                      <w:sz w:val="24"/>
                      <w:szCs w:val="24"/>
                      <w:u w:val="none"/>
                      <w:lang w:val="en-US" w:eastAsia="zh-CN"/>
                    </w:rPr>
                  </w:pPr>
                  <w:r>
                    <w:rPr>
                      <w:rFonts w:hint="eastAsia" w:ascii="仿宋_GB2312" w:hAnsi="仿宋_GB2312" w:eastAsia="仿宋_GB2312" w:cs="仿宋_GB2312"/>
                      <w:b w:val="0"/>
                      <w:bCs/>
                      <w:sz w:val="28"/>
                      <w:szCs w:val="28"/>
                      <w:lang w:val="en-US" w:eastAsia="zh-CN"/>
                    </w:rPr>
                    <w:t>9.9828</w:t>
                  </w:r>
                </w:p>
              </w:tc>
            </w:tr>
            <w:tr>
              <w:tblPrEx>
                <w:tblCellMar>
                  <w:top w:w="0" w:type="dxa"/>
                  <w:left w:w="0" w:type="dxa"/>
                  <w:bottom w:w="0" w:type="dxa"/>
                  <w:right w:w="0" w:type="dxa"/>
                </w:tblCellMar>
              </w:tblPrEx>
              <w:trPr>
                <w:trHeight w:val="285" w:hRule="atLeast"/>
              </w:trPr>
              <w:tc>
                <w:tcPr>
                  <w:tcW w:w="32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仿宋_GB2312" w:hAnsi="仿宋_GB2312" w:eastAsia="仿宋_GB2312" w:cs="仿宋_GB2312"/>
                      <w:b w:val="0"/>
                      <w:bCs/>
                      <w:sz w:val="28"/>
                      <w:szCs w:val="28"/>
                      <w:lang w:val="en-US" w:eastAsia="zh-CN"/>
                    </w:rPr>
                    <w:t>特种设备安全监管经费</w:t>
                  </w:r>
                </w:p>
              </w:tc>
              <w:tc>
                <w:tcPr>
                  <w:tcW w:w="2626"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jc w:val="center"/>
                    <w:rPr>
                      <w:rFonts w:hint="default"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4</w:t>
                  </w:r>
                </w:p>
              </w:tc>
              <w:tc>
                <w:tcPr>
                  <w:tcW w:w="2738"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jc w:val="center"/>
                    <w:rPr>
                      <w:rFonts w:hint="default"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4</w:t>
                  </w:r>
                </w:p>
              </w:tc>
            </w:tr>
            <w:tr>
              <w:tblPrEx>
                <w:tblCellMar>
                  <w:top w:w="0" w:type="dxa"/>
                  <w:left w:w="0" w:type="dxa"/>
                  <w:bottom w:w="0" w:type="dxa"/>
                  <w:right w:w="0" w:type="dxa"/>
                </w:tblCellMar>
              </w:tblPrEx>
              <w:trPr>
                <w:trHeight w:val="285" w:hRule="atLeast"/>
              </w:trPr>
              <w:tc>
                <w:tcPr>
                  <w:tcW w:w="32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仿宋_GB2312" w:hAnsi="仿宋_GB2312" w:eastAsia="仿宋_GB2312" w:cs="仿宋_GB2312"/>
                      <w:b w:val="0"/>
                      <w:bCs/>
                      <w:sz w:val="28"/>
                      <w:szCs w:val="28"/>
                      <w:lang w:val="en-US" w:eastAsia="zh-CN"/>
                    </w:rPr>
                    <w:t>食品安全监管专项资金</w:t>
                  </w:r>
                </w:p>
              </w:tc>
              <w:tc>
                <w:tcPr>
                  <w:tcW w:w="2626"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jc w:val="center"/>
                    <w:rPr>
                      <w:rFonts w:hint="default"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8</w:t>
                  </w:r>
                </w:p>
              </w:tc>
              <w:tc>
                <w:tcPr>
                  <w:tcW w:w="2738"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jc w:val="center"/>
                    <w:rPr>
                      <w:rFonts w:hint="default"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8</w:t>
                  </w:r>
                </w:p>
              </w:tc>
            </w:tr>
            <w:tr>
              <w:tblPrEx>
                <w:tblCellMar>
                  <w:top w:w="0" w:type="dxa"/>
                  <w:left w:w="0" w:type="dxa"/>
                  <w:bottom w:w="0" w:type="dxa"/>
                  <w:right w:w="0" w:type="dxa"/>
                </w:tblCellMar>
              </w:tblPrEx>
              <w:trPr>
                <w:trHeight w:val="285" w:hRule="atLeast"/>
              </w:trPr>
              <w:tc>
                <w:tcPr>
                  <w:tcW w:w="32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仿宋_GB2312" w:hAnsi="仿宋_GB2312" w:eastAsia="仿宋_GB2312" w:cs="仿宋_GB2312"/>
                      <w:b w:val="0"/>
                      <w:bCs/>
                      <w:sz w:val="21"/>
                      <w:szCs w:val="21"/>
                      <w:lang w:val="en-US" w:eastAsia="zh-CN"/>
                    </w:rPr>
                    <w:t>企业知识产权专利资助奖励资金</w:t>
                  </w:r>
                </w:p>
              </w:tc>
              <w:tc>
                <w:tcPr>
                  <w:tcW w:w="2626"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jc w:val="center"/>
                    <w:rPr>
                      <w:rFonts w:hint="eastAsia" w:ascii="宋体" w:hAnsi="宋体" w:cs="宋体"/>
                      <w:i w:val="0"/>
                      <w:color w:val="auto"/>
                      <w:sz w:val="24"/>
                      <w:szCs w:val="24"/>
                      <w:u w:val="none"/>
                      <w:lang w:val="en-US" w:eastAsia="zh-CN"/>
                    </w:rPr>
                  </w:pPr>
                  <w:r>
                    <w:rPr>
                      <w:rFonts w:hint="eastAsia" w:ascii="仿宋_GB2312" w:hAnsi="仿宋_GB2312" w:eastAsia="仿宋_GB2312" w:cs="仿宋_GB2312"/>
                      <w:b w:val="0"/>
                      <w:bCs/>
                      <w:sz w:val="28"/>
                      <w:szCs w:val="28"/>
                      <w:lang w:val="en-US" w:eastAsia="zh-CN"/>
                    </w:rPr>
                    <w:t>67.1</w:t>
                  </w:r>
                </w:p>
              </w:tc>
              <w:tc>
                <w:tcPr>
                  <w:tcW w:w="2738"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jc w:val="center"/>
                    <w:rPr>
                      <w:rFonts w:hint="eastAsia" w:ascii="宋体" w:hAnsi="宋体" w:cs="宋体"/>
                      <w:i w:val="0"/>
                      <w:color w:val="auto"/>
                      <w:sz w:val="24"/>
                      <w:szCs w:val="24"/>
                      <w:u w:val="none"/>
                      <w:lang w:val="en-US" w:eastAsia="zh-CN"/>
                    </w:rPr>
                  </w:pPr>
                  <w:r>
                    <w:rPr>
                      <w:rFonts w:hint="eastAsia" w:ascii="仿宋_GB2312" w:hAnsi="仿宋_GB2312" w:eastAsia="仿宋_GB2312" w:cs="仿宋_GB2312"/>
                      <w:b w:val="0"/>
                      <w:bCs/>
                      <w:sz w:val="28"/>
                      <w:szCs w:val="28"/>
                      <w:lang w:val="en-US" w:eastAsia="zh-CN"/>
                    </w:rPr>
                    <w:t>67.1</w:t>
                  </w:r>
                </w:p>
              </w:tc>
            </w:tr>
            <w:tr>
              <w:tblPrEx>
                <w:tblCellMar>
                  <w:top w:w="0" w:type="dxa"/>
                  <w:left w:w="0" w:type="dxa"/>
                  <w:bottom w:w="0" w:type="dxa"/>
                  <w:right w:w="0" w:type="dxa"/>
                </w:tblCellMar>
              </w:tblPrEx>
              <w:trPr>
                <w:trHeight w:val="285" w:hRule="atLeast"/>
              </w:trPr>
              <w:tc>
                <w:tcPr>
                  <w:tcW w:w="32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4"/>
                      <w:szCs w:val="24"/>
                      <w:u w:val="none"/>
                      <w:lang w:val="en-US" w:eastAsia="zh-CN" w:bidi="ar"/>
                    </w:rPr>
                  </w:pPr>
                  <w:r>
                    <w:rPr>
                      <w:rFonts w:hint="eastAsia" w:ascii="仿宋_GB2312" w:hAnsi="仿宋_GB2312" w:eastAsia="仿宋_GB2312" w:cs="仿宋_GB2312"/>
                      <w:b w:val="0"/>
                      <w:bCs/>
                      <w:sz w:val="28"/>
                      <w:szCs w:val="28"/>
                      <w:lang w:val="en-US" w:eastAsia="zh-CN"/>
                    </w:rPr>
                    <w:t>合计</w:t>
                  </w:r>
                </w:p>
              </w:tc>
              <w:tc>
                <w:tcPr>
                  <w:tcW w:w="2626"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jc w:val="cente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195.985</w:t>
                  </w:r>
                </w:p>
              </w:tc>
              <w:tc>
                <w:tcPr>
                  <w:tcW w:w="2738"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jc w:val="cente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195.985</w:t>
                  </w:r>
                </w:p>
              </w:tc>
            </w:tr>
          </w:tbl>
          <w:p>
            <w:pPr>
              <w:numPr>
                <w:ilvl w:val="0"/>
                <w:numId w:val="0"/>
              </w:numPr>
              <w:spacing w:line="560" w:lineRule="exact"/>
              <w:ind w:firstLine="554"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eastAsia="zh-CN"/>
              </w:rPr>
              <w:t>从上表分析：</w:t>
            </w:r>
            <w:r>
              <w:rPr>
                <w:rFonts w:hint="eastAsia" w:ascii="仿宋_GB2312" w:hAnsi="仿宋_GB2312" w:eastAsia="仿宋_GB2312" w:cs="仿宋_GB2312"/>
                <w:bCs/>
                <w:sz w:val="28"/>
                <w:szCs w:val="28"/>
                <w:lang w:val="en-US" w:eastAsia="zh-CN"/>
              </w:rPr>
              <w:t>我局严格按预算控制资金使用。</w:t>
            </w:r>
          </w:p>
          <w:p>
            <w:pPr>
              <w:numPr>
                <w:ilvl w:val="0"/>
                <w:numId w:val="0"/>
              </w:numPr>
              <w:spacing w:line="560" w:lineRule="exact"/>
              <w:ind w:leftChars="0" w:firstLine="554" w:firstLineChars="20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2、“三公经费”支出使用和管理情况</w:t>
            </w:r>
          </w:p>
          <w:p>
            <w:pPr>
              <w:spacing w:line="560" w:lineRule="exact"/>
              <w:ind w:firstLine="554" w:firstLineChars="200"/>
              <w:rPr>
                <w:rFonts w:hint="default"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我局“三公”经费使用情况如下：公务接待费0万元，公务用车运维费0元，公务用车购置费0元，因公出国费0元。</w:t>
            </w:r>
          </w:p>
          <w:p>
            <w:pPr>
              <w:keepNext w:val="0"/>
              <w:keepLines w:val="0"/>
              <w:widowControl/>
              <w:suppressLineNumbers w:val="0"/>
              <w:ind w:firstLine="554" w:firstLineChars="200"/>
              <w:jc w:val="left"/>
              <w:rPr>
                <w:rFonts w:hint="eastAsia" w:ascii="黑体" w:hAnsi="黑体" w:eastAsia="黑体" w:cs="黑体"/>
                <w:bCs/>
                <w:sz w:val="28"/>
                <w:szCs w:val="28"/>
              </w:rPr>
            </w:pPr>
            <w:r>
              <w:rPr>
                <w:rFonts w:hint="eastAsia" w:ascii="黑体" w:hAnsi="黑体" w:eastAsia="黑体" w:cs="黑体"/>
                <w:bCs/>
                <w:sz w:val="28"/>
                <w:szCs w:val="28"/>
                <w:lang w:val="en-US" w:eastAsia="zh-CN"/>
              </w:rPr>
              <w:t>三</w:t>
            </w:r>
            <w:r>
              <w:rPr>
                <w:rFonts w:hint="eastAsia" w:ascii="黑体" w:hAnsi="黑体" w:eastAsia="黑体" w:cs="黑体"/>
                <w:bCs/>
                <w:sz w:val="28"/>
                <w:szCs w:val="28"/>
              </w:rPr>
              <w:t>、部门（单位）整体支出绩效情况</w:t>
            </w:r>
          </w:p>
          <w:p>
            <w:pPr>
              <w:pStyle w:val="7"/>
              <w:shd w:val="clear" w:color="auto" w:fill="FFFFFF"/>
              <w:spacing w:before="0" w:beforeAutospacing="0" w:after="0" w:afterAutospacing="0"/>
              <w:ind w:firstLine="570"/>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2022年，在新港区管委会和市市场监管局的坚强领导和精准指导下，我局根据年初工作规划和重点性工作，通过加强预算收支管理，建立健全内部管理制度，梳理内部管理流程，部门整体支出管理情况得到了提升，部门整体支出绩效情况如下：</w:t>
            </w:r>
          </w:p>
          <w:p>
            <w:pPr>
              <w:pStyle w:val="7"/>
              <w:shd w:val="clear" w:color="auto" w:fill="FFFFFF"/>
              <w:spacing w:before="0" w:beforeAutospacing="0" w:after="0" w:afterAutospacing="0"/>
              <w:ind w:firstLine="570"/>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（一）经济性评价方面</w:t>
            </w:r>
          </w:p>
          <w:p>
            <w:pPr>
              <w:pStyle w:val="7"/>
              <w:shd w:val="clear" w:color="auto" w:fill="FFFFFF"/>
              <w:spacing w:before="0" w:beforeAutospacing="0" w:after="0" w:afterAutospacing="0"/>
              <w:ind w:firstLine="570"/>
              <w:rPr>
                <w:rFonts w:hint="default"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1、本年预算配置控制较好，财政供养人员控制在预算编制以内，实有人数控制在人员编制数以内，“三公”经费保持较低水平。</w:t>
            </w:r>
          </w:p>
          <w:p>
            <w:pPr>
              <w:pStyle w:val="7"/>
              <w:shd w:val="clear" w:color="auto" w:fill="FFFFFF"/>
              <w:spacing w:before="0" w:beforeAutospacing="0" w:after="0" w:afterAutospacing="0"/>
              <w:ind w:firstLine="570"/>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2、预算执行方面，我局严格执行年初预算，严格控制资金的使用。</w:t>
            </w:r>
          </w:p>
          <w:p>
            <w:pPr>
              <w:pStyle w:val="7"/>
              <w:shd w:val="clear" w:color="auto" w:fill="FFFFFF"/>
              <w:spacing w:before="0" w:beforeAutospacing="0" w:after="0" w:afterAutospacing="0"/>
              <w:ind w:firstLine="570"/>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3、预算管理方面，制度执行总体较为有效，仍需进一步强化；资金使用管理需进一步加强。</w:t>
            </w:r>
          </w:p>
          <w:p>
            <w:pPr>
              <w:pStyle w:val="7"/>
              <w:shd w:val="clear" w:color="auto" w:fill="FFFFFF"/>
              <w:spacing w:before="0" w:beforeAutospacing="0" w:after="0" w:afterAutospacing="0"/>
              <w:ind w:firstLine="570"/>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根据部门整体支出绩效评价指标体系，本局2022年度评价得分99分。</w:t>
            </w:r>
          </w:p>
          <w:p>
            <w:pPr>
              <w:pStyle w:val="7"/>
              <w:shd w:val="clear" w:color="auto" w:fill="FFFFFF"/>
              <w:spacing w:before="0" w:beforeAutospacing="0" w:after="0" w:afterAutospacing="0"/>
              <w:ind w:firstLine="570"/>
              <w:rPr>
                <w:rFonts w:hint="eastAsia" w:ascii="仿宋_GB2312" w:hAnsi="仿宋_GB2312" w:eastAsia="仿宋_GB2312" w:cs="仿宋_GB2312"/>
                <w:color w:val="333333"/>
                <w:sz w:val="28"/>
                <w:szCs w:val="28"/>
                <w:lang w:val="en-US" w:eastAsia="zh-CN"/>
              </w:rPr>
            </w:pPr>
            <w:r>
              <w:rPr>
                <w:rFonts w:hint="eastAsia" w:ascii="仿宋_GB2312" w:hAnsi="仿宋_GB2312" w:eastAsia="仿宋_GB2312" w:cs="仿宋_GB2312"/>
                <w:color w:val="333333"/>
                <w:sz w:val="28"/>
                <w:szCs w:val="28"/>
                <w:lang w:val="en-US" w:eastAsia="zh-CN"/>
              </w:rPr>
              <w:t>（二）效率性评价和有效性评价</w:t>
            </w:r>
          </w:p>
          <w:p>
            <w:pPr>
              <w:keepNext w:val="0"/>
              <w:keepLines w:val="0"/>
              <w:pageBreakBefore w:val="0"/>
              <w:widowControl w:val="0"/>
              <w:kinsoku/>
              <w:wordWrap/>
              <w:overflowPunct/>
              <w:topLinePunct w:val="0"/>
              <w:autoSpaceDE/>
              <w:autoSpaceDN/>
              <w:bidi w:val="0"/>
              <w:adjustRightInd/>
              <w:snapToGrid/>
              <w:spacing w:line="580" w:lineRule="exact"/>
              <w:ind w:firstLine="554" w:firstLineChars="20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今年来，在城陵矶新港区党工委的坚强领导和城陵矶新港区管委会各位领导的关心支持下，我局立足职能，积极进取，奋力作为，取得了较好的成绩。</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554" w:firstLineChars="20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先后完成了“食品经营（仅预包装）备案登记”“住所（经营场）自主申报承诺制”“一业一照”“市场主体登记确认制”等4项行政审批制度创新；争取了免予办理CCC认证的权限下放至岳阳；采取告知承诺方式对药食同源通关产品进行备案，形成药食同源产品监管新模式；</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554" w:firstLineChars="200"/>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8"/>
                <w:szCs w:val="28"/>
                <w:lang w:val="en-US" w:eastAsia="zh-CN"/>
              </w:rPr>
              <w:t>对辖区内80余户食品生产经营企业进行300余次日常监督检查，检查药品医疗器械10余户次，对60余批次食品、20余批次药品进行抽样检测，立案3起；对辖区内洗涤用品和钢材进行产品质量抽检20余批次，抽检建筑领域防水卷材工地3家，发现不合格产品并立案1起。</w:t>
            </w:r>
            <w:r>
              <w:rPr>
                <w:rFonts w:hint="eastAsia" w:ascii="仿宋_GB2312" w:hAnsi="仿宋_GB2312" w:eastAsia="仿宋_GB2312" w:cs="仿宋_GB2312"/>
                <w:color w:val="000000"/>
                <w:kern w:val="2"/>
                <w:sz w:val="28"/>
                <w:szCs w:val="28"/>
                <w:lang w:val="en-US" w:eastAsia="zh-CN" w:bidi="ar-SA"/>
              </w:rPr>
              <w:t>检查特种设备使用单位101家，排查安全隐患116条，已督促整改109条，港区特种设备定期检验率达100%；为消费者提供维权咨询600余次，开展各类消费维权500余次，发放各类维权手册资料3000余份，为消费者挽回损失400余万元，收到群众赠送的锦旗10余面，消费维权群众满意率达到100%。</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554" w:firstLineChars="200"/>
              <w:textAlignment w:val="auto"/>
              <w:rPr>
                <w:rFonts w:hint="eastAsia"/>
                <w:lang w:val="en-US" w:eastAsia="zh-CN"/>
              </w:rPr>
            </w:pPr>
            <w:r>
              <w:rPr>
                <w:rFonts w:hint="eastAsia" w:ascii="仿宋_GB2312" w:hAnsi="仿宋_GB2312" w:eastAsia="仿宋_GB2312" w:cs="仿宋_GB2312"/>
                <w:color w:val="000000"/>
                <w:kern w:val="2"/>
                <w:sz w:val="28"/>
                <w:szCs w:val="28"/>
                <w:lang w:val="en-US" w:eastAsia="zh-CN" w:bidi="ar-SA"/>
              </w:rPr>
              <w:t>引进了3家代理服务机构入驻分中心为企业“代办”，与100余家企业建立企业知识产权联络机制，同时坚持每月下沉企业不少于15次为企业“帮办”服务。</w:t>
            </w:r>
          </w:p>
          <w:p>
            <w:pPr>
              <w:keepNext w:val="0"/>
              <w:keepLines w:val="0"/>
              <w:pageBreakBefore w:val="0"/>
              <w:widowControl w:val="0"/>
              <w:kinsoku/>
              <w:wordWrap/>
              <w:overflowPunct/>
              <w:topLinePunct w:val="0"/>
              <w:autoSpaceDE/>
              <w:autoSpaceDN/>
              <w:bidi w:val="0"/>
              <w:adjustRightInd/>
              <w:snapToGrid/>
              <w:spacing w:line="580" w:lineRule="exact"/>
              <w:ind w:firstLine="554" w:firstLineChars="200"/>
              <w:textAlignment w:val="auto"/>
              <w:rPr>
                <w:rFonts w:hint="eastAsia" w:ascii="仿宋_GB2312" w:hAnsi="仿宋_GB2312" w:eastAsia="仿宋_GB2312" w:cs="仿宋_GB2312"/>
                <w:color w:val="333333"/>
                <w:kern w:val="0"/>
                <w:sz w:val="28"/>
                <w:szCs w:val="28"/>
              </w:rPr>
            </w:pPr>
            <w:r>
              <w:rPr>
                <w:rFonts w:hint="eastAsia" w:ascii="黑体" w:hAnsi="黑体" w:eastAsia="黑体" w:cs="黑体"/>
                <w:bCs/>
                <w:sz w:val="28"/>
                <w:szCs w:val="28"/>
                <w:lang w:val="en-US" w:eastAsia="zh-CN"/>
              </w:rPr>
              <w:t>四</w:t>
            </w:r>
            <w:r>
              <w:rPr>
                <w:rFonts w:hint="eastAsia" w:ascii="黑体" w:hAnsi="黑体" w:eastAsia="黑体" w:cs="黑体"/>
                <w:bCs/>
                <w:sz w:val="28"/>
                <w:szCs w:val="28"/>
              </w:rPr>
              <w:t>、存在的主要问题</w:t>
            </w:r>
          </w:p>
          <w:p>
            <w:pPr>
              <w:pStyle w:val="7"/>
              <w:shd w:val="clear" w:color="auto" w:fill="FFFFFF"/>
              <w:spacing w:before="0" w:beforeAutospacing="0" w:after="0" w:afterAutospacing="0"/>
              <w:ind w:firstLine="570"/>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1、资金使用计划性不强，要加强规划管理。</w:t>
            </w:r>
          </w:p>
          <w:p>
            <w:pPr>
              <w:keepNext w:val="0"/>
              <w:keepLines w:val="0"/>
              <w:pageBreakBefore w:val="0"/>
              <w:widowControl w:val="0"/>
              <w:kinsoku/>
              <w:wordWrap/>
              <w:overflowPunct/>
              <w:topLinePunct w:val="0"/>
              <w:autoSpaceDE/>
              <w:autoSpaceDN/>
              <w:bidi w:val="0"/>
              <w:adjustRightInd/>
              <w:snapToGrid/>
              <w:spacing w:line="580" w:lineRule="exact"/>
              <w:ind w:firstLine="554" w:firstLineChars="200"/>
              <w:textAlignment w:val="auto"/>
              <w:rPr>
                <w:rFonts w:hint="eastAsia" w:ascii="黑体" w:hAnsi="黑体" w:eastAsia="黑体" w:cs="黑体"/>
                <w:bCs/>
                <w:sz w:val="28"/>
                <w:szCs w:val="28"/>
              </w:rPr>
            </w:pPr>
            <w:r>
              <w:rPr>
                <w:rFonts w:hint="eastAsia" w:ascii="黑体" w:hAnsi="黑体" w:eastAsia="黑体" w:cs="黑体"/>
                <w:bCs/>
                <w:sz w:val="28"/>
                <w:szCs w:val="28"/>
                <w:lang w:val="en-US" w:eastAsia="zh-CN"/>
              </w:rPr>
              <w:t>五</w:t>
            </w:r>
            <w:r>
              <w:rPr>
                <w:rFonts w:hint="eastAsia" w:ascii="黑体" w:hAnsi="黑体" w:eastAsia="黑体" w:cs="黑体"/>
                <w:bCs/>
                <w:sz w:val="28"/>
                <w:szCs w:val="28"/>
                <w:lang w:eastAsia="zh-CN"/>
              </w:rPr>
              <w:t>、</w:t>
            </w:r>
            <w:r>
              <w:rPr>
                <w:rFonts w:hint="eastAsia" w:ascii="黑体" w:hAnsi="黑体" w:eastAsia="黑体" w:cs="黑体"/>
                <w:bCs/>
                <w:sz w:val="28"/>
                <w:szCs w:val="28"/>
              </w:rPr>
              <w:t>改进措施和建议</w:t>
            </w:r>
          </w:p>
          <w:p>
            <w:pPr>
              <w:pStyle w:val="7"/>
              <w:shd w:val="clear" w:color="auto" w:fill="FFFFFF"/>
              <w:spacing w:before="0" w:beforeAutospacing="0" w:after="0" w:afterAutospacing="0"/>
              <w:ind w:firstLine="570"/>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针对上述存在的问题及我局整体支出管理工作的需要，拟实施的改进措施如下：</w:t>
            </w:r>
          </w:p>
          <w:p>
            <w:pPr>
              <w:pStyle w:val="7"/>
              <w:shd w:val="clear" w:color="auto" w:fill="FFFFFF"/>
              <w:spacing w:before="0" w:beforeAutospacing="0" w:after="0" w:afterAutospacing="0"/>
              <w:ind w:firstLine="570"/>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1、细化预算编制工作，认真做好预算的编制。</w:t>
            </w:r>
          </w:p>
          <w:p>
            <w:pPr>
              <w:pStyle w:val="7"/>
              <w:shd w:val="clear" w:color="auto" w:fill="FFFFFF"/>
              <w:spacing w:before="0" w:beforeAutospacing="0" w:after="0" w:afterAutospacing="0"/>
              <w:ind w:firstLine="570"/>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2、严格项目支出管理，细化分解项目到月，确保按时按质完成绩效目标。</w:t>
            </w:r>
          </w:p>
          <w:p>
            <w:pPr>
              <w:spacing w:line="560" w:lineRule="exact"/>
              <w:ind w:firstLine="5817" w:firstLineChars="2100"/>
              <w:rPr>
                <w:rFonts w:hint="eastAsia" w:ascii="仿宋_GB2312" w:hAnsi="仿宋_GB2312" w:eastAsia="仿宋_GB2312" w:cs="仿宋_GB2312"/>
                <w:color w:val="000000"/>
                <w:kern w:val="2"/>
                <w:sz w:val="28"/>
                <w:szCs w:val="28"/>
                <w:lang w:val="en-US" w:eastAsia="zh-CN" w:bidi="ar-SA"/>
              </w:rPr>
            </w:pPr>
          </w:p>
          <w:p>
            <w:pPr>
              <w:spacing w:line="560" w:lineRule="exact"/>
              <w:ind w:firstLine="5817" w:firstLineChars="2100"/>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二0二三年二月二十二日</w:t>
            </w:r>
          </w:p>
          <w:p>
            <w:pPr>
              <w:spacing w:line="560" w:lineRule="exact"/>
              <w:ind w:firstLine="554" w:firstLineChars="200"/>
              <w:rPr>
                <w:rFonts w:ascii="黑体" w:hAnsi="黑体" w:eastAsia="黑体" w:cs="黑体"/>
                <w:bCs/>
                <w:sz w:val="28"/>
                <w:szCs w:val="28"/>
              </w:rPr>
            </w:pPr>
          </w:p>
          <w:p>
            <w:pPr>
              <w:rPr>
                <w:rFonts w:eastAsia="楷体_GB2312"/>
                <w:bCs/>
                <w:sz w:val="28"/>
                <w:szCs w:val="28"/>
              </w:rPr>
            </w:pPr>
          </w:p>
        </w:tc>
      </w:tr>
    </w:tbl>
    <w:p>
      <w:pPr>
        <w:adjustRightInd w:val="0"/>
        <w:snapToGrid w:val="0"/>
        <w:spacing w:beforeLines="50"/>
        <w:contextualSpacing/>
        <w:rPr>
          <w:rFonts w:hint="eastAsia"/>
          <w:sz w:val="28"/>
          <w:szCs w:val="28"/>
        </w:rPr>
      </w:pPr>
    </w:p>
    <w:sectPr>
      <w:pgSz w:w="11906" w:h="16838"/>
      <w:pgMar w:top="1588" w:right="1588" w:bottom="1588" w:left="1588" w:header="851" w:footer="992" w:gutter="0"/>
      <w:pgNumType w:start="1"/>
      <w:cols w:space="720" w:num="1"/>
      <w:docGrid w:type="linesAndChars" w:linePitch="602" w:charSpace="-7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09B894"/>
    <w:multiLevelType w:val="singleLevel"/>
    <w:tmpl w:val="0D09B894"/>
    <w:lvl w:ilvl="0" w:tentative="0">
      <w:start w:val="3"/>
      <w:numFmt w:val="chineseCounting"/>
      <w:suff w:val="nothing"/>
      <w:lvlText w:val="（%1）"/>
      <w:lvlJc w:val="left"/>
      <w:rPr>
        <w:rFonts w:hint="eastAsia"/>
      </w:rPr>
    </w:lvl>
  </w:abstractNum>
  <w:abstractNum w:abstractNumId="1">
    <w:nsid w:val="65584361"/>
    <w:multiLevelType w:val="singleLevel"/>
    <w:tmpl w:val="6558436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kMWY0MjljZmE2NTg1YzI3MzYxNTkyNjRiOTRhOWEifQ=="/>
    <w:docVar w:name="KSO_WPS_MARK_KEY" w:val="0ee7d815-2f00-4552-8a69-20e963c2de23"/>
  </w:docVars>
  <w:rsids>
    <w:rsidRoot w:val="00F521AC"/>
    <w:rsid w:val="00005DF5"/>
    <w:rsid w:val="00026EDF"/>
    <w:rsid w:val="000907A7"/>
    <w:rsid w:val="000B10DA"/>
    <w:rsid w:val="000D2C50"/>
    <w:rsid w:val="000D35DF"/>
    <w:rsid w:val="000D6385"/>
    <w:rsid w:val="000E0C52"/>
    <w:rsid w:val="000E44B2"/>
    <w:rsid w:val="000F2261"/>
    <w:rsid w:val="001274A6"/>
    <w:rsid w:val="001477FB"/>
    <w:rsid w:val="001A6003"/>
    <w:rsid w:val="001D0882"/>
    <w:rsid w:val="001D59FA"/>
    <w:rsid w:val="001E757A"/>
    <w:rsid w:val="001F769E"/>
    <w:rsid w:val="002228C6"/>
    <w:rsid w:val="002319A0"/>
    <w:rsid w:val="00241C05"/>
    <w:rsid w:val="002908F0"/>
    <w:rsid w:val="002F390D"/>
    <w:rsid w:val="003B56A9"/>
    <w:rsid w:val="003C08FC"/>
    <w:rsid w:val="003D0A51"/>
    <w:rsid w:val="003F6FBE"/>
    <w:rsid w:val="00497775"/>
    <w:rsid w:val="004A175A"/>
    <w:rsid w:val="004E4D39"/>
    <w:rsid w:val="00532371"/>
    <w:rsid w:val="00557CE8"/>
    <w:rsid w:val="00564E7D"/>
    <w:rsid w:val="005725E6"/>
    <w:rsid w:val="005901A2"/>
    <w:rsid w:val="00595358"/>
    <w:rsid w:val="005961D8"/>
    <w:rsid w:val="005A5CEA"/>
    <w:rsid w:val="00604AE8"/>
    <w:rsid w:val="0066251B"/>
    <w:rsid w:val="0067543D"/>
    <w:rsid w:val="00682829"/>
    <w:rsid w:val="006C4524"/>
    <w:rsid w:val="00700961"/>
    <w:rsid w:val="00701987"/>
    <w:rsid w:val="00736EFE"/>
    <w:rsid w:val="007556ED"/>
    <w:rsid w:val="00773BC9"/>
    <w:rsid w:val="007928AF"/>
    <w:rsid w:val="008613DB"/>
    <w:rsid w:val="008671CE"/>
    <w:rsid w:val="008766B7"/>
    <w:rsid w:val="00893926"/>
    <w:rsid w:val="008F291E"/>
    <w:rsid w:val="00902843"/>
    <w:rsid w:val="00904DA1"/>
    <w:rsid w:val="00914A31"/>
    <w:rsid w:val="00942A92"/>
    <w:rsid w:val="009A306D"/>
    <w:rsid w:val="009A6E11"/>
    <w:rsid w:val="009C67E8"/>
    <w:rsid w:val="00A33916"/>
    <w:rsid w:val="00AA16BE"/>
    <w:rsid w:val="00AD105F"/>
    <w:rsid w:val="00AD574C"/>
    <w:rsid w:val="00B32B1E"/>
    <w:rsid w:val="00B735BC"/>
    <w:rsid w:val="00BC7F9A"/>
    <w:rsid w:val="00BF3858"/>
    <w:rsid w:val="00C111C8"/>
    <w:rsid w:val="00C473A5"/>
    <w:rsid w:val="00CE7209"/>
    <w:rsid w:val="00D41F2D"/>
    <w:rsid w:val="00D7081E"/>
    <w:rsid w:val="00DB2C5A"/>
    <w:rsid w:val="00DC0295"/>
    <w:rsid w:val="00DC5AFB"/>
    <w:rsid w:val="00DF1BBB"/>
    <w:rsid w:val="00E60FCA"/>
    <w:rsid w:val="00EA1E6B"/>
    <w:rsid w:val="00EB2748"/>
    <w:rsid w:val="00F521AC"/>
    <w:rsid w:val="00F74B28"/>
    <w:rsid w:val="00F86472"/>
    <w:rsid w:val="02AC2ED8"/>
    <w:rsid w:val="0B353456"/>
    <w:rsid w:val="12611B80"/>
    <w:rsid w:val="21DE1912"/>
    <w:rsid w:val="2A6D1036"/>
    <w:rsid w:val="2C471900"/>
    <w:rsid w:val="2E7E4DA1"/>
    <w:rsid w:val="30DF318F"/>
    <w:rsid w:val="3BFB6D1F"/>
    <w:rsid w:val="3C12626D"/>
    <w:rsid w:val="3E992791"/>
    <w:rsid w:val="4233680D"/>
    <w:rsid w:val="45B57607"/>
    <w:rsid w:val="46EF7542"/>
    <w:rsid w:val="56D768D3"/>
    <w:rsid w:val="589D16B9"/>
    <w:rsid w:val="65645D53"/>
    <w:rsid w:val="6AD16123"/>
    <w:rsid w:val="720E741F"/>
    <w:rsid w:val="79BA34E7"/>
    <w:rsid w:val="7DAC5A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pPr>
      <w:ind w:left="279"/>
    </w:pPr>
    <w:rPr>
      <w:rFonts w:ascii="宋体" w:hAnsi="宋体" w:eastAsia="宋体" w:cs="宋体"/>
      <w:sz w:val="32"/>
      <w:szCs w:val="32"/>
      <w:lang w:val="zh-CN" w:eastAsia="zh-CN" w:bidi="zh-CN"/>
    </w:rPr>
  </w:style>
  <w:style w:type="paragraph" w:styleId="3">
    <w:name w:val="Body Text First Indent"/>
    <w:basedOn w:val="2"/>
    <w:unhideWhenUsed/>
    <w:qFormat/>
    <w:uiPriority w:val="99"/>
    <w:pPr>
      <w:ind w:firstLine="420" w:firstLineChars="100"/>
    </w:pPr>
  </w:style>
  <w:style w:type="paragraph" w:styleId="4">
    <w:name w:val="Body Text Indent 2"/>
    <w:basedOn w:val="1"/>
    <w:link w:val="15"/>
    <w:unhideWhenUsed/>
    <w:qFormat/>
    <w:uiPriority w:val="0"/>
    <w:pPr>
      <w:ind w:firstLine="588" w:firstLineChars="200"/>
    </w:pPr>
    <w:rPr>
      <w:rFonts w:ascii="仿宋_GB2312" w:hAnsi="Calibri" w:eastAsia="仿宋_GB2312" w:cs="Times New Roman"/>
      <w:sz w:val="32"/>
      <w:szCs w:val="24"/>
    </w:rPr>
  </w:style>
  <w:style w:type="paragraph" w:styleId="5">
    <w:name w:val="footer"/>
    <w:basedOn w:val="1"/>
    <w:link w:val="13"/>
    <w:unhideWhenUsed/>
    <w:qFormat/>
    <w:uiPriority w:val="0"/>
    <w:pPr>
      <w:tabs>
        <w:tab w:val="center" w:pos="4153"/>
        <w:tab w:val="right" w:pos="8306"/>
      </w:tabs>
      <w:snapToGrid w:val="0"/>
      <w:jc w:val="left"/>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page number"/>
    <w:qFormat/>
    <w:uiPriority w:val="0"/>
  </w:style>
  <w:style w:type="character" w:styleId="11">
    <w:name w:val="Hyperlink"/>
    <w:basedOn w:val="9"/>
    <w:unhideWhenUsed/>
    <w:qFormat/>
    <w:uiPriority w:val="99"/>
    <w:rPr>
      <w:color w:val="0000FF" w:themeColor="hyperlink"/>
      <w:u w:val="single"/>
      <w14:textFill>
        <w14:solidFill>
          <w14:schemeClr w14:val="hlink"/>
        </w14:solidFill>
      </w14:textFill>
    </w:rPr>
  </w:style>
  <w:style w:type="character" w:customStyle="1" w:styleId="12">
    <w:name w:val="页眉 Char"/>
    <w:basedOn w:val="9"/>
    <w:link w:val="6"/>
    <w:semiHidden/>
    <w:qFormat/>
    <w:uiPriority w:val="99"/>
    <w:rPr>
      <w:sz w:val="18"/>
      <w:szCs w:val="18"/>
    </w:rPr>
  </w:style>
  <w:style w:type="character" w:customStyle="1" w:styleId="13">
    <w:name w:val="页脚 Char"/>
    <w:basedOn w:val="9"/>
    <w:link w:val="5"/>
    <w:qFormat/>
    <w:uiPriority w:val="0"/>
    <w:rPr>
      <w:sz w:val="18"/>
      <w:szCs w:val="18"/>
    </w:rPr>
  </w:style>
  <w:style w:type="character" w:customStyle="1" w:styleId="14">
    <w:name w:val="标题 3 Char Char"/>
    <w:qFormat/>
    <w:uiPriority w:val="0"/>
    <w:rPr>
      <w:rFonts w:eastAsia="楷体_GB2312"/>
      <w:b/>
      <w:kern w:val="2"/>
      <w:sz w:val="32"/>
      <w:szCs w:val="24"/>
      <w:lang w:val="en-US" w:eastAsia="zh-CN" w:bidi="ar-SA"/>
    </w:rPr>
  </w:style>
  <w:style w:type="character" w:customStyle="1" w:styleId="15">
    <w:name w:val="正文文本缩进 2 Char"/>
    <w:basedOn w:val="9"/>
    <w:link w:val="4"/>
    <w:qFormat/>
    <w:uiPriority w:val="0"/>
    <w:rPr>
      <w:rFonts w:ascii="仿宋_GB2312" w:hAnsi="Calibri" w:eastAsia="仿宋_GB2312" w:cs="Times New Roman"/>
      <w:sz w:val="32"/>
      <w:szCs w:val="24"/>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8908</Words>
  <Characters>9188</Characters>
  <Lines>19</Lines>
  <Paragraphs>5</Paragraphs>
  <TotalTime>13</TotalTime>
  <ScaleCrop>false</ScaleCrop>
  <LinksUpToDate>false</LinksUpToDate>
  <CharactersWithSpaces>10390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2020-06-02T01:49:00Z</dcterms:created>
  <dc:creator>lenvov</dc:creator>
  <cp:lastModifiedBy>admin</cp:lastModifiedBy>
  <dcterms:modified xsi:type="dcterms:W3CDTF">2023-08-30T07:24:29Z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38FB44C29A1148A49C4E799BB4BD13D1</vt:lpwstr>
  </property>
</Properties>
</file>