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90C1F" w14:textId="77777777" w:rsidR="00DF6389" w:rsidRDefault="00DF6389">
      <w:pPr>
        <w:widowControl/>
        <w:spacing w:line="600" w:lineRule="exact"/>
        <w:jc w:val="center"/>
        <w:rPr>
          <w:rFonts w:ascii="黑体" w:eastAsia="黑体" w:hAnsi="黑体" w:cs="黑体"/>
          <w:sz w:val="44"/>
          <w:szCs w:val="44"/>
        </w:rPr>
      </w:pPr>
    </w:p>
    <w:p w14:paraId="184861A9" w14:textId="77777777" w:rsidR="00EA016B" w:rsidRDefault="00E31CF2" w:rsidP="008B1B71">
      <w:pPr>
        <w:pStyle w:val="a8"/>
        <w:ind w:firstLine="880"/>
        <w:jc w:val="center"/>
        <w:rPr>
          <w:rFonts w:eastAsia="方正小标宋_GBK" w:cs="Times New Roman"/>
          <w:color w:val="000000" w:themeColor="text1"/>
          <w:sz w:val="44"/>
          <w:szCs w:val="44"/>
        </w:rPr>
      </w:pPr>
      <w:r>
        <w:rPr>
          <w:rFonts w:ascii="黑体" w:eastAsia="黑体" w:hAnsi="黑体" w:cs="黑体" w:hint="eastAsia"/>
          <w:sz w:val="44"/>
          <w:szCs w:val="44"/>
        </w:rPr>
        <w:t>岳阳市疾控中心</w:t>
      </w:r>
      <w:r w:rsidR="00EA016B">
        <w:rPr>
          <w:rFonts w:eastAsia="方正小标宋_GBK" w:cs="Times New Roman"/>
          <w:color w:val="000000" w:themeColor="text1"/>
          <w:sz w:val="44"/>
          <w:szCs w:val="44"/>
        </w:rPr>
        <w:t>2021</w:t>
      </w:r>
      <w:r w:rsidR="00EA016B">
        <w:rPr>
          <w:rFonts w:eastAsia="方正小标宋_GBK" w:cs="Times New Roman" w:hint="eastAsia"/>
          <w:color w:val="000000" w:themeColor="text1"/>
          <w:sz w:val="44"/>
          <w:szCs w:val="44"/>
        </w:rPr>
        <w:t>年度绩效评价</w:t>
      </w:r>
    </w:p>
    <w:p w14:paraId="3EE6D2FE" w14:textId="08AE0D7E" w:rsidR="00DF6389" w:rsidRPr="008B1B71" w:rsidRDefault="00E31CF2" w:rsidP="008B1B71">
      <w:pPr>
        <w:pStyle w:val="a8"/>
        <w:ind w:firstLine="880"/>
        <w:jc w:val="center"/>
        <w:rPr>
          <w:rFonts w:eastAsia="方正小标宋_GBK" w:cs="Times New Roman"/>
          <w:color w:val="000000" w:themeColor="text1"/>
          <w:sz w:val="44"/>
          <w:szCs w:val="44"/>
        </w:rPr>
      </w:pPr>
      <w:r>
        <w:rPr>
          <w:rFonts w:ascii="黑体" w:eastAsia="黑体" w:hAnsi="黑体" w:cs="黑体" w:hint="eastAsia"/>
          <w:sz w:val="44"/>
          <w:szCs w:val="44"/>
        </w:rPr>
        <w:t>报告</w:t>
      </w:r>
    </w:p>
    <w:p w14:paraId="4FFCB7E2" w14:textId="77777777" w:rsidR="00DF6389" w:rsidRDefault="00DF6389" w:rsidP="00EA016B">
      <w:pPr>
        <w:widowControl/>
        <w:rPr>
          <w:rFonts w:ascii="仿宋" w:eastAsia="仿宋" w:hAnsi="仿宋" w:cs="仿宋"/>
          <w:sz w:val="32"/>
          <w:szCs w:val="32"/>
        </w:rPr>
      </w:pPr>
    </w:p>
    <w:p w14:paraId="2D27338B" w14:textId="77777777" w:rsidR="00DF6389" w:rsidRDefault="00E31CF2">
      <w:pPr>
        <w:widowControl/>
        <w:numPr>
          <w:ilvl w:val="0"/>
          <w:numId w:val="1"/>
        </w:numPr>
        <w:jc w:val="left"/>
        <w:rPr>
          <w:rFonts w:ascii="黑体" w:eastAsia="黑体" w:hAnsi="黑体" w:cs="黑体"/>
          <w:sz w:val="32"/>
          <w:szCs w:val="32"/>
        </w:rPr>
      </w:pPr>
      <w:r>
        <w:rPr>
          <w:rFonts w:ascii="黑体" w:eastAsia="黑体" w:hAnsi="黑体" w:cs="黑体" w:hint="eastAsia"/>
          <w:sz w:val="32"/>
          <w:szCs w:val="32"/>
        </w:rPr>
        <w:t>单位基本情况</w:t>
      </w:r>
    </w:p>
    <w:p w14:paraId="53F11830" w14:textId="7B5C5ECD" w:rsidR="00DF6389" w:rsidRDefault="00E31CF2">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岳阳市疾控中心前身为市防疫站，2002年分为市疾控中心和卫生监督中心，2007年市职防所并入疾控中心，为公益一类事业单位，中心核定全额编制111名,现有在职在编人员10</w:t>
      </w:r>
      <w:r w:rsidR="00EA016B">
        <w:rPr>
          <w:rFonts w:ascii="仿宋" w:eastAsia="仿宋" w:hAnsi="仿宋" w:cs="仿宋"/>
          <w:sz w:val="32"/>
          <w:szCs w:val="32"/>
        </w:rPr>
        <w:t>1</w:t>
      </w:r>
      <w:r>
        <w:rPr>
          <w:rFonts w:ascii="仿宋" w:eastAsia="仿宋" w:hAnsi="仿宋" w:cs="仿宋" w:hint="eastAsia"/>
          <w:sz w:val="32"/>
          <w:szCs w:val="32"/>
        </w:rPr>
        <w:t>名。隶属岳阳市卫健委，业务上受湖南省疾病预防控制中心、湖南省结核病防治所、湖南省职业病防治院、湖南省血防所的指导。主要承担七大职责:全市疾病预防与控制;突发公共卫生事件和灾害疫情应急处置;疫情及健康相关因素信息管理;健康危害因素监测与干预;实验室检测检验与评价;健康教育与健康促进;疾病预防控制技术管理与应用研究指导。</w:t>
      </w:r>
    </w:p>
    <w:p w14:paraId="6339C838" w14:textId="77777777" w:rsidR="00DF6389" w:rsidRDefault="00E31CF2">
      <w:pPr>
        <w:widowControl/>
        <w:numPr>
          <w:ilvl w:val="0"/>
          <w:numId w:val="1"/>
        </w:numPr>
        <w:jc w:val="left"/>
        <w:rPr>
          <w:rFonts w:ascii="黑体" w:eastAsia="黑体" w:hAnsi="黑体" w:cs="黑体"/>
          <w:sz w:val="32"/>
          <w:szCs w:val="32"/>
        </w:rPr>
      </w:pPr>
      <w:r>
        <w:rPr>
          <w:rFonts w:ascii="黑体" w:eastAsia="黑体" w:hAnsi="黑体" w:cs="黑体" w:hint="eastAsia"/>
          <w:sz w:val="32"/>
          <w:szCs w:val="32"/>
        </w:rPr>
        <w:t>项目实施情况及成效</w:t>
      </w:r>
    </w:p>
    <w:p w14:paraId="3AC303EE" w14:textId="7C2C9BF0" w:rsidR="00DF6389" w:rsidRDefault="008B1B71">
      <w:pPr>
        <w:widowControl/>
        <w:ind w:firstLineChars="200" w:firstLine="640"/>
        <w:jc w:val="left"/>
        <w:rPr>
          <w:rFonts w:ascii="仿宋" w:eastAsia="仿宋" w:hAnsi="仿宋" w:cs="仿宋"/>
          <w:sz w:val="32"/>
          <w:szCs w:val="32"/>
        </w:rPr>
      </w:pPr>
      <w:r>
        <w:rPr>
          <w:rFonts w:ascii="仿宋" w:eastAsia="仿宋" w:hAnsi="仿宋" w:cs="仿宋"/>
          <w:sz w:val="32"/>
          <w:szCs w:val="32"/>
        </w:rPr>
        <w:t>2021</w:t>
      </w:r>
      <w:r w:rsidR="00E31CF2">
        <w:rPr>
          <w:rFonts w:ascii="仿宋" w:eastAsia="仿宋" w:hAnsi="仿宋" w:cs="仿宋" w:hint="eastAsia"/>
          <w:sz w:val="32"/>
          <w:szCs w:val="32"/>
        </w:rPr>
        <w:t>年,全市未发生甲类传染病和传染病暴发流行，未出现重大的突发公共卫生事件，结核病、艾滋病得到有效遏制。常规免疫接种率维持在较高水平，检验检测能力显著提高，精神卫生和慢性病防控取得新成效。</w:t>
      </w:r>
    </w:p>
    <w:p w14:paraId="667A9767" w14:textId="289EB671" w:rsidR="00DF6389" w:rsidRDefault="00E31CF2">
      <w:pPr>
        <w:ind w:firstLineChars="200" w:firstLine="643"/>
        <w:rPr>
          <w:rFonts w:ascii="仿宋_GB2312" w:eastAsia="仿宋_GB2312"/>
          <w:b/>
          <w:bCs/>
          <w:sz w:val="32"/>
          <w:szCs w:val="32"/>
        </w:rPr>
      </w:pPr>
      <w:r>
        <w:rPr>
          <w:rFonts w:ascii="楷体" w:eastAsia="楷体" w:hAnsi="楷体" w:hint="eastAsia"/>
          <w:b/>
          <w:bCs/>
          <w:sz w:val="32"/>
          <w:szCs w:val="32"/>
        </w:rPr>
        <w:t>（一）</w:t>
      </w:r>
      <w:r w:rsidR="008B1B71">
        <w:rPr>
          <w:rFonts w:ascii="楷体" w:eastAsia="楷体" w:hAnsi="楷体" w:hint="eastAsia"/>
          <w:b/>
          <w:bCs/>
          <w:sz w:val="32"/>
          <w:szCs w:val="32"/>
        </w:rPr>
        <w:t>新冠肺炎监测等</w:t>
      </w:r>
      <w:r>
        <w:rPr>
          <w:rFonts w:ascii="楷体" w:eastAsia="楷体" w:hAnsi="楷体" w:hint="eastAsia"/>
          <w:b/>
          <w:bCs/>
          <w:sz w:val="32"/>
          <w:szCs w:val="32"/>
        </w:rPr>
        <w:t>传染病防控成效显著</w:t>
      </w:r>
    </w:p>
    <w:p w14:paraId="6923C162" w14:textId="4E9CCFB4" w:rsidR="001130E1" w:rsidRDefault="001130E1" w:rsidP="001130E1">
      <w:pPr>
        <w:ind w:firstLineChars="200" w:firstLine="640"/>
        <w:rPr>
          <w:rFonts w:ascii="仿宋_GB2312" w:eastAsia="仿宋_GB2312"/>
          <w:sz w:val="32"/>
          <w:szCs w:val="32"/>
        </w:rPr>
      </w:pPr>
      <w:r>
        <w:rPr>
          <w:rFonts w:ascii="仿宋_GB2312" w:eastAsia="仿宋_GB2312" w:hint="eastAsia"/>
          <w:sz w:val="32"/>
          <w:szCs w:val="32"/>
        </w:rPr>
        <w:lastRenderedPageBreak/>
        <w:t>1、</w:t>
      </w:r>
      <w:r w:rsidR="008B1B71" w:rsidRPr="008B1B71">
        <w:rPr>
          <w:rFonts w:ascii="仿宋_GB2312" w:eastAsia="仿宋_GB2312" w:hint="eastAsia"/>
          <w:sz w:val="32"/>
          <w:szCs w:val="32"/>
        </w:rPr>
        <w:t>新冠疫情防控常态化</w:t>
      </w:r>
      <w:r>
        <w:rPr>
          <w:rFonts w:ascii="仿宋_GB2312" w:eastAsia="仿宋_GB2312" w:hint="eastAsia"/>
          <w:sz w:val="32"/>
          <w:szCs w:val="32"/>
        </w:rPr>
        <w:t>。</w:t>
      </w:r>
      <w:r w:rsidR="008B1B71" w:rsidRPr="008B1B71">
        <w:rPr>
          <w:rFonts w:ascii="仿宋_GB2312" w:eastAsia="仿宋_GB2312" w:hint="eastAsia"/>
          <w:sz w:val="32"/>
          <w:szCs w:val="32"/>
        </w:rPr>
        <w:t>按照国家和省市防控工作要求，依据相关新冠疫情防控技术方案，</w:t>
      </w:r>
      <w:r>
        <w:rPr>
          <w:rFonts w:ascii="仿宋_GB2312" w:eastAsia="仿宋_GB2312" w:hint="eastAsia"/>
          <w:sz w:val="32"/>
          <w:szCs w:val="32"/>
        </w:rPr>
        <w:t>2</w:t>
      </w:r>
      <w:r>
        <w:rPr>
          <w:rFonts w:ascii="仿宋_GB2312" w:eastAsia="仿宋_GB2312"/>
          <w:sz w:val="32"/>
          <w:szCs w:val="32"/>
        </w:rPr>
        <w:t>021</w:t>
      </w:r>
      <w:r>
        <w:rPr>
          <w:rFonts w:ascii="仿宋_GB2312" w:eastAsia="仿宋_GB2312" w:hint="eastAsia"/>
          <w:sz w:val="32"/>
          <w:szCs w:val="32"/>
        </w:rPr>
        <w:t>年</w:t>
      </w:r>
      <w:r w:rsidRPr="001130E1">
        <w:rPr>
          <w:rFonts w:ascii="仿宋_GB2312" w:eastAsia="仿宋_GB2312" w:hint="eastAsia"/>
          <w:sz w:val="32"/>
          <w:szCs w:val="32"/>
        </w:rPr>
        <w:t>完成岳阳市疫情日分析和中高风险地区日报各162期，疫情风险评估57期，点对点管理协查函200余份，参与市指挥部和中心的新冠肺炎常态化防控工作督导8次，完成市本级并指导各县区完成全年新冠病毒病原学年监测任务，完成市级哨点监测1040份标本检测，均为阴性。通过岳阳日报、晚报和中心微信公众号推送疫情风险提示43期，接受公众电话咨询近千次，及时解答社会关切。参加高考、学考、会计考试、司法考试、执医考试、公务员考试等各类考试疫情防控工作；编写提交多个部门会议活动防控方案12期，参与口岸博览会、党代会、两会的疫情防控工作。</w:t>
      </w:r>
    </w:p>
    <w:p w14:paraId="274EF5C9" w14:textId="2D817E12" w:rsidR="001130E1" w:rsidRPr="001130E1" w:rsidRDefault="00E31CF2" w:rsidP="001130E1">
      <w:pPr>
        <w:ind w:firstLineChars="200" w:firstLine="640"/>
        <w:rPr>
          <w:rFonts w:ascii="仿宋" w:eastAsia="仿宋" w:hAnsi="仿宋" w:cs="仿宋"/>
          <w:sz w:val="32"/>
          <w:szCs w:val="32"/>
        </w:rPr>
      </w:pPr>
      <w:r>
        <w:rPr>
          <w:rFonts w:ascii="仿宋" w:eastAsia="仿宋" w:hAnsi="仿宋" w:cs="仿宋" w:hint="eastAsia"/>
          <w:sz w:val="32"/>
          <w:szCs w:val="32"/>
        </w:rPr>
        <w:t xml:space="preserve"> </w:t>
      </w:r>
      <w:r w:rsidR="001130E1">
        <w:rPr>
          <w:rFonts w:ascii="仿宋" w:eastAsia="仿宋" w:hAnsi="仿宋" w:cs="仿宋"/>
          <w:sz w:val="32"/>
          <w:szCs w:val="32"/>
        </w:rPr>
        <w:t>2</w:t>
      </w:r>
      <w:r w:rsidR="001130E1">
        <w:rPr>
          <w:rFonts w:ascii="仿宋" w:eastAsia="仿宋" w:hAnsi="仿宋" w:cs="仿宋" w:hint="eastAsia"/>
          <w:sz w:val="32"/>
          <w:szCs w:val="32"/>
        </w:rPr>
        <w:t>、</w:t>
      </w:r>
      <w:r w:rsidR="001130E1" w:rsidRPr="001130E1">
        <w:rPr>
          <w:rFonts w:ascii="仿宋" w:eastAsia="仿宋" w:hAnsi="仿宋" w:cs="仿宋" w:hint="eastAsia"/>
          <w:sz w:val="32"/>
          <w:szCs w:val="32"/>
        </w:rPr>
        <w:t>人禽流感哨点监测持续开展</w:t>
      </w:r>
      <w:r w:rsidR="001130E1">
        <w:rPr>
          <w:rFonts w:ascii="仿宋" w:eastAsia="仿宋" w:hAnsi="仿宋" w:cs="仿宋" w:hint="eastAsia"/>
          <w:sz w:val="32"/>
          <w:szCs w:val="32"/>
        </w:rPr>
        <w:t>。</w:t>
      </w:r>
      <w:r w:rsidR="001130E1" w:rsidRPr="001130E1">
        <w:rPr>
          <w:rFonts w:ascii="仿宋" w:eastAsia="仿宋" w:hAnsi="仿宋" w:cs="仿宋" w:hint="eastAsia"/>
          <w:sz w:val="32"/>
          <w:szCs w:val="32"/>
        </w:rPr>
        <w:t>我市人感染禽流感的监测点为省级监测点，设在君山区的“东洞庭湖自然保护区”，</w:t>
      </w:r>
      <w:r w:rsidR="00EA016B">
        <w:rPr>
          <w:rFonts w:ascii="仿宋" w:eastAsia="仿宋" w:hAnsi="仿宋" w:cs="仿宋" w:hint="eastAsia"/>
          <w:sz w:val="32"/>
          <w:szCs w:val="32"/>
        </w:rPr>
        <w:t xml:space="preserve"> </w:t>
      </w:r>
      <w:r w:rsidR="001130E1">
        <w:rPr>
          <w:rFonts w:ascii="仿宋" w:eastAsia="仿宋" w:hAnsi="仿宋" w:cs="仿宋" w:hint="eastAsia"/>
          <w:sz w:val="32"/>
          <w:szCs w:val="32"/>
        </w:rPr>
        <w:t>2</w:t>
      </w:r>
      <w:r w:rsidR="001130E1">
        <w:rPr>
          <w:rFonts w:ascii="仿宋" w:eastAsia="仿宋" w:hAnsi="仿宋" w:cs="仿宋"/>
          <w:sz w:val="32"/>
          <w:szCs w:val="32"/>
        </w:rPr>
        <w:t>021</w:t>
      </w:r>
      <w:r w:rsidR="001130E1">
        <w:rPr>
          <w:rFonts w:ascii="仿宋" w:eastAsia="仿宋" w:hAnsi="仿宋" w:cs="仿宋" w:hint="eastAsia"/>
          <w:sz w:val="32"/>
          <w:szCs w:val="32"/>
        </w:rPr>
        <w:t>年</w:t>
      </w:r>
      <w:r w:rsidR="001130E1" w:rsidRPr="001130E1">
        <w:rPr>
          <w:rFonts w:ascii="仿宋_GB2312" w:eastAsia="仿宋_GB2312" w:hint="eastAsia"/>
          <w:sz w:val="32"/>
          <w:szCs w:val="32"/>
        </w:rPr>
        <w:t>采集的40份环境标本，病原学检测结果为3份A型流感阳性，无H5、H7、H9亚型检出。</w:t>
      </w:r>
      <w:r w:rsidR="001130E1">
        <w:rPr>
          <w:rFonts w:ascii="仿宋_GB2312" w:eastAsia="仿宋_GB2312" w:hint="eastAsia"/>
          <w:sz w:val="32"/>
          <w:szCs w:val="32"/>
        </w:rPr>
        <w:t>2</w:t>
      </w:r>
      <w:r w:rsidR="001130E1">
        <w:rPr>
          <w:rFonts w:ascii="仿宋_GB2312" w:eastAsia="仿宋_GB2312"/>
          <w:sz w:val="32"/>
          <w:szCs w:val="32"/>
        </w:rPr>
        <w:t>021</w:t>
      </w:r>
      <w:r w:rsidR="001130E1">
        <w:rPr>
          <w:rFonts w:ascii="仿宋_GB2312" w:eastAsia="仿宋_GB2312" w:hint="eastAsia"/>
          <w:sz w:val="32"/>
          <w:szCs w:val="32"/>
        </w:rPr>
        <w:t>年</w:t>
      </w:r>
      <w:r w:rsidR="001130E1" w:rsidRPr="001130E1">
        <w:rPr>
          <w:rFonts w:ascii="仿宋_GB2312" w:eastAsia="仿宋_GB2312" w:hint="eastAsia"/>
          <w:sz w:val="32"/>
          <w:szCs w:val="32"/>
        </w:rPr>
        <w:t>4月，我</w:t>
      </w:r>
      <w:r w:rsidR="001130E1">
        <w:rPr>
          <w:rFonts w:ascii="仿宋_GB2312" w:eastAsia="仿宋_GB2312" w:hint="eastAsia"/>
          <w:sz w:val="32"/>
          <w:szCs w:val="32"/>
        </w:rPr>
        <w:t>中心</w:t>
      </w:r>
      <w:r w:rsidR="001130E1" w:rsidRPr="001130E1">
        <w:rPr>
          <w:rFonts w:ascii="仿宋_GB2312" w:eastAsia="仿宋_GB2312" w:hint="eastAsia"/>
          <w:sz w:val="32"/>
          <w:szCs w:val="32"/>
        </w:rPr>
        <w:t>在岳阳楼区和君山区的活禽交易市场开展了“2021年人禽流感职业暴露人群血清学调查”工作，选择30名活禽交易摊位从业者作受访对象，完成了对他们的调查、采样、与送检等相关工作，经省疾控微生物检验科开展抗体检测，无阳性结果。</w:t>
      </w:r>
    </w:p>
    <w:p w14:paraId="56C4BABB" w14:textId="28592E0B" w:rsidR="00DF6389" w:rsidRDefault="00E31CF2">
      <w:pPr>
        <w:pStyle w:val="a7"/>
        <w:ind w:left="643" w:firstLineChars="0" w:firstLine="0"/>
        <w:rPr>
          <w:rFonts w:ascii="楷体" w:eastAsia="楷体" w:hAnsi="楷体"/>
          <w:b/>
          <w:bCs/>
          <w:sz w:val="32"/>
          <w:szCs w:val="32"/>
        </w:rPr>
      </w:pPr>
      <w:r>
        <w:rPr>
          <w:rFonts w:ascii="楷体" w:eastAsia="楷体" w:hAnsi="楷体" w:hint="eastAsia"/>
          <w:b/>
          <w:bCs/>
          <w:sz w:val="32"/>
          <w:szCs w:val="32"/>
        </w:rPr>
        <w:t>（二）</w:t>
      </w:r>
      <w:r w:rsidR="007C3188">
        <w:rPr>
          <w:rFonts w:ascii="仿宋" w:eastAsia="仿宋" w:hAnsi="仿宋" w:cs="仿宋" w:hint="eastAsia"/>
          <w:b/>
          <w:kern w:val="0"/>
          <w:sz w:val="32"/>
          <w:szCs w:val="32"/>
        </w:rPr>
        <w:t>血吸虫病防控顺利实施</w:t>
      </w:r>
    </w:p>
    <w:p w14:paraId="543C8DB8" w14:textId="5ED19D3B" w:rsidR="00DF6389" w:rsidRPr="007C2B7F" w:rsidRDefault="00C453CB" w:rsidP="003A2EBE">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lastRenderedPageBreak/>
        <w:t>2</w:t>
      </w:r>
      <w:r w:rsidR="003A2EBE" w:rsidRPr="003A2EBE">
        <w:rPr>
          <w:rFonts w:ascii="仿宋_GB2312" w:eastAsia="仿宋_GB2312" w:hAnsi="宋体" w:hint="eastAsia"/>
          <w:sz w:val="32"/>
          <w:szCs w:val="32"/>
        </w:rPr>
        <w:t>021年岳阳市共有血吸虫病流行县12个，流行县乡81个，流行村948个，流行县人口数507.07万人，流行村人口数243.27万人，达消除的县1个，达消除的乡镇14个。达传播阻断的县11个，达传播阻断的乡镇67个，今年查螺面积为61150.99万平方公里，共查出钉螺面积为38164.80万平方公里，实有钉螺面积为69009.45万平方公里，累计药物灭螺面积11915.70万平方公里。今年人群查病人次数为1078820人，其中血检阳性人数3945人，粪检阳性0人。现有病人2357人，其中当年发现40人，当年死亡48人。今年没有报告1例急性血吸虫病人。扩大人群化疗人数62694人，扩大化疗牛头8550次。人群血吸虫病筛查任务完成率达到120.0%，均已完成绩效目标任务。</w:t>
      </w:r>
    </w:p>
    <w:p w14:paraId="14399632" w14:textId="1FAD2A2D" w:rsidR="000F2E8D" w:rsidRDefault="000F2E8D" w:rsidP="000F2E8D">
      <w:pPr>
        <w:ind w:firstLineChars="200" w:firstLine="643"/>
        <w:rPr>
          <w:rFonts w:ascii="楷体" w:eastAsia="楷体" w:hAnsi="楷体"/>
          <w:b/>
          <w:bCs/>
          <w:sz w:val="32"/>
          <w:szCs w:val="32"/>
        </w:rPr>
      </w:pPr>
      <w:r>
        <w:rPr>
          <w:rFonts w:ascii="楷体" w:eastAsia="楷体" w:hAnsi="楷体" w:hint="eastAsia"/>
          <w:b/>
          <w:bCs/>
          <w:sz w:val="32"/>
          <w:szCs w:val="32"/>
        </w:rPr>
        <w:t>（三）免疫规划工作规范有序</w:t>
      </w:r>
    </w:p>
    <w:p w14:paraId="619FA67E" w14:textId="1535652C" w:rsidR="000F2E8D" w:rsidRDefault="000F2E8D" w:rsidP="000F2E8D">
      <w:pPr>
        <w:spacing w:line="560" w:lineRule="exact"/>
        <w:ind w:firstLineChars="200" w:firstLine="640"/>
        <w:rPr>
          <w:rFonts w:ascii="仿宋_GB2312" w:eastAsia="仿宋_GB2312" w:hAnsi="宋体"/>
          <w:sz w:val="32"/>
          <w:szCs w:val="32"/>
        </w:rPr>
      </w:pPr>
      <w:r w:rsidRPr="000F2E8D">
        <w:rPr>
          <w:rFonts w:ascii="仿宋_GB2312" w:eastAsia="仿宋_GB2312" w:hAnsi="宋体" w:hint="eastAsia"/>
          <w:sz w:val="32"/>
          <w:szCs w:val="32"/>
        </w:rPr>
        <w:t>2021年，无国家免疫规划疫苗针对性疾病暴发疫情。全市以县区、乡镇、门诊为单位均进行了接种率的上报工作，通过中国免疫规划信息管理系统全市以县区、乡镇、门诊为单位报告单位的报告率均为100%。2021年</w:t>
      </w:r>
      <w:r w:rsidR="00507DAD" w:rsidRPr="00507DAD">
        <w:rPr>
          <w:rFonts w:ascii="仿宋_GB2312" w:eastAsia="仿宋_GB2312" w:hAnsi="宋体" w:hint="eastAsia"/>
          <w:sz w:val="32"/>
          <w:szCs w:val="32"/>
        </w:rPr>
        <w:t>国家免疫规划报告接种率为99.76%</w:t>
      </w:r>
      <w:r w:rsidRPr="000F2E8D">
        <w:rPr>
          <w:rFonts w:ascii="仿宋_GB2312" w:eastAsia="仿宋_GB2312" w:hAnsi="宋体" w:hint="eastAsia"/>
          <w:sz w:val="32"/>
          <w:szCs w:val="32"/>
        </w:rPr>
        <w:t>，完成了国家免疫规划疫苗接种率达到90％以上的目标。建成12家数字化门诊，截至2021年底，全市18家数字化门诊，无示范接种门诊。</w:t>
      </w:r>
    </w:p>
    <w:p w14:paraId="54722D69" w14:textId="27848DE6" w:rsidR="00DF6389" w:rsidRDefault="00E31CF2">
      <w:pPr>
        <w:ind w:firstLineChars="200" w:firstLine="643"/>
        <w:rPr>
          <w:rFonts w:ascii="楷体" w:eastAsia="楷体" w:hAnsi="楷体"/>
          <w:b/>
          <w:bCs/>
          <w:sz w:val="32"/>
          <w:szCs w:val="32"/>
        </w:rPr>
      </w:pPr>
      <w:r>
        <w:rPr>
          <w:rFonts w:ascii="楷体" w:eastAsia="楷体" w:hAnsi="楷体" w:hint="eastAsia"/>
          <w:b/>
          <w:bCs/>
          <w:sz w:val="32"/>
          <w:szCs w:val="32"/>
        </w:rPr>
        <w:t>（</w:t>
      </w:r>
      <w:r w:rsidR="00235913">
        <w:rPr>
          <w:rFonts w:ascii="楷体" w:eastAsia="楷体" w:hAnsi="楷体" w:hint="eastAsia"/>
          <w:b/>
          <w:bCs/>
          <w:sz w:val="32"/>
          <w:szCs w:val="32"/>
        </w:rPr>
        <w:t>四</w:t>
      </w:r>
      <w:r>
        <w:rPr>
          <w:rFonts w:ascii="楷体" w:eastAsia="楷体" w:hAnsi="楷体" w:hint="eastAsia"/>
          <w:b/>
          <w:bCs/>
          <w:sz w:val="32"/>
          <w:szCs w:val="32"/>
        </w:rPr>
        <w:t>）食品安全风险监测工作措施得力</w:t>
      </w:r>
    </w:p>
    <w:p w14:paraId="3B44FE32" w14:textId="6DBE0E41" w:rsidR="00DF6389" w:rsidRDefault="007C3188">
      <w:pPr>
        <w:ind w:firstLineChars="200" w:firstLine="640"/>
        <w:rPr>
          <w:rFonts w:ascii="仿宋_GB2312" w:eastAsia="仿宋_GB2312" w:hAnsi="楷体"/>
          <w:sz w:val="32"/>
          <w:szCs w:val="32"/>
        </w:rPr>
      </w:pPr>
      <w:r w:rsidRPr="007C3188">
        <w:rPr>
          <w:rFonts w:ascii="仿宋_GB2312" w:eastAsia="仿宋_GB2312" w:hAnsi="楷体" w:hint="eastAsia"/>
          <w:sz w:val="32"/>
          <w:szCs w:val="32"/>
        </w:rPr>
        <w:t xml:space="preserve"> 2021年</w:t>
      </w:r>
      <w:r w:rsidRPr="007C3188">
        <w:rPr>
          <w:rFonts w:ascii="仿宋_GB2312" w:eastAsia="仿宋_GB2312" w:hAnsi="楷体"/>
          <w:sz w:val="32"/>
          <w:szCs w:val="32"/>
        </w:rPr>
        <w:t>在岳阳市卫生</w:t>
      </w:r>
      <w:r w:rsidRPr="007C3188">
        <w:rPr>
          <w:rFonts w:ascii="仿宋_GB2312" w:eastAsia="仿宋_GB2312" w:hAnsi="楷体" w:hint="eastAsia"/>
          <w:sz w:val="32"/>
          <w:szCs w:val="32"/>
        </w:rPr>
        <w:t>健康</w:t>
      </w:r>
      <w:r w:rsidRPr="007C3188">
        <w:rPr>
          <w:rFonts w:ascii="仿宋_GB2312" w:eastAsia="仿宋_GB2312" w:hAnsi="楷体"/>
          <w:sz w:val="32"/>
          <w:szCs w:val="32"/>
        </w:rPr>
        <w:t>委的领导和省疾控中心指导下，岳阳市疾控中心根据《中华人民共和国食品安全法》、《20</w:t>
      </w:r>
      <w:r w:rsidRPr="007C3188">
        <w:rPr>
          <w:rFonts w:ascii="仿宋_GB2312" w:eastAsia="仿宋_GB2312" w:hAnsi="楷体" w:hint="eastAsia"/>
          <w:sz w:val="32"/>
          <w:szCs w:val="32"/>
        </w:rPr>
        <w:t>21</w:t>
      </w:r>
      <w:r w:rsidRPr="007C3188">
        <w:rPr>
          <w:rFonts w:ascii="仿宋_GB2312" w:eastAsia="仿宋_GB2312" w:hAnsi="楷体"/>
          <w:sz w:val="32"/>
          <w:szCs w:val="32"/>
        </w:rPr>
        <w:t>年湖南省食品安全风险监测方案》</w:t>
      </w:r>
      <w:r w:rsidRPr="007C3188">
        <w:rPr>
          <w:rFonts w:ascii="仿宋_GB2312" w:eastAsia="仿宋_GB2312" w:hAnsi="楷体" w:hint="eastAsia"/>
          <w:sz w:val="32"/>
          <w:szCs w:val="32"/>
        </w:rPr>
        <w:t>、《2021年岳阳市</w:t>
      </w:r>
      <w:r w:rsidRPr="007C3188">
        <w:rPr>
          <w:rFonts w:ascii="仿宋_GB2312" w:eastAsia="仿宋_GB2312" w:hAnsi="楷体" w:hint="eastAsia"/>
          <w:sz w:val="32"/>
          <w:szCs w:val="32"/>
        </w:rPr>
        <w:lastRenderedPageBreak/>
        <w:t>食品安全风险监测实施方案》</w:t>
      </w:r>
      <w:r w:rsidRPr="007C3188">
        <w:rPr>
          <w:rFonts w:ascii="仿宋_GB2312" w:eastAsia="仿宋_GB2312" w:hAnsi="楷体"/>
          <w:sz w:val="32"/>
          <w:szCs w:val="32"/>
        </w:rPr>
        <w:t>等法律法规和文件精神，制定了《20</w:t>
      </w:r>
      <w:r w:rsidRPr="007C3188">
        <w:rPr>
          <w:rFonts w:ascii="仿宋_GB2312" w:eastAsia="仿宋_GB2312" w:hAnsi="楷体" w:hint="eastAsia"/>
          <w:sz w:val="32"/>
          <w:szCs w:val="32"/>
        </w:rPr>
        <w:t>21</w:t>
      </w:r>
      <w:r w:rsidRPr="007C3188">
        <w:rPr>
          <w:rFonts w:ascii="仿宋_GB2312" w:eastAsia="仿宋_GB2312" w:hAnsi="楷体"/>
          <w:sz w:val="32"/>
          <w:szCs w:val="32"/>
        </w:rPr>
        <w:t>年岳阳市食品安全风险监测方案实施细则》，在全市范围内开展了食品化学性污染物和有害因素监测、食品微生物及其致病因子监测、食源性疾病监测</w:t>
      </w:r>
      <w:r w:rsidRPr="007C3188">
        <w:rPr>
          <w:rFonts w:ascii="仿宋_GB2312" w:eastAsia="仿宋_GB2312" w:hAnsi="楷体" w:hint="eastAsia"/>
          <w:sz w:val="32"/>
          <w:szCs w:val="32"/>
        </w:rPr>
        <w:t>等三</w:t>
      </w:r>
      <w:r w:rsidRPr="007C3188">
        <w:rPr>
          <w:rFonts w:ascii="仿宋_GB2312" w:eastAsia="仿宋_GB2312" w:hAnsi="楷体"/>
          <w:sz w:val="32"/>
          <w:szCs w:val="32"/>
        </w:rPr>
        <w:t>方面工作，</w:t>
      </w:r>
      <w:r w:rsidRPr="007C3188">
        <w:rPr>
          <w:rFonts w:ascii="仿宋_GB2312" w:eastAsia="仿宋_GB2312" w:hAnsi="楷体" w:hint="eastAsia"/>
          <w:sz w:val="32"/>
          <w:szCs w:val="32"/>
        </w:rPr>
        <w:t>2021年我中心共采集食品中致病微生物监测食品样品156份，共采集食品中化学污染物及有害因素监测食品样品131份，采样、检测、数据上报和分析工作均按时保质完成。各县市区完成省级监测</w:t>
      </w:r>
      <w:r w:rsidRPr="007C3188">
        <w:rPr>
          <w:rFonts w:ascii="仿宋_GB2312" w:eastAsia="仿宋_GB2312" w:hAnsi="楷体"/>
          <w:sz w:val="32"/>
          <w:szCs w:val="32"/>
        </w:rPr>
        <w:t>食品微生物及其致病因子监测</w:t>
      </w:r>
      <w:r w:rsidRPr="007C3188">
        <w:rPr>
          <w:rFonts w:ascii="仿宋_GB2312" w:eastAsia="仿宋_GB2312" w:hAnsi="楷体" w:hint="eastAsia"/>
          <w:sz w:val="32"/>
          <w:szCs w:val="32"/>
        </w:rPr>
        <w:t>样品（现制饮料及甜品）270个，省级监测中的化学污染物及有害因素监测样品（大米、稻谷、蔬菜样品）810个，所有监测数据已完成审核及上报。2021</w:t>
      </w:r>
      <w:r w:rsidRPr="007C3188">
        <w:rPr>
          <w:rFonts w:ascii="仿宋_GB2312" w:eastAsia="仿宋_GB2312" w:hAnsi="楷体"/>
          <w:sz w:val="32"/>
          <w:szCs w:val="32"/>
        </w:rPr>
        <w:t>年</w:t>
      </w:r>
      <w:r w:rsidRPr="007C3188">
        <w:rPr>
          <w:rFonts w:ascii="仿宋_GB2312" w:eastAsia="仿宋_GB2312" w:hAnsi="楷体" w:hint="eastAsia"/>
          <w:sz w:val="32"/>
          <w:szCs w:val="32"/>
        </w:rPr>
        <w:t>全市176</w:t>
      </w:r>
      <w:r w:rsidRPr="007C3188">
        <w:rPr>
          <w:rFonts w:ascii="仿宋_GB2312" w:eastAsia="仿宋_GB2312" w:hAnsi="楷体"/>
          <w:sz w:val="32"/>
          <w:szCs w:val="32"/>
        </w:rPr>
        <w:t>家医疗机构共上报食源性疾病病例</w:t>
      </w:r>
      <w:r w:rsidRPr="007C3188">
        <w:rPr>
          <w:rFonts w:ascii="仿宋_GB2312" w:eastAsia="仿宋_GB2312" w:hAnsi="楷体" w:hint="eastAsia"/>
          <w:sz w:val="32"/>
          <w:szCs w:val="32"/>
        </w:rPr>
        <w:t>2505</w:t>
      </w:r>
      <w:r w:rsidRPr="007C3188">
        <w:rPr>
          <w:rFonts w:ascii="仿宋_GB2312" w:eastAsia="仿宋_GB2312" w:hAnsi="楷体"/>
          <w:sz w:val="32"/>
          <w:szCs w:val="32"/>
        </w:rPr>
        <w:t>例，</w:t>
      </w:r>
      <w:r w:rsidRPr="007C3188">
        <w:rPr>
          <w:rFonts w:ascii="仿宋_GB2312" w:eastAsia="仿宋_GB2312" w:hAnsi="楷体" w:hint="eastAsia"/>
          <w:sz w:val="32"/>
          <w:szCs w:val="32"/>
        </w:rPr>
        <w:t>较2020年的2052例增加了22.07%，哨点医院</w:t>
      </w:r>
      <w:r w:rsidRPr="007C3188">
        <w:rPr>
          <w:rFonts w:ascii="仿宋_GB2312" w:eastAsia="仿宋_GB2312" w:hAnsi="楷体"/>
          <w:sz w:val="32"/>
          <w:szCs w:val="32"/>
        </w:rPr>
        <w:t>共采集</w:t>
      </w:r>
      <w:r w:rsidRPr="007C3188">
        <w:rPr>
          <w:rFonts w:ascii="仿宋_GB2312" w:eastAsia="仿宋_GB2312" w:hAnsi="楷体" w:hint="eastAsia"/>
          <w:sz w:val="32"/>
          <w:szCs w:val="32"/>
        </w:rPr>
        <w:t>病例</w:t>
      </w:r>
      <w:r w:rsidRPr="007C3188">
        <w:rPr>
          <w:rFonts w:ascii="仿宋_GB2312" w:eastAsia="仿宋_GB2312" w:hAnsi="楷体"/>
          <w:sz w:val="32"/>
          <w:szCs w:val="32"/>
        </w:rPr>
        <w:t>生物样本</w:t>
      </w:r>
      <w:r w:rsidRPr="007C3188">
        <w:rPr>
          <w:rFonts w:ascii="仿宋_GB2312" w:eastAsia="仿宋_GB2312" w:hAnsi="楷体" w:hint="eastAsia"/>
          <w:sz w:val="32"/>
          <w:szCs w:val="32"/>
        </w:rPr>
        <w:t>332例</w:t>
      </w:r>
      <w:r w:rsidRPr="007C3188">
        <w:rPr>
          <w:rFonts w:ascii="仿宋_GB2312" w:eastAsia="仿宋_GB2312" w:hAnsi="楷体"/>
          <w:sz w:val="32"/>
          <w:szCs w:val="32"/>
        </w:rPr>
        <w:t>，检出阳性</w:t>
      </w:r>
      <w:r w:rsidRPr="007C3188">
        <w:rPr>
          <w:rFonts w:ascii="仿宋_GB2312" w:eastAsia="仿宋_GB2312" w:hAnsi="楷体" w:hint="eastAsia"/>
          <w:sz w:val="32"/>
          <w:szCs w:val="32"/>
        </w:rPr>
        <w:t>病例49例，</w:t>
      </w:r>
      <w:r w:rsidRPr="007C3188">
        <w:rPr>
          <w:rFonts w:ascii="仿宋_GB2312" w:eastAsia="仿宋_GB2312" w:hAnsi="楷体"/>
          <w:sz w:val="32"/>
          <w:szCs w:val="32"/>
        </w:rPr>
        <w:t>阳性率</w:t>
      </w:r>
      <w:r w:rsidRPr="007C3188">
        <w:rPr>
          <w:rFonts w:ascii="仿宋_GB2312" w:eastAsia="仿宋_GB2312" w:hAnsi="楷体" w:hint="eastAsia"/>
          <w:sz w:val="32"/>
          <w:szCs w:val="32"/>
        </w:rPr>
        <w:t>14.76</w:t>
      </w:r>
      <w:r w:rsidRPr="007C3188">
        <w:rPr>
          <w:rFonts w:ascii="仿宋_GB2312" w:eastAsia="仿宋_GB2312" w:hAnsi="楷体"/>
          <w:sz w:val="32"/>
          <w:szCs w:val="32"/>
        </w:rPr>
        <w:t>%</w:t>
      </w:r>
      <w:r w:rsidRPr="007C3188">
        <w:rPr>
          <w:rFonts w:ascii="仿宋_GB2312" w:eastAsia="仿宋_GB2312" w:hAnsi="楷体" w:hint="eastAsia"/>
          <w:sz w:val="32"/>
          <w:szCs w:val="32"/>
        </w:rPr>
        <w:t>。</w:t>
      </w:r>
      <w:r w:rsidRPr="007C3188">
        <w:rPr>
          <w:rFonts w:ascii="仿宋_GB2312" w:eastAsia="仿宋_GB2312" w:hAnsi="楷体"/>
          <w:sz w:val="32"/>
          <w:szCs w:val="32"/>
        </w:rPr>
        <w:t>检出</w:t>
      </w:r>
      <w:r w:rsidRPr="007C3188">
        <w:rPr>
          <w:rFonts w:ascii="仿宋_GB2312" w:eastAsia="仿宋_GB2312" w:hAnsi="楷体" w:hint="eastAsia"/>
          <w:sz w:val="32"/>
          <w:szCs w:val="32"/>
        </w:rPr>
        <w:t>致病微生物主要为</w:t>
      </w:r>
      <w:r w:rsidRPr="007C3188">
        <w:rPr>
          <w:rFonts w:ascii="仿宋_GB2312" w:eastAsia="仿宋_GB2312" w:hAnsi="楷体"/>
          <w:sz w:val="32"/>
          <w:szCs w:val="32"/>
        </w:rPr>
        <w:t>沙门氏菌</w:t>
      </w:r>
      <w:r w:rsidRPr="007C3188">
        <w:rPr>
          <w:rFonts w:ascii="仿宋_GB2312" w:eastAsia="仿宋_GB2312" w:hAnsi="楷体" w:hint="eastAsia"/>
          <w:sz w:val="32"/>
          <w:szCs w:val="32"/>
        </w:rPr>
        <w:t>（31例）</w:t>
      </w:r>
      <w:r w:rsidRPr="007C3188">
        <w:rPr>
          <w:rFonts w:ascii="仿宋_GB2312" w:eastAsia="仿宋_GB2312" w:hAnsi="楷体"/>
          <w:sz w:val="32"/>
          <w:szCs w:val="32"/>
        </w:rPr>
        <w:t>，致泻大肠埃希氏菌</w:t>
      </w:r>
      <w:r w:rsidRPr="007C3188">
        <w:rPr>
          <w:rFonts w:ascii="仿宋_GB2312" w:eastAsia="仿宋_GB2312" w:hAnsi="楷体" w:hint="eastAsia"/>
          <w:sz w:val="32"/>
          <w:szCs w:val="32"/>
        </w:rPr>
        <w:t>（5例）和</w:t>
      </w:r>
      <w:r w:rsidRPr="007C3188">
        <w:rPr>
          <w:rFonts w:ascii="仿宋_GB2312" w:eastAsia="仿宋_GB2312" w:hAnsi="楷体"/>
          <w:sz w:val="32"/>
          <w:szCs w:val="32"/>
        </w:rPr>
        <w:t>诺如病毒</w:t>
      </w:r>
      <w:r w:rsidRPr="007C3188">
        <w:rPr>
          <w:rFonts w:ascii="仿宋_GB2312" w:eastAsia="仿宋_GB2312" w:hAnsi="楷体" w:hint="eastAsia"/>
          <w:sz w:val="32"/>
          <w:szCs w:val="32"/>
        </w:rPr>
        <w:t>（15例）</w:t>
      </w:r>
      <w:r w:rsidRPr="007C3188">
        <w:rPr>
          <w:rFonts w:ascii="仿宋_GB2312" w:eastAsia="仿宋_GB2312" w:hAnsi="楷体"/>
          <w:sz w:val="32"/>
          <w:szCs w:val="32"/>
        </w:rPr>
        <w:t>。</w:t>
      </w:r>
      <w:r w:rsidRPr="007C3188">
        <w:rPr>
          <w:rFonts w:ascii="仿宋_GB2312" w:eastAsia="仿宋_GB2312" w:hAnsi="楷体" w:hint="eastAsia"/>
          <w:sz w:val="32"/>
          <w:szCs w:val="32"/>
        </w:rPr>
        <w:t>全年共报告（结案）食源性疾病暴发事件23起</w:t>
      </w:r>
      <w:r w:rsidR="00C94D33">
        <w:rPr>
          <w:rFonts w:ascii="仿宋_GB2312" w:eastAsia="仿宋_GB2312" w:hAnsi="楷体" w:hint="eastAsia"/>
          <w:sz w:val="32"/>
          <w:szCs w:val="32"/>
        </w:rPr>
        <w:t>。</w:t>
      </w:r>
    </w:p>
    <w:p w14:paraId="60D890F7" w14:textId="1519D1EA" w:rsidR="00DF6389" w:rsidRDefault="00E31CF2">
      <w:pPr>
        <w:ind w:firstLineChars="200" w:firstLine="643"/>
        <w:rPr>
          <w:rFonts w:ascii="楷体" w:eastAsia="楷体" w:hAnsi="楷体"/>
          <w:b/>
          <w:bCs/>
          <w:sz w:val="32"/>
          <w:szCs w:val="32"/>
        </w:rPr>
      </w:pPr>
      <w:r>
        <w:rPr>
          <w:rFonts w:ascii="楷体" w:eastAsia="楷体" w:hAnsi="楷体" w:hint="eastAsia"/>
          <w:b/>
          <w:bCs/>
          <w:sz w:val="32"/>
          <w:szCs w:val="32"/>
        </w:rPr>
        <w:t>（</w:t>
      </w:r>
      <w:r w:rsidR="00235913">
        <w:rPr>
          <w:rFonts w:ascii="楷体" w:eastAsia="楷体" w:hAnsi="楷体" w:hint="eastAsia"/>
          <w:b/>
          <w:bCs/>
          <w:sz w:val="32"/>
          <w:szCs w:val="32"/>
        </w:rPr>
        <w:t>五</w:t>
      </w:r>
      <w:r>
        <w:rPr>
          <w:rFonts w:ascii="楷体" w:eastAsia="楷体" w:hAnsi="楷体" w:hint="eastAsia"/>
          <w:b/>
          <w:bCs/>
          <w:sz w:val="32"/>
          <w:szCs w:val="32"/>
        </w:rPr>
        <w:t>）近视调查与干预工作成绩斐然</w:t>
      </w:r>
    </w:p>
    <w:p w14:paraId="6F3E3489" w14:textId="3C770441" w:rsidR="00DF6389" w:rsidRDefault="00D11D20">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021</w:t>
      </w:r>
      <w:r>
        <w:rPr>
          <w:rFonts w:ascii="仿宋_GB2312" w:eastAsia="仿宋_GB2312" w:hint="eastAsia"/>
          <w:sz w:val="32"/>
          <w:szCs w:val="32"/>
        </w:rPr>
        <w:t>年</w:t>
      </w:r>
      <w:r w:rsidR="00E31CF2">
        <w:rPr>
          <w:rFonts w:ascii="仿宋_GB2312" w:eastAsia="仿宋_GB2312" w:hint="eastAsia"/>
          <w:sz w:val="32"/>
          <w:szCs w:val="32"/>
        </w:rPr>
        <w:t>我中心制定了《2021年岳阳市学生常见病和健康影响因素监测与干预工作方案》将岳阳县和汨罗市被纳入全国儿童青少年近视防控适宜技术试点。2021年10月12日，按要求第一时间组织召开了全市9个县区疾控中心、儿童青少年近视防控工作技术指导中心常见病近视培训班。自10月</w:t>
      </w:r>
      <w:r w:rsidR="00E31CF2">
        <w:rPr>
          <w:rFonts w:ascii="仿宋_GB2312" w:eastAsia="仿宋_GB2312" w:hint="eastAsia"/>
          <w:sz w:val="32"/>
          <w:szCs w:val="32"/>
        </w:rPr>
        <w:lastRenderedPageBreak/>
        <w:t>中旬开始项目实施，筛查共计22206人，</w:t>
      </w:r>
      <w:r w:rsidR="005637DC">
        <w:rPr>
          <w:rFonts w:ascii="仿宋_GB2312" w:eastAsia="仿宋_GB2312" w:hint="eastAsia"/>
          <w:sz w:val="32"/>
          <w:szCs w:val="32"/>
        </w:rPr>
        <w:t>学生近视调查完成率达到1</w:t>
      </w:r>
      <w:r w:rsidR="005637DC">
        <w:rPr>
          <w:rFonts w:ascii="仿宋_GB2312" w:eastAsia="仿宋_GB2312"/>
          <w:sz w:val="32"/>
          <w:szCs w:val="32"/>
        </w:rPr>
        <w:t>18.62</w:t>
      </w:r>
      <w:r w:rsidR="005637DC">
        <w:rPr>
          <w:rFonts w:ascii="仿宋_GB2312" w:eastAsia="仿宋_GB2312" w:hint="eastAsia"/>
          <w:sz w:val="32"/>
          <w:szCs w:val="32"/>
        </w:rPr>
        <w:t>%，</w:t>
      </w:r>
      <w:r w:rsidR="00E31CF2">
        <w:rPr>
          <w:rFonts w:ascii="仿宋_GB2312" w:eastAsia="仿宋_GB2312" w:hint="eastAsia"/>
          <w:sz w:val="32"/>
          <w:szCs w:val="32"/>
        </w:rPr>
        <w:t>并将筛查结果根据国家、省疾控的要求，按时按质的审核并提交，得到了湖南省疾控的好评。</w:t>
      </w:r>
    </w:p>
    <w:p w14:paraId="40725FAF" w14:textId="3B396FF2" w:rsidR="00DF6389" w:rsidRDefault="00235913" w:rsidP="00235913">
      <w:pPr>
        <w:ind w:left="643"/>
        <w:rPr>
          <w:rFonts w:ascii="楷体" w:eastAsia="楷体" w:hAnsi="楷体"/>
          <w:b/>
          <w:bCs/>
          <w:sz w:val="32"/>
          <w:szCs w:val="32"/>
        </w:rPr>
      </w:pPr>
      <w:r>
        <w:rPr>
          <w:rFonts w:ascii="楷体" w:eastAsia="楷体" w:hAnsi="楷体" w:hint="eastAsia"/>
          <w:b/>
          <w:bCs/>
          <w:sz w:val="32"/>
          <w:szCs w:val="32"/>
        </w:rPr>
        <w:t>（六）</w:t>
      </w:r>
      <w:r w:rsidR="00E31CF2">
        <w:rPr>
          <w:rFonts w:ascii="楷体" w:eastAsia="楷体" w:hAnsi="楷体" w:hint="eastAsia"/>
          <w:b/>
          <w:bCs/>
          <w:sz w:val="32"/>
          <w:szCs w:val="32"/>
        </w:rPr>
        <w:t>麻风病监测工作顺利实施</w:t>
      </w:r>
    </w:p>
    <w:p w14:paraId="7ECD9669" w14:textId="3CEAFF17" w:rsidR="00DF6389" w:rsidRDefault="007C2B7F">
      <w:pPr>
        <w:ind w:firstLineChars="200" w:firstLine="640"/>
        <w:rPr>
          <w:rFonts w:ascii="仿宋_GB2312" w:eastAsia="仿宋_GB2312"/>
          <w:color w:val="000000"/>
          <w:sz w:val="32"/>
          <w:szCs w:val="32"/>
        </w:rPr>
      </w:pPr>
      <w:r>
        <w:rPr>
          <w:rFonts w:ascii="仿宋_GB2312" w:eastAsia="仿宋_GB2312" w:hint="eastAsia"/>
          <w:color w:val="000000"/>
          <w:sz w:val="32"/>
          <w:szCs w:val="32"/>
        </w:rPr>
        <w:t>我中心</w:t>
      </w:r>
      <w:r w:rsidRPr="007C2B7F">
        <w:rPr>
          <w:rFonts w:ascii="仿宋_GB2312" w:eastAsia="仿宋_GB2312" w:hint="eastAsia"/>
          <w:color w:val="000000"/>
          <w:sz w:val="32"/>
          <w:szCs w:val="32"/>
        </w:rPr>
        <w:t>坚持每年对历年治愈、现症麻风病人、家属及密切接触者，摸底调查和临床检查，均未发现新发病例。</w:t>
      </w:r>
      <w:r>
        <w:rPr>
          <w:rFonts w:ascii="仿宋_GB2312" w:eastAsia="仿宋_GB2312" w:hint="eastAsia"/>
          <w:color w:val="000000"/>
          <w:sz w:val="32"/>
          <w:szCs w:val="32"/>
        </w:rPr>
        <w:t>2</w:t>
      </w:r>
      <w:r>
        <w:rPr>
          <w:rFonts w:ascii="仿宋_GB2312" w:eastAsia="仿宋_GB2312"/>
          <w:color w:val="000000"/>
          <w:sz w:val="32"/>
          <w:szCs w:val="32"/>
        </w:rPr>
        <w:t>021</w:t>
      </w:r>
      <w:r>
        <w:rPr>
          <w:rFonts w:ascii="仿宋_GB2312" w:eastAsia="仿宋_GB2312" w:hint="eastAsia"/>
          <w:color w:val="000000"/>
          <w:sz w:val="32"/>
          <w:szCs w:val="32"/>
        </w:rPr>
        <w:t>年</w:t>
      </w:r>
      <w:r w:rsidRPr="007C2B7F">
        <w:rPr>
          <w:rFonts w:ascii="仿宋_GB2312" w:eastAsia="仿宋_GB2312" w:hint="eastAsia"/>
          <w:color w:val="000000"/>
          <w:sz w:val="32"/>
          <w:szCs w:val="32"/>
        </w:rPr>
        <w:t>全市麻风现症患者规则治疗率达100%，均已完成绩效目标任务。完成259条麻风病症状监测数，有助于提高医务人员对麻风病的认识和警惕性，减少麻风病的漏诊。组织各县市区麻风病防治工作人员参加《2021年岳阳市麻风病工作培训班》。全年对有现症病例的湘阴县和华容县、汨罗县进行了一次督导。</w:t>
      </w:r>
    </w:p>
    <w:p w14:paraId="278883A7" w14:textId="1F354C87" w:rsidR="003A2EBE" w:rsidRDefault="003A2EBE" w:rsidP="003A2EBE">
      <w:pPr>
        <w:ind w:left="643"/>
        <w:rPr>
          <w:rFonts w:ascii="楷体" w:eastAsia="楷体" w:hAnsi="楷体"/>
          <w:b/>
          <w:bCs/>
          <w:sz w:val="32"/>
          <w:szCs w:val="32"/>
        </w:rPr>
      </w:pPr>
      <w:r>
        <w:rPr>
          <w:rFonts w:ascii="楷体" w:eastAsia="楷体" w:hAnsi="楷体" w:hint="eastAsia"/>
          <w:b/>
          <w:bCs/>
          <w:sz w:val="32"/>
          <w:szCs w:val="32"/>
        </w:rPr>
        <w:t>（七）艾滋病防治措施得力</w:t>
      </w:r>
    </w:p>
    <w:p w14:paraId="2FF10B59" w14:textId="6DFEEEFD" w:rsidR="003A2EBE" w:rsidRDefault="003A2EBE" w:rsidP="003A2EBE">
      <w:pPr>
        <w:ind w:firstLineChars="200" w:firstLine="640"/>
        <w:rPr>
          <w:rFonts w:ascii="仿宋_GB2312" w:eastAsia="仿宋_GB2312"/>
          <w:sz w:val="32"/>
          <w:szCs w:val="32"/>
        </w:rPr>
      </w:pPr>
      <w:r>
        <w:rPr>
          <w:rFonts w:ascii="仿宋_GB2312" w:eastAsia="仿宋_GB2312" w:hint="eastAsia"/>
          <w:sz w:val="32"/>
          <w:szCs w:val="32"/>
        </w:rPr>
        <w:t>我市</w:t>
      </w:r>
      <w:r w:rsidRPr="003A2EBE">
        <w:rPr>
          <w:rFonts w:ascii="仿宋_GB2312" w:eastAsia="仿宋_GB2312" w:hint="eastAsia"/>
          <w:sz w:val="32"/>
          <w:szCs w:val="32"/>
        </w:rPr>
        <w:t>自1997年发现首例HIV感染者以来，</w:t>
      </w:r>
      <w:r w:rsidR="00EA016B" w:rsidRPr="003A2EBE">
        <w:rPr>
          <w:rFonts w:ascii="仿宋_GB2312" w:eastAsia="仿宋_GB2312" w:hint="eastAsia"/>
          <w:sz w:val="32"/>
          <w:szCs w:val="32"/>
        </w:rPr>
        <w:t xml:space="preserve"> </w:t>
      </w:r>
      <w:r w:rsidRPr="003A2EBE">
        <w:rPr>
          <w:rFonts w:ascii="仿宋_GB2312" w:eastAsia="仿宋_GB2312" w:hint="eastAsia"/>
          <w:sz w:val="32"/>
          <w:szCs w:val="32"/>
        </w:rPr>
        <w:t>2021年</w:t>
      </w:r>
      <w:r>
        <w:rPr>
          <w:rFonts w:ascii="仿宋_GB2312" w:eastAsia="仿宋_GB2312" w:hint="eastAsia"/>
          <w:sz w:val="32"/>
          <w:szCs w:val="32"/>
        </w:rPr>
        <w:t>底</w:t>
      </w:r>
      <w:r w:rsidRPr="003A2EBE">
        <w:rPr>
          <w:rFonts w:ascii="仿宋_GB2312" w:eastAsia="仿宋_GB2312" w:hint="eastAsia"/>
          <w:sz w:val="32"/>
          <w:szCs w:val="32"/>
        </w:rPr>
        <w:t>累计（按现住地址统计）发现艾滋病病毒感染者/病人3228例，其中艾滋病病人1692例，艾滋病病毒感染者/病人累计死亡686例。据全市11个县(市)区“艾滋病监测报告信息管理系统”数据（现住地址）统计，2021年全市共报HIV208例、新发现AIDS110例，共计318例；死亡59例。发病构成以性传播（297例）为主，共占报告发病总数的93.40%。2021年全年岳阳市符合治疗条件的感染者和病人中接受抗病毒治疗的比例为93.82%，艾滋病哨点监测完成率为100%，艾滋病</w:t>
      </w:r>
      <w:r w:rsidRPr="003A2EBE">
        <w:rPr>
          <w:rFonts w:ascii="仿宋_GB2312" w:eastAsia="仿宋_GB2312" w:hint="eastAsia"/>
          <w:sz w:val="32"/>
          <w:szCs w:val="32"/>
        </w:rPr>
        <w:lastRenderedPageBreak/>
        <w:t>规范化随访干预比例为97.57%，艾滋病高危人群（暗娼）干预检测任务完成率为214.9%，（男性同性性行人群）干预检测任务完成率为123.5%，抗病毒治疗率为93.82 %，全年岳阳市抗病毒治疗成功率为95.4 %，：全市结核病检查比例99.80%，全市阳性配偶检测率99.33%，全市CD4检测率比例检测率97.57%，相关指标均达到要求。</w:t>
      </w:r>
    </w:p>
    <w:p w14:paraId="3010322E" w14:textId="6F5E4774" w:rsidR="00DF6389" w:rsidRDefault="00E31CF2">
      <w:pPr>
        <w:numPr>
          <w:ilvl w:val="0"/>
          <w:numId w:val="1"/>
        </w:numPr>
        <w:spacing w:line="600" w:lineRule="exact"/>
        <w:rPr>
          <w:rFonts w:ascii="楷体" w:eastAsia="楷体"/>
          <w:b/>
          <w:bCs/>
          <w:sz w:val="32"/>
          <w:szCs w:val="32"/>
        </w:rPr>
      </w:pPr>
      <w:r>
        <w:rPr>
          <w:rFonts w:ascii="黑体" w:eastAsia="黑体" w:hint="eastAsia"/>
          <w:bCs/>
          <w:sz w:val="32"/>
          <w:szCs w:val="20"/>
        </w:rPr>
        <w:t>资金管理、使用情况</w:t>
      </w:r>
    </w:p>
    <w:p w14:paraId="7861E83F" w14:textId="55585DC1" w:rsidR="00DF6389" w:rsidRDefault="00E31CF2">
      <w:pPr>
        <w:spacing w:line="600" w:lineRule="exact"/>
        <w:ind w:firstLineChars="200" w:firstLine="643"/>
        <w:rPr>
          <w:rFonts w:ascii="仿宋_GB2312" w:eastAsia="仿宋_GB2312"/>
          <w:sz w:val="32"/>
          <w:szCs w:val="32"/>
        </w:rPr>
      </w:pPr>
      <w:r>
        <w:rPr>
          <w:rFonts w:ascii="楷体" w:eastAsia="楷体" w:hint="eastAsia"/>
          <w:b/>
          <w:bCs/>
          <w:sz w:val="32"/>
          <w:szCs w:val="32"/>
        </w:rPr>
        <w:t>（一）</w:t>
      </w:r>
      <w:r w:rsidR="00D97E40">
        <w:rPr>
          <w:rFonts w:ascii="楷体" w:eastAsia="楷体" w:hint="eastAsia"/>
          <w:b/>
          <w:bCs/>
          <w:sz w:val="32"/>
          <w:szCs w:val="32"/>
        </w:rPr>
        <w:t>收入、支出决算</w:t>
      </w:r>
      <w:r>
        <w:rPr>
          <w:rFonts w:ascii="楷体" w:eastAsia="楷体" w:hint="eastAsia"/>
          <w:b/>
          <w:bCs/>
          <w:sz w:val="32"/>
          <w:szCs w:val="32"/>
        </w:rPr>
        <w:t>情况</w:t>
      </w:r>
    </w:p>
    <w:p w14:paraId="5F17BB69" w14:textId="55710CCA" w:rsidR="00DF6389" w:rsidRDefault="00D97E40">
      <w:pPr>
        <w:spacing w:line="600" w:lineRule="exact"/>
        <w:ind w:firstLineChars="200" w:firstLine="643"/>
        <w:rPr>
          <w:rFonts w:ascii="仿宋_GB2312" w:eastAsia="仿宋_GB2312"/>
          <w:sz w:val="32"/>
          <w:szCs w:val="32"/>
        </w:rPr>
      </w:pPr>
      <w:r>
        <w:rPr>
          <w:rFonts w:ascii="仿宋" w:eastAsia="仿宋" w:hAnsi="仿宋" w:cs="仿宋" w:hint="eastAsia"/>
          <w:b/>
          <w:bCs/>
          <w:sz w:val="32"/>
          <w:szCs w:val="32"/>
        </w:rPr>
        <w:t>收入决算</w:t>
      </w:r>
      <w:r w:rsidR="00E11408">
        <w:rPr>
          <w:rFonts w:ascii="仿宋" w:eastAsia="仿宋" w:hAnsi="仿宋" w:cs="仿宋" w:hint="eastAsia"/>
          <w:b/>
          <w:bCs/>
          <w:sz w:val="32"/>
          <w:szCs w:val="32"/>
        </w:rPr>
        <w:t>情况</w:t>
      </w:r>
      <w:r w:rsidR="00E31CF2">
        <w:rPr>
          <w:rFonts w:ascii="仿宋" w:eastAsia="仿宋" w:hAnsi="仿宋" w:cs="仿宋" w:hint="eastAsia"/>
          <w:sz w:val="32"/>
          <w:szCs w:val="32"/>
        </w:rPr>
        <w:t>：</w:t>
      </w:r>
      <w:r w:rsidRPr="00D97E40">
        <w:rPr>
          <w:rFonts w:ascii="仿宋_GB2312" w:eastAsia="仿宋_GB2312" w:hint="eastAsia"/>
          <w:sz w:val="32"/>
          <w:szCs w:val="32"/>
        </w:rPr>
        <w:t>2021年度收入合计</w:t>
      </w:r>
      <w:r w:rsidRPr="00D97E40">
        <w:rPr>
          <w:rFonts w:ascii="仿宋_GB2312" w:eastAsia="仿宋_GB2312"/>
          <w:sz w:val="32"/>
          <w:szCs w:val="32"/>
        </w:rPr>
        <w:t>2378.27</w:t>
      </w:r>
      <w:r w:rsidRPr="00D97E40">
        <w:rPr>
          <w:rFonts w:ascii="仿宋_GB2312" w:eastAsia="仿宋_GB2312" w:hint="eastAsia"/>
          <w:sz w:val="32"/>
          <w:szCs w:val="32"/>
        </w:rPr>
        <w:t>万元，其中：财政拨款收入</w:t>
      </w:r>
      <w:r w:rsidRPr="00D97E40">
        <w:rPr>
          <w:rFonts w:ascii="仿宋_GB2312" w:eastAsia="仿宋_GB2312"/>
          <w:sz w:val="32"/>
          <w:szCs w:val="32"/>
        </w:rPr>
        <w:t>2228.91</w:t>
      </w:r>
      <w:r w:rsidRPr="00D97E40">
        <w:rPr>
          <w:rFonts w:ascii="仿宋_GB2312" w:eastAsia="仿宋_GB2312" w:hint="eastAsia"/>
          <w:sz w:val="32"/>
          <w:szCs w:val="32"/>
        </w:rPr>
        <w:t>万元，占</w:t>
      </w:r>
      <w:r w:rsidRPr="00D97E40">
        <w:rPr>
          <w:rFonts w:ascii="仿宋_GB2312" w:eastAsia="仿宋_GB2312"/>
          <w:sz w:val="32"/>
          <w:szCs w:val="32"/>
        </w:rPr>
        <w:t>93.72</w:t>
      </w:r>
      <w:r w:rsidRPr="00D97E40">
        <w:rPr>
          <w:rFonts w:ascii="仿宋_GB2312" w:eastAsia="仿宋_GB2312" w:hint="eastAsia"/>
          <w:sz w:val="32"/>
          <w:szCs w:val="32"/>
        </w:rPr>
        <w:t>%；事业收入</w:t>
      </w:r>
      <w:r w:rsidRPr="00D97E40">
        <w:rPr>
          <w:rFonts w:ascii="仿宋_GB2312" w:eastAsia="仿宋_GB2312"/>
          <w:sz w:val="32"/>
          <w:szCs w:val="32"/>
        </w:rPr>
        <w:t>50.02</w:t>
      </w:r>
      <w:r w:rsidRPr="00D97E40">
        <w:rPr>
          <w:rFonts w:ascii="仿宋_GB2312" w:eastAsia="仿宋_GB2312" w:hint="eastAsia"/>
          <w:sz w:val="32"/>
          <w:szCs w:val="32"/>
        </w:rPr>
        <w:t>万元，占</w:t>
      </w:r>
      <w:r w:rsidRPr="00D97E40">
        <w:rPr>
          <w:rFonts w:ascii="仿宋_GB2312" w:eastAsia="仿宋_GB2312"/>
          <w:sz w:val="32"/>
          <w:szCs w:val="32"/>
        </w:rPr>
        <w:t>2.1</w:t>
      </w:r>
      <w:r w:rsidRPr="00D97E40">
        <w:rPr>
          <w:rFonts w:ascii="仿宋_GB2312" w:eastAsia="仿宋_GB2312" w:hint="eastAsia"/>
          <w:sz w:val="32"/>
          <w:szCs w:val="32"/>
        </w:rPr>
        <w:t>%；其他收入</w:t>
      </w:r>
      <w:r w:rsidRPr="00D97E40">
        <w:rPr>
          <w:rFonts w:ascii="仿宋_GB2312" w:eastAsia="仿宋_GB2312"/>
          <w:sz w:val="32"/>
          <w:szCs w:val="32"/>
        </w:rPr>
        <w:t>99.35</w:t>
      </w:r>
      <w:r w:rsidRPr="00D97E40">
        <w:rPr>
          <w:rFonts w:ascii="仿宋_GB2312" w:eastAsia="仿宋_GB2312" w:hint="eastAsia"/>
          <w:sz w:val="32"/>
          <w:szCs w:val="32"/>
        </w:rPr>
        <w:t>万元，占</w:t>
      </w:r>
      <w:r w:rsidRPr="00D97E40">
        <w:rPr>
          <w:rFonts w:ascii="仿宋_GB2312" w:eastAsia="仿宋_GB2312"/>
          <w:sz w:val="32"/>
          <w:szCs w:val="32"/>
        </w:rPr>
        <w:t>4.18</w:t>
      </w:r>
      <w:r w:rsidRPr="00D97E40">
        <w:rPr>
          <w:rFonts w:ascii="仿宋_GB2312" w:eastAsia="仿宋_GB2312" w:hint="eastAsia"/>
          <w:sz w:val="32"/>
          <w:szCs w:val="32"/>
        </w:rPr>
        <w:t>%</w:t>
      </w:r>
      <w:r w:rsidR="00A45BFC" w:rsidRPr="00D97E40">
        <w:rPr>
          <w:rFonts w:ascii="仿宋_GB2312" w:eastAsia="仿宋_GB2312" w:hint="eastAsia"/>
          <w:sz w:val="32"/>
          <w:szCs w:val="32"/>
        </w:rPr>
        <w:t>。</w:t>
      </w:r>
    </w:p>
    <w:p w14:paraId="68D06D48" w14:textId="57D63FE3" w:rsidR="00DF6389" w:rsidRDefault="00D97E40" w:rsidP="00582872">
      <w:pPr>
        <w:spacing w:line="600" w:lineRule="exact"/>
        <w:ind w:firstLineChars="200" w:firstLine="643"/>
        <w:rPr>
          <w:rFonts w:ascii="仿宋_GB2312" w:eastAsia="仿宋_GB2312"/>
          <w:sz w:val="32"/>
          <w:szCs w:val="32"/>
        </w:rPr>
      </w:pPr>
      <w:r>
        <w:rPr>
          <w:rFonts w:ascii="仿宋" w:eastAsia="仿宋" w:hAnsi="仿宋" w:cs="仿宋" w:hint="eastAsia"/>
          <w:b/>
          <w:bCs/>
          <w:sz w:val="32"/>
          <w:szCs w:val="32"/>
        </w:rPr>
        <w:t>支出决算</w:t>
      </w:r>
      <w:r w:rsidR="00E31CF2">
        <w:rPr>
          <w:rFonts w:ascii="仿宋" w:eastAsia="仿宋" w:hAnsi="仿宋" w:cs="仿宋" w:hint="eastAsia"/>
          <w:b/>
          <w:bCs/>
          <w:sz w:val="32"/>
          <w:szCs w:val="32"/>
        </w:rPr>
        <w:t>情况</w:t>
      </w:r>
      <w:r w:rsidR="00E31CF2">
        <w:rPr>
          <w:rFonts w:ascii="仿宋" w:eastAsia="仿宋" w:hAnsi="仿宋" w:cs="仿宋" w:hint="eastAsia"/>
          <w:sz w:val="32"/>
          <w:szCs w:val="32"/>
        </w:rPr>
        <w:t>：</w:t>
      </w:r>
      <w:r w:rsidRPr="00D97E40">
        <w:rPr>
          <w:rFonts w:ascii="仿宋_GB2312" w:eastAsia="仿宋_GB2312" w:hint="eastAsia"/>
          <w:sz w:val="32"/>
          <w:szCs w:val="32"/>
        </w:rPr>
        <w:t>2021年度支出合计</w:t>
      </w:r>
      <w:r w:rsidRPr="00D97E40">
        <w:rPr>
          <w:rFonts w:ascii="仿宋_GB2312" w:eastAsia="仿宋_GB2312"/>
          <w:sz w:val="32"/>
          <w:szCs w:val="32"/>
        </w:rPr>
        <w:t>3997.46</w:t>
      </w:r>
      <w:r w:rsidRPr="00D97E40">
        <w:rPr>
          <w:rFonts w:ascii="仿宋_GB2312" w:eastAsia="仿宋_GB2312" w:hint="eastAsia"/>
          <w:sz w:val="32"/>
          <w:szCs w:val="32"/>
        </w:rPr>
        <w:t>万元，其中：基本支出</w:t>
      </w:r>
      <w:r w:rsidRPr="00D97E40">
        <w:rPr>
          <w:rFonts w:ascii="仿宋_GB2312" w:eastAsia="仿宋_GB2312"/>
          <w:sz w:val="32"/>
          <w:szCs w:val="32"/>
        </w:rPr>
        <w:t>1469</w:t>
      </w:r>
      <w:r w:rsidRPr="00D97E40">
        <w:rPr>
          <w:rFonts w:ascii="仿宋_GB2312" w:eastAsia="仿宋_GB2312" w:hint="eastAsia"/>
          <w:sz w:val="32"/>
          <w:szCs w:val="32"/>
        </w:rPr>
        <w:t>万元，占</w:t>
      </w:r>
      <w:r w:rsidRPr="00D97E40">
        <w:rPr>
          <w:rFonts w:ascii="仿宋_GB2312" w:eastAsia="仿宋_GB2312"/>
          <w:sz w:val="32"/>
          <w:szCs w:val="32"/>
        </w:rPr>
        <w:t>36.75</w:t>
      </w:r>
      <w:r w:rsidRPr="00D97E40">
        <w:rPr>
          <w:rFonts w:ascii="仿宋_GB2312" w:eastAsia="仿宋_GB2312" w:hint="eastAsia"/>
          <w:sz w:val="32"/>
          <w:szCs w:val="32"/>
        </w:rPr>
        <w:t>%；项目支出</w:t>
      </w:r>
      <w:r w:rsidRPr="00D97E40">
        <w:rPr>
          <w:rFonts w:ascii="仿宋_GB2312" w:eastAsia="仿宋_GB2312"/>
          <w:sz w:val="32"/>
          <w:szCs w:val="32"/>
        </w:rPr>
        <w:t>2528.46</w:t>
      </w:r>
      <w:r w:rsidRPr="00D97E40">
        <w:rPr>
          <w:rFonts w:ascii="仿宋_GB2312" w:eastAsia="仿宋_GB2312" w:hint="eastAsia"/>
          <w:sz w:val="32"/>
          <w:szCs w:val="32"/>
        </w:rPr>
        <w:t>万元，占</w:t>
      </w:r>
      <w:r w:rsidRPr="00D97E40">
        <w:rPr>
          <w:rFonts w:ascii="仿宋_GB2312" w:eastAsia="仿宋_GB2312"/>
          <w:sz w:val="32"/>
          <w:szCs w:val="32"/>
        </w:rPr>
        <w:t>63.25</w:t>
      </w:r>
      <w:r w:rsidRPr="00D97E40">
        <w:rPr>
          <w:rFonts w:ascii="仿宋_GB2312" w:eastAsia="仿宋_GB2312" w:hint="eastAsia"/>
          <w:sz w:val="32"/>
          <w:szCs w:val="32"/>
        </w:rPr>
        <w:t>%</w:t>
      </w:r>
      <w:r w:rsidR="00E11408">
        <w:rPr>
          <w:rFonts w:ascii="仿宋_GB2312" w:eastAsia="仿宋_GB2312" w:hint="eastAsia"/>
          <w:sz w:val="32"/>
          <w:szCs w:val="32"/>
        </w:rPr>
        <w:t>。</w:t>
      </w:r>
    </w:p>
    <w:p w14:paraId="789D6051" w14:textId="77777777" w:rsidR="00DF6389" w:rsidRDefault="00E31CF2">
      <w:pPr>
        <w:rPr>
          <w:rFonts w:ascii="楷体" w:eastAsia="楷体"/>
          <w:b/>
          <w:bCs/>
          <w:sz w:val="32"/>
          <w:szCs w:val="32"/>
        </w:rPr>
      </w:pPr>
      <w:r>
        <w:rPr>
          <w:rFonts w:ascii="仿宋" w:eastAsia="仿宋" w:hint="eastAsia"/>
          <w:sz w:val="30"/>
          <w:szCs w:val="20"/>
        </w:rPr>
        <w:t xml:space="preserve"> </w:t>
      </w:r>
      <w:r>
        <w:rPr>
          <w:rFonts w:ascii="楷体" w:eastAsia="楷体" w:hint="eastAsia"/>
          <w:b/>
          <w:sz w:val="32"/>
          <w:szCs w:val="32"/>
        </w:rPr>
        <w:t xml:space="preserve">   </w:t>
      </w:r>
      <w:r>
        <w:rPr>
          <w:rFonts w:ascii="楷体" w:eastAsia="楷体" w:hint="eastAsia"/>
          <w:b/>
          <w:bCs/>
          <w:sz w:val="32"/>
          <w:szCs w:val="32"/>
        </w:rPr>
        <w:t>（二）项目资金管理情况</w:t>
      </w:r>
    </w:p>
    <w:p w14:paraId="4884FC23" w14:textId="77777777" w:rsidR="00DF6389" w:rsidRDefault="00E31CF2">
      <w:pPr>
        <w:ind w:firstLineChars="200" w:firstLine="640"/>
        <w:rPr>
          <w:rFonts w:ascii="仿宋_GB2312" w:eastAsia="仿宋_GB2312"/>
          <w:sz w:val="32"/>
          <w:szCs w:val="32"/>
        </w:rPr>
      </w:pPr>
      <w:r>
        <w:rPr>
          <w:rFonts w:ascii="仿宋_GB2312" w:eastAsia="仿宋_GB2312" w:hint="eastAsia"/>
          <w:sz w:val="32"/>
          <w:szCs w:val="32"/>
        </w:rPr>
        <w:t>我中心严格按照中央“八项规定”和省、市有关文件精神，坚持“依章办事、服务大局、围绕中心、突出重点、求真务实”的工作方针，加强预算管理和执行力度，进一步规范会计基础工作，实行财务与业务分工管理。根据国家财经政策，结合单位工作实际，制定完善了疾控中心《财务管理制度》、《项目经费管理办法》、《财务报账管理办法》、《差旅费管理实施办法》、《会议费、培训费管理实施办法》、《内部</w:t>
      </w:r>
      <w:r>
        <w:rPr>
          <w:rFonts w:ascii="仿宋_GB2312" w:eastAsia="仿宋_GB2312" w:hint="eastAsia"/>
          <w:sz w:val="32"/>
          <w:szCs w:val="32"/>
        </w:rPr>
        <w:lastRenderedPageBreak/>
        <w:t>稽核管理办法》等十几项财务制度并得到较好落实，中心内部控制管理进一步规范。</w:t>
      </w:r>
    </w:p>
    <w:p w14:paraId="30C9962B" w14:textId="77777777" w:rsidR="00DF6389" w:rsidRDefault="00E31CF2">
      <w:pPr>
        <w:ind w:firstLineChars="200" w:firstLine="640"/>
        <w:rPr>
          <w:rFonts w:ascii="仿宋_GB2312" w:eastAsia="仿宋_GB2312"/>
          <w:sz w:val="32"/>
          <w:szCs w:val="32"/>
        </w:rPr>
      </w:pPr>
      <w:r>
        <w:rPr>
          <w:rFonts w:ascii="仿宋_GB2312" w:eastAsia="仿宋_GB2312" w:hint="eastAsia"/>
          <w:sz w:val="32"/>
          <w:szCs w:val="32"/>
        </w:rPr>
        <w:t>在资金使用上,严格按照国家财经法规和财务管理制度规定，以及有关专项资金管理办法的规定开支，资金结算有完整的审批程序和手续，做到专款专用，项目物资专人保管，保证资金使用的合规性。资金使用无截留、挤占、挪用、虚列支出等情况。</w:t>
      </w:r>
    </w:p>
    <w:p w14:paraId="4092C617" w14:textId="77777777" w:rsidR="00DF6389" w:rsidRDefault="00E31CF2">
      <w:pPr>
        <w:widowControl/>
        <w:ind w:firstLineChars="200" w:firstLine="640"/>
        <w:jc w:val="left"/>
        <w:rPr>
          <w:rFonts w:ascii="黑体" w:eastAsia="黑体" w:cs="宋体"/>
          <w:kern w:val="0"/>
          <w:sz w:val="32"/>
          <w:szCs w:val="32"/>
        </w:rPr>
      </w:pPr>
      <w:r>
        <w:rPr>
          <w:rFonts w:ascii="黑体" w:eastAsia="黑体" w:cs="宋体" w:hint="eastAsia"/>
          <w:kern w:val="0"/>
          <w:sz w:val="32"/>
          <w:szCs w:val="32"/>
        </w:rPr>
        <w:t>四、存在困难及建议</w:t>
      </w:r>
    </w:p>
    <w:p w14:paraId="59C62B5C" w14:textId="77777777" w:rsidR="00DF6389" w:rsidRDefault="00E31CF2">
      <w:pPr>
        <w:widowControl/>
        <w:ind w:firstLineChars="200" w:firstLine="643"/>
        <w:jc w:val="left"/>
        <w:rPr>
          <w:rFonts w:ascii="仿宋_GB2312" w:eastAsia="仿宋_GB2312"/>
          <w:sz w:val="32"/>
          <w:szCs w:val="32"/>
        </w:rPr>
      </w:pPr>
      <w:r>
        <w:rPr>
          <w:rFonts w:ascii="仿宋_GB2312" w:eastAsia="仿宋_GB2312" w:hint="eastAsia"/>
          <w:b/>
          <w:kern w:val="0"/>
          <w:sz w:val="32"/>
          <w:szCs w:val="32"/>
        </w:rPr>
        <w:t>一是部分专项资金拨付不及时</w:t>
      </w:r>
      <w:r>
        <w:rPr>
          <w:rFonts w:ascii="仿宋_GB2312" w:eastAsia="仿宋_GB2312" w:hint="eastAsia"/>
          <w:kern w:val="0"/>
          <w:sz w:val="32"/>
          <w:szCs w:val="32"/>
        </w:rPr>
        <w:t>。</w:t>
      </w:r>
      <w:r>
        <w:rPr>
          <w:rFonts w:ascii="仿宋_GB2312" w:eastAsia="仿宋_GB2312" w:hint="eastAsia"/>
          <w:sz w:val="32"/>
          <w:szCs w:val="32"/>
        </w:rPr>
        <w:t>部分项目资金下达时间与相关文件下达以及项目实施、经费使用的时间不同步。</w:t>
      </w:r>
    </w:p>
    <w:p w14:paraId="227A3B72" w14:textId="77777777" w:rsidR="00DF6389" w:rsidRDefault="00E31CF2">
      <w:pPr>
        <w:widowControl/>
        <w:ind w:firstLineChars="200" w:firstLine="640"/>
        <w:jc w:val="left"/>
        <w:rPr>
          <w:rFonts w:ascii="仿宋_GB2312" w:eastAsia="仿宋_GB2312"/>
          <w:sz w:val="32"/>
          <w:szCs w:val="32"/>
        </w:rPr>
      </w:pPr>
      <w:r>
        <w:rPr>
          <w:rFonts w:ascii="仿宋_GB2312" w:eastAsia="仿宋_GB2312" w:hint="eastAsia"/>
          <w:sz w:val="32"/>
          <w:szCs w:val="32"/>
        </w:rPr>
        <w:t>建议：及时拨付资金，确保项目的正常开展。</w:t>
      </w:r>
    </w:p>
    <w:p w14:paraId="464741C8" w14:textId="77777777" w:rsidR="00DF6389" w:rsidRDefault="00E31CF2">
      <w:pPr>
        <w:widowControl/>
        <w:ind w:firstLineChars="200" w:firstLine="643"/>
        <w:jc w:val="left"/>
        <w:rPr>
          <w:rFonts w:ascii="仿宋" w:eastAsia="仿宋"/>
          <w:sz w:val="32"/>
          <w:szCs w:val="32"/>
        </w:rPr>
      </w:pPr>
      <w:r>
        <w:rPr>
          <w:rFonts w:ascii="仿宋_GB2312" w:eastAsia="仿宋_GB2312" w:hint="eastAsia"/>
          <w:b/>
          <w:kern w:val="0"/>
          <w:sz w:val="32"/>
          <w:szCs w:val="32"/>
        </w:rPr>
        <w:t>二是</w:t>
      </w:r>
      <w:r>
        <w:rPr>
          <w:rFonts w:ascii="仿宋_GB2312" w:eastAsia="仿宋_GB2312"/>
          <w:b/>
          <w:kern w:val="0"/>
          <w:sz w:val="32"/>
          <w:szCs w:val="32"/>
        </w:rPr>
        <w:t>部分项目专项资金用途、开支标准不明确</w:t>
      </w:r>
      <w:r>
        <w:rPr>
          <w:rFonts w:ascii="仿宋_GB2312" w:eastAsia="仿宋_GB2312" w:hint="eastAsia"/>
          <w:kern w:val="0"/>
          <w:sz w:val="32"/>
          <w:szCs w:val="32"/>
        </w:rPr>
        <w:t>。</w:t>
      </w:r>
    </w:p>
    <w:p w14:paraId="36B3666E" w14:textId="77777777" w:rsidR="00DF6389" w:rsidRDefault="00E31CF2">
      <w:pPr>
        <w:widowControl/>
        <w:ind w:firstLineChars="200" w:firstLine="640"/>
        <w:jc w:val="left"/>
        <w:rPr>
          <w:rFonts w:ascii="仿宋_GB2312" w:eastAsia="仿宋_GB2312"/>
          <w:sz w:val="32"/>
          <w:szCs w:val="32"/>
        </w:rPr>
      </w:pPr>
      <w:r>
        <w:rPr>
          <w:rFonts w:ascii="仿宋_GB2312" w:eastAsia="仿宋_GB2312" w:hint="eastAsia"/>
          <w:sz w:val="32"/>
          <w:szCs w:val="32"/>
        </w:rPr>
        <w:t>建议：在专项资金下达的工作任务和资金分配方案中，明确项目支出内容，完善细化标准。</w:t>
      </w:r>
    </w:p>
    <w:p w14:paraId="1B6D5C76" w14:textId="77777777" w:rsidR="00DF6389" w:rsidRDefault="00DF6389"/>
    <w:sectPr w:rsidR="00DF63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E551E" w14:textId="77777777" w:rsidR="00A40E2A" w:rsidRDefault="00A40E2A" w:rsidP="007D54AB">
      <w:r>
        <w:separator/>
      </w:r>
    </w:p>
  </w:endnote>
  <w:endnote w:type="continuationSeparator" w:id="0">
    <w:p w14:paraId="30719710" w14:textId="77777777" w:rsidR="00A40E2A" w:rsidRDefault="00A40E2A" w:rsidP="007D5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9DEF5" w14:textId="77777777" w:rsidR="00A40E2A" w:rsidRDefault="00A40E2A" w:rsidP="007D54AB">
      <w:r>
        <w:separator/>
      </w:r>
    </w:p>
  </w:footnote>
  <w:footnote w:type="continuationSeparator" w:id="0">
    <w:p w14:paraId="7E4EF259" w14:textId="77777777" w:rsidR="00A40E2A" w:rsidRDefault="00A40E2A" w:rsidP="007D54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7E6ED"/>
    <w:multiLevelType w:val="singleLevel"/>
    <w:tmpl w:val="0607E6ED"/>
    <w:lvl w:ilvl="0">
      <w:start w:val="4"/>
      <w:numFmt w:val="chineseCounting"/>
      <w:suff w:val="nothing"/>
      <w:lvlText w:val="（%1）"/>
      <w:lvlJc w:val="left"/>
      <w:rPr>
        <w:rFonts w:hint="eastAsia"/>
      </w:rPr>
    </w:lvl>
  </w:abstractNum>
  <w:abstractNum w:abstractNumId="1" w15:restartNumberingAfterBreak="0">
    <w:nsid w:val="2F2E5C88"/>
    <w:multiLevelType w:val="singleLevel"/>
    <w:tmpl w:val="2F2E5C88"/>
    <w:lvl w:ilvl="0">
      <w:start w:val="7"/>
      <w:numFmt w:val="chineseCounting"/>
      <w:suff w:val="nothing"/>
      <w:lvlText w:val="（%1）"/>
      <w:lvlJc w:val="left"/>
      <w:rPr>
        <w:rFonts w:hint="eastAsia"/>
      </w:rPr>
    </w:lvl>
  </w:abstractNum>
  <w:abstractNum w:abstractNumId="2" w15:restartNumberingAfterBreak="0">
    <w:nsid w:val="6C5B1B0C"/>
    <w:multiLevelType w:val="multilevel"/>
    <w:tmpl w:val="6C5B1B0C"/>
    <w:lvl w:ilvl="0">
      <w:start w:val="1"/>
      <w:numFmt w:val="japaneseCounting"/>
      <w:lvlText w:val="%1、"/>
      <w:lvlJc w:val="left"/>
      <w:pPr>
        <w:tabs>
          <w:tab w:val="left" w:pos="0"/>
        </w:tabs>
        <w:ind w:left="1347" w:hanging="720"/>
      </w:pPr>
      <w:rPr>
        <w:rFonts w:hint="default"/>
      </w:rPr>
    </w:lvl>
    <w:lvl w:ilvl="1">
      <w:start w:val="1"/>
      <w:numFmt w:val="lowerLetter"/>
      <w:lvlText w:val="%2)"/>
      <w:lvlJc w:val="left"/>
      <w:pPr>
        <w:tabs>
          <w:tab w:val="left" w:pos="0"/>
        </w:tabs>
        <w:ind w:left="1467" w:hanging="420"/>
      </w:pPr>
    </w:lvl>
    <w:lvl w:ilvl="2">
      <w:start w:val="1"/>
      <w:numFmt w:val="lowerRoman"/>
      <w:lvlText w:val="%3."/>
      <w:lvlJc w:val="right"/>
      <w:pPr>
        <w:tabs>
          <w:tab w:val="left" w:pos="0"/>
        </w:tabs>
        <w:ind w:left="1887" w:hanging="420"/>
      </w:pPr>
    </w:lvl>
    <w:lvl w:ilvl="3">
      <w:start w:val="1"/>
      <w:numFmt w:val="decimal"/>
      <w:lvlText w:val="%4."/>
      <w:lvlJc w:val="left"/>
      <w:pPr>
        <w:tabs>
          <w:tab w:val="left" w:pos="0"/>
        </w:tabs>
        <w:ind w:left="2307" w:hanging="420"/>
      </w:pPr>
    </w:lvl>
    <w:lvl w:ilvl="4">
      <w:start w:val="1"/>
      <w:numFmt w:val="lowerLetter"/>
      <w:lvlText w:val="%5)"/>
      <w:lvlJc w:val="left"/>
      <w:pPr>
        <w:tabs>
          <w:tab w:val="left" w:pos="0"/>
        </w:tabs>
        <w:ind w:left="2727" w:hanging="420"/>
      </w:pPr>
    </w:lvl>
    <w:lvl w:ilvl="5">
      <w:start w:val="1"/>
      <w:numFmt w:val="lowerRoman"/>
      <w:lvlText w:val="%6."/>
      <w:lvlJc w:val="right"/>
      <w:pPr>
        <w:tabs>
          <w:tab w:val="left" w:pos="0"/>
        </w:tabs>
        <w:ind w:left="3147" w:hanging="420"/>
      </w:pPr>
    </w:lvl>
    <w:lvl w:ilvl="6">
      <w:start w:val="1"/>
      <w:numFmt w:val="decimal"/>
      <w:lvlText w:val="%7."/>
      <w:lvlJc w:val="left"/>
      <w:pPr>
        <w:tabs>
          <w:tab w:val="left" w:pos="0"/>
        </w:tabs>
        <w:ind w:left="3567" w:hanging="420"/>
      </w:pPr>
    </w:lvl>
    <w:lvl w:ilvl="7">
      <w:start w:val="1"/>
      <w:numFmt w:val="lowerLetter"/>
      <w:lvlText w:val="%8)"/>
      <w:lvlJc w:val="left"/>
      <w:pPr>
        <w:tabs>
          <w:tab w:val="left" w:pos="0"/>
        </w:tabs>
        <w:ind w:left="3987" w:hanging="420"/>
      </w:pPr>
    </w:lvl>
    <w:lvl w:ilvl="8">
      <w:start w:val="1"/>
      <w:numFmt w:val="lowerRoman"/>
      <w:lvlText w:val="%9."/>
      <w:lvlJc w:val="right"/>
      <w:pPr>
        <w:tabs>
          <w:tab w:val="left" w:pos="0"/>
        </w:tabs>
        <w:ind w:left="4407"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CF0"/>
    <w:rsid w:val="000A19EB"/>
    <w:rsid w:val="000E3CF0"/>
    <w:rsid w:val="000F2E8D"/>
    <w:rsid w:val="001130E1"/>
    <w:rsid w:val="00117AEB"/>
    <w:rsid w:val="001653EC"/>
    <w:rsid w:val="001D50A8"/>
    <w:rsid w:val="001E762F"/>
    <w:rsid w:val="002265C7"/>
    <w:rsid w:val="00235913"/>
    <w:rsid w:val="00321344"/>
    <w:rsid w:val="00326FB4"/>
    <w:rsid w:val="00392E66"/>
    <w:rsid w:val="003A22D3"/>
    <w:rsid w:val="003A2EBE"/>
    <w:rsid w:val="00443DB0"/>
    <w:rsid w:val="0049513A"/>
    <w:rsid w:val="004A06B8"/>
    <w:rsid w:val="004A46A6"/>
    <w:rsid w:val="004F5E1B"/>
    <w:rsid w:val="00507DAD"/>
    <w:rsid w:val="0054736C"/>
    <w:rsid w:val="005637DC"/>
    <w:rsid w:val="00582872"/>
    <w:rsid w:val="005B55DA"/>
    <w:rsid w:val="005C0702"/>
    <w:rsid w:val="005C6734"/>
    <w:rsid w:val="00620D92"/>
    <w:rsid w:val="00632073"/>
    <w:rsid w:val="00642603"/>
    <w:rsid w:val="00732406"/>
    <w:rsid w:val="007356F6"/>
    <w:rsid w:val="007B0809"/>
    <w:rsid w:val="007C2B7F"/>
    <w:rsid w:val="007C3188"/>
    <w:rsid w:val="007C7CA7"/>
    <w:rsid w:val="007D54AB"/>
    <w:rsid w:val="007F5B53"/>
    <w:rsid w:val="00825D04"/>
    <w:rsid w:val="0087728C"/>
    <w:rsid w:val="008B1B71"/>
    <w:rsid w:val="00986774"/>
    <w:rsid w:val="009C7B39"/>
    <w:rsid w:val="00A134E5"/>
    <w:rsid w:val="00A17A0B"/>
    <w:rsid w:val="00A40E2A"/>
    <w:rsid w:val="00A45BFC"/>
    <w:rsid w:val="00A85237"/>
    <w:rsid w:val="00B04DA1"/>
    <w:rsid w:val="00C453CB"/>
    <w:rsid w:val="00C77E0D"/>
    <w:rsid w:val="00C94D33"/>
    <w:rsid w:val="00D11D20"/>
    <w:rsid w:val="00D36846"/>
    <w:rsid w:val="00D43D3D"/>
    <w:rsid w:val="00D569A2"/>
    <w:rsid w:val="00D97E40"/>
    <w:rsid w:val="00DB597D"/>
    <w:rsid w:val="00DF6389"/>
    <w:rsid w:val="00E11408"/>
    <w:rsid w:val="00E31CF2"/>
    <w:rsid w:val="00EA016B"/>
    <w:rsid w:val="00EA60CF"/>
    <w:rsid w:val="00EC3B19"/>
    <w:rsid w:val="00F04F37"/>
    <w:rsid w:val="00F70DA5"/>
    <w:rsid w:val="02131C1F"/>
    <w:rsid w:val="055218AB"/>
    <w:rsid w:val="0DFA7B4E"/>
    <w:rsid w:val="164B638B"/>
    <w:rsid w:val="1733623E"/>
    <w:rsid w:val="18F759BD"/>
    <w:rsid w:val="1E1348B5"/>
    <w:rsid w:val="1F167967"/>
    <w:rsid w:val="21FD57C0"/>
    <w:rsid w:val="22AB4531"/>
    <w:rsid w:val="22C144F7"/>
    <w:rsid w:val="22FC7BC3"/>
    <w:rsid w:val="2590021F"/>
    <w:rsid w:val="25F17156"/>
    <w:rsid w:val="27AE51F7"/>
    <w:rsid w:val="2BDB34B2"/>
    <w:rsid w:val="2BF36C02"/>
    <w:rsid w:val="2FE01F93"/>
    <w:rsid w:val="31587464"/>
    <w:rsid w:val="343D0DBE"/>
    <w:rsid w:val="356A03E0"/>
    <w:rsid w:val="386041AC"/>
    <w:rsid w:val="3D5F19F5"/>
    <w:rsid w:val="41194B80"/>
    <w:rsid w:val="425B277D"/>
    <w:rsid w:val="45130F27"/>
    <w:rsid w:val="48EB5056"/>
    <w:rsid w:val="49027317"/>
    <w:rsid w:val="49E827C1"/>
    <w:rsid w:val="4DD932CB"/>
    <w:rsid w:val="4E3940B6"/>
    <w:rsid w:val="518F0503"/>
    <w:rsid w:val="51BE7EB1"/>
    <w:rsid w:val="595166C0"/>
    <w:rsid w:val="5B165935"/>
    <w:rsid w:val="5C4F78D1"/>
    <w:rsid w:val="6028641C"/>
    <w:rsid w:val="63ED0D5C"/>
    <w:rsid w:val="6A0642FC"/>
    <w:rsid w:val="73891B4C"/>
    <w:rsid w:val="77970717"/>
    <w:rsid w:val="7F4E5149"/>
    <w:rsid w:val="7FB43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64B88B"/>
  <w15:docId w15:val="{5D9194D1-5AF3-4799-B090-1636EB7C7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微软雅黑"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style>
  <w:style w:type="paragraph" w:styleId="a8">
    <w:name w:val="Body Text"/>
    <w:basedOn w:val="a"/>
    <w:link w:val="a9"/>
    <w:uiPriority w:val="99"/>
    <w:qFormat/>
    <w:rsid w:val="008B1B71"/>
    <w:pPr>
      <w:spacing w:after="120"/>
    </w:pPr>
    <w:rPr>
      <w:rFonts w:ascii="Times New Roman" w:eastAsia="仿宋_GB2312" w:hAnsi="Times New Roman" w:cstheme="minorBidi"/>
      <w:sz w:val="32"/>
    </w:rPr>
  </w:style>
  <w:style w:type="character" w:customStyle="1" w:styleId="a9">
    <w:name w:val="正文文本 字符"/>
    <w:basedOn w:val="a0"/>
    <w:link w:val="a8"/>
    <w:uiPriority w:val="99"/>
    <w:qFormat/>
    <w:rsid w:val="008B1B71"/>
    <w:rPr>
      <w:rFonts w:ascii="Times New Roman" w:eastAsia="仿宋_GB2312" w:hAnsi="Times New Roman" w:cstheme="minorBidi"/>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BE55C9-5271-4389-BF8E-5E70D451E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535</Words>
  <Characters>3051</Characters>
  <Application>Microsoft Office Word</Application>
  <DocSecurity>0</DocSecurity>
  <Lines>25</Lines>
  <Paragraphs>7</Paragraphs>
  <ScaleCrop>false</ScaleCrop>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珏 王</dc:creator>
  <cp:lastModifiedBy>珏 王</cp:lastModifiedBy>
  <cp:revision>16</cp:revision>
  <cp:lastPrinted>2022-03-11T06:30:00Z</cp:lastPrinted>
  <dcterms:created xsi:type="dcterms:W3CDTF">2022-06-09T05:38:00Z</dcterms:created>
  <dcterms:modified xsi:type="dcterms:W3CDTF">2022-09-23T06:18:00Z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