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rFonts w:hint="eastAsia"/>
          <w:sz w:val="56"/>
          <w:szCs w:val="56"/>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sz w:val="84"/>
          <w:szCs w:val="84"/>
        </w:rPr>
      </w:pPr>
      <w:r>
        <w:rPr>
          <w:rFonts w:hint="eastAsia"/>
          <w:sz w:val="84"/>
          <w:szCs w:val="84"/>
        </w:rPr>
        <w:t>2021年度</w:t>
      </w:r>
    </w:p>
    <w:p>
      <w:pPr>
        <w:pStyle w:val="14"/>
        <w:jc w:val="center"/>
        <w:rPr>
          <w:sz w:val="84"/>
          <w:szCs w:val="84"/>
        </w:rPr>
      </w:pPr>
      <w:r>
        <w:rPr>
          <w:rFonts w:hint="eastAsia"/>
          <w:sz w:val="84"/>
          <w:szCs w:val="84"/>
          <w:lang w:eastAsia="zh-CN"/>
        </w:rPr>
        <w:t>岳阳市生态环境局湘阴分局</w:t>
      </w:r>
      <w:r>
        <w:rPr>
          <w:rFonts w:hint="eastAsia"/>
          <w:sz w:val="84"/>
          <w:szCs w:val="84"/>
        </w:rPr>
        <w:t>部门决算</w:t>
      </w: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jc w:val="center"/>
        <w:rPr>
          <w:sz w:val="32"/>
          <w:szCs w:val="32"/>
        </w:rPr>
      </w:pPr>
    </w:p>
    <w:p>
      <w:pPr>
        <w:pStyle w:val="14"/>
        <w:jc w:val="center"/>
        <w:rPr>
          <w:sz w:val="32"/>
          <w:szCs w:val="32"/>
        </w:rPr>
      </w:pPr>
    </w:p>
    <w:p>
      <w:pPr>
        <w:pStyle w:val="14"/>
        <w:jc w:val="center"/>
        <w:rPr>
          <w:sz w:val="32"/>
          <w:szCs w:val="32"/>
        </w:rPr>
      </w:pPr>
    </w:p>
    <w:p>
      <w:pPr>
        <w:pStyle w:val="14"/>
        <w:spacing w:line="500" w:lineRule="exact"/>
        <w:jc w:val="both"/>
        <w:rPr>
          <w:b/>
          <w:sz w:val="36"/>
          <w:szCs w:val="28"/>
        </w:rPr>
      </w:pPr>
    </w:p>
    <w:p>
      <w:pPr>
        <w:pStyle w:val="14"/>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4"/>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岳阳市生态环境局湘阴分局</w:t>
      </w:r>
      <w:r>
        <w:rPr>
          <w:rFonts w:hint="eastAsia"/>
          <w:b/>
          <w:sz w:val="28"/>
          <w:szCs w:val="28"/>
        </w:rPr>
        <w:t>概况</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4"/>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4"/>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4"/>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4"/>
        <w:jc w:val="center"/>
        <w:rPr>
          <w:sz w:val="84"/>
          <w:szCs w:val="84"/>
        </w:rPr>
      </w:pPr>
      <w:r>
        <w:rPr>
          <w:rFonts w:hint="eastAsia"/>
          <w:sz w:val="84"/>
          <w:szCs w:val="84"/>
        </w:rPr>
        <w:t>第一部分</w:t>
      </w:r>
      <w:r>
        <w:rPr>
          <w:sz w:val="84"/>
          <w:szCs w:val="84"/>
        </w:rPr>
        <w:t xml:space="preserve"> </w:t>
      </w:r>
    </w:p>
    <w:p>
      <w:pPr>
        <w:pStyle w:val="14"/>
        <w:jc w:val="center"/>
        <w:rPr>
          <w:sz w:val="84"/>
          <w:szCs w:val="84"/>
        </w:rPr>
      </w:pPr>
    </w:p>
    <w:p>
      <w:pPr>
        <w:pStyle w:val="14"/>
        <w:jc w:val="center"/>
        <w:rPr>
          <w:sz w:val="84"/>
          <w:szCs w:val="84"/>
        </w:rPr>
      </w:pPr>
      <w:r>
        <w:rPr>
          <w:rFonts w:hint="eastAsia"/>
          <w:sz w:val="84"/>
          <w:szCs w:val="84"/>
          <w:lang w:eastAsia="zh-CN"/>
        </w:rPr>
        <w:t>岳阳市生态环境局湘阴分局</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5"/>
        <w:ind w:left="720" w:firstLine="0" w:firstLineChars="0"/>
        <w:jc w:val="left"/>
        <w:rPr>
          <w:rFonts w:ascii="黑体" w:hAnsi="黑体" w:eastAsia="黑体"/>
          <w:sz w:val="32"/>
          <w:szCs w:val="32"/>
        </w:rPr>
      </w:pPr>
    </w:p>
    <w:p>
      <w:pPr>
        <w:pStyle w:val="15"/>
        <w:ind w:left="720" w:firstLine="0" w:firstLineChars="0"/>
        <w:jc w:val="left"/>
        <w:rPr>
          <w:rFonts w:ascii="黑体" w:hAnsi="黑体" w:eastAsia="黑体"/>
          <w:sz w:val="32"/>
          <w:szCs w:val="32"/>
        </w:rPr>
      </w:pPr>
    </w:p>
    <w:p>
      <w:pPr>
        <w:pStyle w:val="15"/>
        <w:ind w:left="720" w:firstLine="0" w:firstLineChars="0"/>
        <w:jc w:val="left"/>
        <w:rPr>
          <w:rFonts w:ascii="黑体" w:hAnsi="黑体" w:eastAsia="黑体"/>
          <w:sz w:val="32"/>
          <w:szCs w:val="32"/>
        </w:rPr>
      </w:pPr>
    </w:p>
    <w:p>
      <w:pPr>
        <w:pStyle w:val="15"/>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i/>
          <w:iCs/>
          <w:sz w:val="32"/>
          <w:szCs w:val="32"/>
        </w:rPr>
      </w:pPr>
      <w:r>
        <w:rPr>
          <w:rFonts w:hint="eastAsia" w:ascii="仿宋" w:hAnsi="仿宋" w:eastAsia="仿宋" w:cs="仿宋"/>
          <w:b w:val="0"/>
          <w:bCs w:val="0"/>
          <w:i w:val="0"/>
          <w:iCs w:val="0"/>
          <w:color w:val="000000"/>
          <w:sz w:val="32"/>
          <w:szCs w:val="32"/>
        </w:rPr>
        <w:t>依照国家和省市有关法律、法规、政策，对全县环境保护工作实施统一监督管理，保护和改善生活环境与生态环境，防治污染和其他公害，保障公民身体健康，促进经济和社会持续、协调、健康的发展。</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8"/>
        <w:keepNext w:val="0"/>
        <w:keepLines w:val="0"/>
        <w:widowControl/>
        <w:suppressLineNumbers w:val="0"/>
        <w:spacing w:before="0" w:beforeAutospacing="0" w:after="0" w:afterAutospacing="0" w:line="26" w:lineRule="atLeast"/>
        <w:ind w:left="0" w:right="0" w:firstLine="420"/>
        <w:jc w:val="both"/>
        <w:rPr>
          <w:rFonts w:hint="eastAsia" w:asciiTheme="minorEastAsia" w:hAnsiTheme="minorEastAsia" w:eastAsiaTheme="minorEastAsia"/>
          <w:bCs/>
          <w:i/>
          <w:iCs/>
          <w:color w:val="FF0000"/>
          <w:kern w:val="0"/>
          <w:sz w:val="32"/>
          <w:szCs w:val="32"/>
          <w:lang w:eastAsia="zh-CN"/>
        </w:rPr>
      </w:pPr>
      <w:r>
        <w:rPr>
          <w:rFonts w:hint="eastAsia" w:asciiTheme="minorEastAsia" w:hAnsiTheme="minorEastAsia"/>
          <w:bCs/>
          <w:kern w:val="0"/>
          <w:sz w:val="32"/>
          <w:szCs w:val="32"/>
        </w:rPr>
        <w:t>（一）内设机构设置。</w:t>
      </w:r>
      <w:r>
        <w:rPr>
          <w:rFonts w:hint="eastAsia" w:ascii="仿宋" w:hAnsi="仿宋" w:eastAsia="仿宋" w:cs="仿宋"/>
          <w:b w:val="0"/>
          <w:bCs w:val="0"/>
          <w:i w:val="0"/>
          <w:iCs w:val="0"/>
          <w:color w:val="000000"/>
          <w:sz w:val="32"/>
          <w:szCs w:val="32"/>
        </w:rPr>
        <w:t>岳阳市生态环境局湘阴分局是一个监督管理全县环境保护工作的人民政府工作部门。生态环境局机关内设办公室、</w:t>
      </w:r>
      <w:r>
        <w:rPr>
          <w:rFonts w:hint="eastAsia" w:ascii="仿宋" w:hAnsi="仿宋" w:eastAsia="仿宋" w:cs="仿宋"/>
          <w:b w:val="0"/>
          <w:bCs w:val="0"/>
          <w:i w:val="0"/>
          <w:iCs w:val="0"/>
          <w:color w:val="000000"/>
          <w:sz w:val="32"/>
          <w:szCs w:val="32"/>
          <w:lang w:eastAsia="zh-CN"/>
        </w:rPr>
        <w:t>科财</w:t>
      </w:r>
      <w:r>
        <w:rPr>
          <w:rFonts w:hint="eastAsia" w:ascii="仿宋" w:hAnsi="仿宋" w:eastAsia="仿宋" w:cs="仿宋"/>
          <w:b w:val="0"/>
          <w:bCs w:val="0"/>
          <w:i w:val="0"/>
          <w:iCs w:val="0"/>
          <w:color w:val="000000"/>
          <w:sz w:val="32"/>
          <w:szCs w:val="32"/>
        </w:rPr>
        <w:t>股、</w:t>
      </w:r>
      <w:r>
        <w:rPr>
          <w:rFonts w:hint="eastAsia" w:ascii="仿宋" w:hAnsi="仿宋" w:eastAsia="仿宋" w:cs="仿宋"/>
          <w:b w:val="0"/>
          <w:bCs w:val="0"/>
          <w:i w:val="0"/>
          <w:iCs w:val="0"/>
          <w:color w:val="000000"/>
          <w:sz w:val="32"/>
          <w:szCs w:val="32"/>
          <w:lang w:eastAsia="zh-CN"/>
        </w:rPr>
        <w:t>水生态环境</w:t>
      </w:r>
      <w:r>
        <w:rPr>
          <w:rFonts w:hint="eastAsia" w:ascii="仿宋" w:hAnsi="仿宋" w:eastAsia="仿宋" w:cs="仿宋"/>
          <w:b w:val="0"/>
          <w:bCs w:val="0"/>
          <w:i w:val="0"/>
          <w:iCs w:val="0"/>
          <w:color w:val="000000"/>
          <w:sz w:val="32"/>
          <w:szCs w:val="32"/>
        </w:rPr>
        <w:t>股、人事股、法制股、</w:t>
      </w:r>
      <w:r>
        <w:rPr>
          <w:rFonts w:hint="eastAsia" w:ascii="仿宋" w:hAnsi="仿宋" w:eastAsia="仿宋" w:cs="仿宋"/>
          <w:b w:val="0"/>
          <w:bCs w:val="0"/>
          <w:i w:val="0"/>
          <w:iCs w:val="0"/>
          <w:color w:val="000000"/>
          <w:sz w:val="32"/>
          <w:szCs w:val="32"/>
          <w:lang w:eastAsia="zh-CN"/>
        </w:rPr>
        <w:t>党建办、工会、大气股、行政审批股、应急中心、土壤股、固废站、生态环境监督股、信息中心</w:t>
      </w:r>
      <w:r>
        <w:rPr>
          <w:rFonts w:hint="eastAsia" w:ascii="仿宋" w:hAnsi="仿宋" w:eastAsia="仿宋" w:cs="仿宋"/>
          <w:b w:val="0"/>
          <w:bCs w:val="0"/>
          <w:i w:val="0"/>
          <w:iCs w:val="0"/>
          <w:color w:val="000000"/>
          <w:sz w:val="32"/>
          <w:szCs w:val="32"/>
        </w:rPr>
        <w:t>1</w:t>
      </w:r>
      <w:r>
        <w:rPr>
          <w:rFonts w:hint="eastAsia" w:ascii="仿宋" w:hAnsi="仿宋" w:eastAsia="仿宋" w:cs="仿宋"/>
          <w:b w:val="0"/>
          <w:bCs w:val="0"/>
          <w:i w:val="0"/>
          <w:iCs w:val="0"/>
          <w:color w:val="000000"/>
          <w:sz w:val="32"/>
          <w:szCs w:val="32"/>
          <w:lang w:val="en-US" w:eastAsia="zh-CN"/>
        </w:rPr>
        <w:t>4</w:t>
      </w:r>
      <w:r>
        <w:rPr>
          <w:rFonts w:hint="eastAsia" w:ascii="仿宋" w:hAnsi="仿宋" w:eastAsia="仿宋" w:cs="仿宋"/>
          <w:b w:val="0"/>
          <w:bCs w:val="0"/>
          <w:i w:val="0"/>
          <w:iCs w:val="0"/>
          <w:color w:val="000000"/>
          <w:sz w:val="32"/>
          <w:szCs w:val="32"/>
        </w:rPr>
        <w:t>个股室。下辖</w:t>
      </w:r>
      <w:r>
        <w:rPr>
          <w:rFonts w:hint="eastAsia" w:ascii="仿宋" w:hAnsi="仿宋" w:eastAsia="仿宋" w:cs="仿宋"/>
          <w:b w:val="0"/>
          <w:bCs w:val="0"/>
          <w:i w:val="0"/>
          <w:iCs w:val="0"/>
          <w:color w:val="000000"/>
          <w:sz w:val="32"/>
          <w:szCs w:val="32"/>
          <w:lang w:eastAsia="zh-CN"/>
        </w:rPr>
        <w:t>综合行政执法</w:t>
      </w:r>
      <w:r>
        <w:rPr>
          <w:rFonts w:hint="eastAsia" w:ascii="仿宋" w:hAnsi="仿宋" w:eastAsia="仿宋" w:cs="仿宋"/>
          <w:b w:val="0"/>
          <w:bCs w:val="0"/>
          <w:i w:val="0"/>
          <w:iCs w:val="0"/>
          <w:color w:val="000000"/>
          <w:sz w:val="32"/>
          <w:szCs w:val="32"/>
        </w:rPr>
        <w:t>大队、环境监测站</w:t>
      </w:r>
      <w:r>
        <w:rPr>
          <w:rFonts w:hint="eastAsia" w:ascii="仿宋" w:hAnsi="仿宋" w:eastAsia="仿宋" w:cs="仿宋"/>
          <w:b w:val="0"/>
          <w:bCs w:val="0"/>
          <w:i w:val="0"/>
          <w:iCs w:val="0"/>
          <w:color w:val="000000"/>
          <w:sz w:val="32"/>
          <w:szCs w:val="32"/>
          <w:lang w:val="en-US" w:eastAsia="zh-CN"/>
        </w:rPr>
        <w:t>2</w:t>
      </w:r>
      <w:r>
        <w:rPr>
          <w:rFonts w:hint="eastAsia" w:ascii="仿宋" w:hAnsi="仿宋" w:eastAsia="仿宋" w:cs="仿宋"/>
          <w:b w:val="0"/>
          <w:bCs w:val="0"/>
          <w:i w:val="0"/>
          <w:iCs w:val="0"/>
          <w:color w:val="000000"/>
          <w:sz w:val="32"/>
          <w:szCs w:val="32"/>
        </w:rPr>
        <w:t>个二级机构全部纳入202</w:t>
      </w:r>
      <w:r>
        <w:rPr>
          <w:rFonts w:hint="eastAsia" w:ascii="仿宋" w:hAnsi="仿宋" w:eastAsia="仿宋" w:cs="仿宋"/>
          <w:b w:val="0"/>
          <w:bCs w:val="0"/>
          <w:i w:val="0"/>
          <w:iCs w:val="0"/>
          <w:color w:val="000000"/>
          <w:sz w:val="32"/>
          <w:szCs w:val="32"/>
          <w:lang w:val="en-US" w:eastAsia="zh-CN"/>
        </w:rPr>
        <w:t>1</w:t>
      </w:r>
      <w:r>
        <w:rPr>
          <w:rFonts w:hint="eastAsia" w:ascii="仿宋" w:hAnsi="仿宋" w:eastAsia="仿宋" w:cs="仿宋"/>
          <w:b w:val="0"/>
          <w:bCs w:val="0"/>
          <w:i w:val="0"/>
          <w:iCs w:val="0"/>
          <w:color w:val="000000"/>
          <w:sz w:val="32"/>
          <w:szCs w:val="32"/>
        </w:rPr>
        <w:t>年</w:t>
      </w:r>
      <w:r>
        <w:rPr>
          <w:rFonts w:hint="eastAsia" w:ascii="仿宋" w:hAnsi="仿宋" w:eastAsia="仿宋" w:cs="仿宋"/>
          <w:b w:val="0"/>
          <w:bCs w:val="0"/>
          <w:i w:val="0"/>
          <w:iCs w:val="0"/>
          <w:color w:val="000000"/>
          <w:sz w:val="32"/>
          <w:szCs w:val="32"/>
          <w:lang w:eastAsia="zh-CN"/>
        </w:rPr>
        <w:t>决</w:t>
      </w:r>
      <w:r>
        <w:rPr>
          <w:rFonts w:hint="eastAsia" w:ascii="仿宋" w:hAnsi="仿宋" w:eastAsia="仿宋" w:cs="仿宋"/>
          <w:b w:val="0"/>
          <w:bCs w:val="0"/>
          <w:i w:val="0"/>
          <w:iCs w:val="0"/>
          <w:color w:val="000000"/>
          <w:sz w:val="32"/>
          <w:szCs w:val="32"/>
        </w:rPr>
        <w:t>算编制范围。现有编制数1</w:t>
      </w:r>
      <w:r>
        <w:rPr>
          <w:rFonts w:hint="eastAsia" w:ascii="仿宋" w:hAnsi="仿宋" w:eastAsia="仿宋" w:cs="仿宋"/>
          <w:b w:val="0"/>
          <w:bCs w:val="0"/>
          <w:i w:val="0"/>
          <w:iCs w:val="0"/>
          <w:color w:val="000000"/>
          <w:sz w:val="32"/>
          <w:szCs w:val="32"/>
          <w:lang w:val="en-US" w:eastAsia="zh-CN"/>
        </w:rPr>
        <w:t>08</w:t>
      </w:r>
      <w:r>
        <w:rPr>
          <w:rFonts w:hint="eastAsia" w:ascii="仿宋" w:hAnsi="仿宋" w:eastAsia="仿宋" w:cs="仿宋"/>
          <w:b w:val="0"/>
          <w:bCs w:val="0"/>
          <w:i w:val="0"/>
          <w:iCs w:val="0"/>
          <w:color w:val="000000"/>
          <w:sz w:val="32"/>
          <w:szCs w:val="32"/>
        </w:rPr>
        <w:t>个，其中行政编制</w:t>
      </w:r>
      <w:r>
        <w:rPr>
          <w:rFonts w:hint="eastAsia" w:ascii="仿宋" w:hAnsi="仿宋" w:eastAsia="仿宋" w:cs="仿宋"/>
          <w:b w:val="0"/>
          <w:bCs w:val="0"/>
          <w:i w:val="0"/>
          <w:iCs w:val="0"/>
          <w:color w:val="000000"/>
          <w:sz w:val="32"/>
          <w:szCs w:val="32"/>
          <w:lang w:val="en-US" w:eastAsia="zh-CN"/>
        </w:rPr>
        <w:t>42</w:t>
      </w:r>
      <w:r>
        <w:rPr>
          <w:rFonts w:hint="eastAsia" w:ascii="仿宋" w:hAnsi="仿宋" w:eastAsia="仿宋" w:cs="仿宋"/>
          <w:b w:val="0"/>
          <w:bCs w:val="0"/>
          <w:i w:val="0"/>
          <w:iCs w:val="0"/>
          <w:color w:val="000000"/>
          <w:sz w:val="32"/>
          <w:szCs w:val="32"/>
        </w:rPr>
        <w:t>个，全额事业编制</w:t>
      </w:r>
      <w:r>
        <w:rPr>
          <w:rFonts w:hint="eastAsia" w:ascii="仿宋" w:hAnsi="仿宋" w:eastAsia="仿宋" w:cs="仿宋"/>
          <w:b w:val="0"/>
          <w:bCs w:val="0"/>
          <w:i w:val="0"/>
          <w:iCs w:val="0"/>
          <w:color w:val="000000"/>
          <w:sz w:val="32"/>
          <w:szCs w:val="32"/>
          <w:lang w:val="en-US" w:eastAsia="zh-CN"/>
        </w:rPr>
        <w:t>66</w:t>
      </w:r>
      <w:r>
        <w:rPr>
          <w:rFonts w:hint="eastAsia" w:ascii="仿宋" w:hAnsi="仿宋" w:eastAsia="仿宋" w:cs="仿宋"/>
          <w:b w:val="0"/>
          <w:bCs w:val="0"/>
          <w:i w:val="0"/>
          <w:iCs w:val="0"/>
          <w:color w:val="000000"/>
          <w:sz w:val="32"/>
          <w:szCs w:val="32"/>
        </w:rPr>
        <w:t>个。现有在职职工</w:t>
      </w:r>
      <w:r>
        <w:rPr>
          <w:rFonts w:hint="eastAsia" w:ascii="仿宋" w:hAnsi="仿宋" w:eastAsia="仿宋" w:cs="仿宋"/>
          <w:b w:val="0"/>
          <w:bCs w:val="0"/>
          <w:i w:val="0"/>
          <w:iCs w:val="0"/>
          <w:color w:val="000000"/>
          <w:sz w:val="32"/>
          <w:szCs w:val="32"/>
          <w:lang w:val="en-US" w:eastAsia="zh-CN"/>
        </w:rPr>
        <w:t>108</w:t>
      </w:r>
      <w:r>
        <w:rPr>
          <w:rFonts w:hint="eastAsia" w:ascii="仿宋" w:hAnsi="仿宋" w:eastAsia="仿宋" w:cs="仿宋"/>
          <w:b w:val="0"/>
          <w:bCs w:val="0"/>
          <w:i w:val="0"/>
          <w:iCs w:val="0"/>
          <w:color w:val="000000"/>
          <w:sz w:val="32"/>
          <w:szCs w:val="32"/>
        </w:rPr>
        <w:t>人，其中：行政人员</w:t>
      </w:r>
      <w:r>
        <w:rPr>
          <w:rFonts w:hint="eastAsia" w:ascii="仿宋" w:hAnsi="仿宋" w:eastAsia="仿宋" w:cs="仿宋"/>
          <w:b w:val="0"/>
          <w:bCs w:val="0"/>
          <w:i w:val="0"/>
          <w:iCs w:val="0"/>
          <w:color w:val="000000"/>
          <w:sz w:val="32"/>
          <w:szCs w:val="32"/>
          <w:lang w:val="en-US" w:eastAsia="zh-CN"/>
        </w:rPr>
        <w:t>42</w:t>
      </w:r>
      <w:r>
        <w:rPr>
          <w:rFonts w:hint="eastAsia" w:ascii="仿宋" w:hAnsi="仿宋" w:eastAsia="仿宋" w:cs="仿宋"/>
          <w:b w:val="0"/>
          <w:bCs w:val="0"/>
          <w:i w:val="0"/>
          <w:iCs w:val="0"/>
          <w:color w:val="000000"/>
          <w:sz w:val="32"/>
          <w:szCs w:val="32"/>
        </w:rPr>
        <w:t>人、事业人员</w:t>
      </w:r>
      <w:r>
        <w:rPr>
          <w:rFonts w:hint="eastAsia" w:ascii="仿宋" w:hAnsi="仿宋" w:eastAsia="仿宋" w:cs="仿宋"/>
          <w:b w:val="0"/>
          <w:bCs w:val="0"/>
          <w:i w:val="0"/>
          <w:iCs w:val="0"/>
          <w:color w:val="000000"/>
          <w:sz w:val="32"/>
          <w:szCs w:val="32"/>
          <w:lang w:val="en-US" w:eastAsia="zh-CN"/>
        </w:rPr>
        <w:t>66</w:t>
      </w:r>
      <w:r>
        <w:rPr>
          <w:rFonts w:hint="eastAsia" w:ascii="仿宋" w:hAnsi="仿宋" w:eastAsia="仿宋" w:cs="仿宋"/>
          <w:b w:val="0"/>
          <w:bCs w:val="0"/>
          <w:i w:val="0"/>
          <w:iCs w:val="0"/>
          <w:color w:val="000000"/>
          <w:sz w:val="32"/>
          <w:szCs w:val="32"/>
        </w:rPr>
        <w:t>人（全额事业人员</w:t>
      </w:r>
      <w:r>
        <w:rPr>
          <w:rFonts w:hint="eastAsia" w:ascii="仿宋" w:hAnsi="仿宋" w:eastAsia="仿宋" w:cs="仿宋"/>
          <w:b w:val="0"/>
          <w:bCs w:val="0"/>
          <w:i w:val="0"/>
          <w:iCs w:val="0"/>
          <w:color w:val="000000"/>
          <w:sz w:val="32"/>
          <w:szCs w:val="32"/>
          <w:lang w:val="en-US" w:eastAsia="zh-CN"/>
        </w:rPr>
        <w:t>66</w:t>
      </w:r>
      <w:r>
        <w:rPr>
          <w:rFonts w:hint="eastAsia" w:ascii="仿宋" w:hAnsi="仿宋" w:eastAsia="仿宋" w:cs="仿宋"/>
          <w:b w:val="0"/>
          <w:bCs w:val="0"/>
          <w:i w:val="0"/>
          <w:iCs w:val="0"/>
          <w:color w:val="000000"/>
          <w:sz w:val="32"/>
          <w:szCs w:val="32"/>
        </w:rPr>
        <w:t>人）；离退休人员2</w:t>
      </w:r>
      <w:r>
        <w:rPr>
          <w:rFonts w:hint="eastAsia" w:ascii="仿宋" w:hAnsi="仿宋" w:eastAsia="仿宋" w:cs="仿宋"/>
          <w:b w:val="0"/>
          <w:bCs w:val="0"/>
          <w:i w:val="0"/>
          <w:iCs w:val="0"/>
          <w:color w:val="000000"/>
          <w:sz w:val="32"/>
          <w:szCs w:val="32"/>
          <w:lang w:val="en-US" w:eastAsia="zh-CN"/>
        </w:rPr>
        <w:t>0</w:t>
      </w:r>
      <w:r>
        <w:rPr>
          <w:rFonts w:hint="eastAsia" w:ascii="仿宋" w:hAnsi="仿宋" w:eastAsia="仿宋" w:cs="仿宋"/>
          <w:b w:val="0"/>
          <w:bCs w:val="0"/>
          <w:i w:val="0"/>
          <w:iCs w:val="0"/>
          <w:color w:val="000000"/>
          <w:sz w:val="32"/>
          <w:szCs w:val="32"/>
        </w:rPr>
        <w:t>人（全额退休人员20人）。</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决算单位构成。</w:t>
      </w:r>
      <w:r>
        <w:rPr>
          <w:rFonts w:hint="eastAsia" w:asciiTheme="minorEastAsia" w:hAnsiTheme="minorEastAsia"/>
          <w:bCs/>
          <w:kern w:val="0"/>
          <w:sz w:val="32"/>
          <w:szCs w:val="32"/>
          <w:lang w:eastAsia="zh-CN"/>
        </w:rPr>
        <w:t>岳阳市生态环境局湘阴分局</w:t>
      </w:r>
      <w:r>
        <w:rPr>
          <w:rFonts w:asciiTheme="minorEastAsia" w:hAnsiTheme="minorEastAsia"/>
          <w:bCs/>
          <w:kern w:val="0"/>
          <w:sz w:val="32"/>
          <w:szCs w:val="32"/>
        </w:rPr>
        <w:t>20</w:t>
      </w:r>
      <w:r>
        <w:rPr>
          <w:rFonts w:hint="eastAsia" w:asciiTheme="minorEastAsia" w:hAnsiTheme="minorEastAsia"/>
          <w:bCs/>
          <w:kern w:val="0"/>
          <w:sz w:val="32"/>
          <w:szCs w:val="32"/>
        </w:rPr>
        <w:t>21年部门决算</w:t>
      </w:r>
      <w:r>
        <w:rPr>
          <w:rFonts w:hint="eastAsia" w:asciiTheme="minorEastAsia" w:hAnsiTheme="minorEastAsia"/>
          <w:bCs/>
          <w:kern w:val="0"/>
          <w:sz w:val="32"/>
          <w:szCs w:val="32"/>
          <w:lang w:eastAsia="zh-CN"/>
        </w:rPr>
        <w:t>只有单位本级。</w:t>
      </w:r>
    </w:p>
    <w:p>
      <w:pPr>
        <w:widowControl/>
        <w:numPr>
          <w:ilvl w:val="0"/>
          <w:numId w:val="0"/>
        </w:numPr>
        <w:spacing w:line="600" w:lineRule="exact"/>
        <w:ind w:firstLine="640" w:firstLineChars="200"/>
        <w:rPr>
          <w:rFonts w:asciiTheme="minorEastAsia" w:hAnsiTheme="minorEastAsia"/>
          <w:bCs/>
          <w:i/>
          <w:i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4"/>
        <w:jc w:val="both"/>
        <w:rPr>
          <w:sz w:val="72"/>
          <w:szCs w:val="72"/>
        </w:rPr>
      </w:pPr>
    </w:p>
    <w:p>
      <w:pPr>
        <w:pStyle w:val="14"/>
        <w:jc w:val="center"/>
        <w:rPr>
          <w:sz w:val="72"/>
          <w:szCs w:val="72"/>
        </w:rPr>
      </w:pPr>
    </w:p>
    <w:p>
      <w:pPr>
        <w:pStyle w:val="14"/>
        <w:jc w:val="center"/>
        <w:rPr>
          <w:sz w:val="72"/>
          <w:szCs w:val="72"/>
        </w:rPr>
      </w:pPr>
      <w:r>
        <w:rPr>
          <w:rFonts w:hint="eastAsia"/>
          <w:sz w:val="72"/>
          <w:szCs w:val="72"/>
        </w:rPr>
        <w:t>第三部分</w:t>
      </w:r>
    </w:p>
    <w:p>
      <w:pPr>
        <w:pStyle w:val="14"/>
        <w:jc w:val="center"/>
        <w:rPr>
          <w:sz w:val="70"/>
          <w:szCs w:val="70"/>
        </w:rPr>
      </w:pPr>
    </w:p>
    <w:p>
      <w:pPr>
        <w:pStyle w:val="14"/>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4"/>
        <w:rPr>
          <w:rFonts w:asciiTheme="minorEastAsia" w:hAnsiTheme="minorEastAsia" w:eastAsiaTheme="minorEastAsia"/>
          <w:sz w:val="32"/>
          <w:szCs w:val="32"/>
        </w:rPr>
      </w:pPr>
    </w:p>
    <w:p>
      <w:pPr>
        <w:pStyle w:val="14"/>
        <w:rPr>
          <w:rFonts w:hAnsi="黑体"/>
          <w:b/>
          <w:sz w:val="32"/>
          <w:szCs w:val="32"/>
        </w:rPr>
      </w:pPr>
      <w:r>
        <w:rPr>
          <w:rFonts w:hint="eastAsia" w:hAnsi="黑体"/>
          <w:b/>
          <w:sz w:val="32"/>
          <w:szCs w:val="32"/>
        </w:rPr>
        <w:t>一、收入支出决算总体情况说明</w:t>
      </w:r>
    </w:p>
    <w:p>
      <w:pPr>
        <w:pStyle w:val="14"/>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3933.61</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157.19</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4.4</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项目资金增加。</w:t>
      </w:r>
    </w:p>
    <w:p>
      <w:pPr>
        <w:pStyle w:val="14"/>
        <w:rPr>
          <w:rFonts w:hAnsi="黑体"/>
          <w:b/>
          <w:sz w:val="32"/>
          <w:szCs w:val="32"/>
        </w:rPr>
      </w:pPr>
      <w:r>
        <w:rPr>
          <w:rFonts w:hint="eastAsia" w:hAnsi="黑体"/>
          <w:b/>
          <w:sz w:val="32"/>
          <w:szCs w:val="32"/>
        </w:rPr>
        <w:t>二、收入决算情况说明</w:t>
      </w:r>
    </w:p>
    <w:p>
      <w:pPr>
        <w:pStyle w:val="14"/>
        <w:ind w:firstLine="640" w:firstLineChars="200"/>
        <w:rPr>
          <w:rFonts w:hint="eastAsia" w:asciiTheme="minorEastAsia" w:hAnsiTheme="minorEastAsia" w:eastAsiaTheme="minorEastAsia"/>
          <w:b w:val="0"/>
          <w:bCs w:val="0"/>
          <w:i/>
          <w:iCs/>
          <w:sz w:val="36"/>
          <w:szCs w:val="36"/>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3866.78</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1666.35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43.1</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万元；其他收入</w:t>
      </w:r>
      <w:r>
        <w:rPr>
          <w:rFonts w:hint="eastAsia" w:asciiTheme="minorEastAsia" w:hAnsiTheme="minorEastAsia" w:eastAsiaTheme="minorEastAsia"/>
          <w:sz w:val="32"/>
          <w:szCs w:val="32"/>
          <w:lang w:val="en-US" w:eastAsia="zh-CN"/>
        </w:rPr>
        <w:t>2200.43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56.9</w:t>
      </w:r>
      <w:r>
        <w:rPr>
          <w:rFonts w:hint="eastAsia" w:asciiTheme="minorEastAsia" w:hAnsiTheme="minorEastAsia" w:eastAsiaTheme="minorEastAsia"/>
          <w:sz w:val="32"/>
          <w:szCs w:val="32"/>
        </w:rPr>
        <w:t>%。</w:t>
      </w:r>
    </w:p>
    <w:p>
      <w:pPr>
        <w:pStyle w:val="14"/>
        <w:rPr>
          <w:rFonts w:hAnsi="黑体"/>
          <w:b/>
          <w:sz w:val="32"/>
          <w:szCs w:val="32"/>
        </w:rPr>
      </w:pPr>
      <w:r>
        <w:rPr>
          <w:rFonts w:hint="eastAsia" w:hAnsi="黑体"/>
          <w:b/>
          <w:sz w:val="32"/>
          <w:szCs w:val="32"/>
        </w:rPr>
        <w:t>三、支出决算情况说明</w:t>
      </w:r>
    </w:p>
    <w:p>
      <w:pPr>
        <w:pStyle w:val="14"/>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3933.6</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1622.2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41.2</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2311.4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58.8</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4"/>
        <w:rPr>
          <w:rFonts w:hAnsi="黑体"/>
          <w:b/>
          <w:sz w:val="32"/>
          <w:szCs w:val="32"/>
        </w:rPr>
      </w:pPr>
      <w:r>
        <w:rPr>
          <w:rFonts w:hint="eastAsia" w:hAnsi="黑体"/>
          <w:b/>
          <w:sz w:val="32"/>
          <w:szCs w:val="32"/>
        </w:rPr>
        <w:t>四、财政拨款收入支出决算总体情况说明</w:t>
      </w:r>
    </w:p>
    <w:p>
      <w:pPr>
        <w:pStyle w:val="14"/>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 xml:space="preserve">    2021年度财政拨款收、支总计</w:t>
      </w:r>
      <w:r>
        <w:rPr>
          <w:rFonts w:hint="eastAsia" w:asciiTheme="minorEastAsia" w:hAnsiTheme="minorEastAsia" w:eastAsiaTheme="minorEastAsia"/>
          <w:sz w:val="32"/>
          <w:szCs w:val="32"/>
          <w:lang w:val="en-US" w:eastAsia="zh-CN"/>
        </w:rPr>
        <w:t>1733.17</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268.41</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15.5</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项目支出增加。</w:t>
      </w:r>
    </w:p>
    <w:p>
      <w:pPr>
        <w:pStyle w:val="14"/>
        <w:rPr>
          <w:rFonts w:hAnsi="黑体"/>
          <w:b/>
          <w:sz w:val="32"/>
          <w:szCs w:val="32"/>
        </w:rPr>
      </w:pPr>
      <w:r>
        <w:rPr>
          <w:rFonts w:hint="eastAsia" w:hAnsi="黑体"/>
          <w:b/>
          <w:sz w:val="32"/>
          <w:szCs w:val="32"/>
        </w:rPr>
        <w:t>五、一般公共预算财政拨款支出决算情况说明</w:t>
      </w:r>
    </w:p>
    <w:p>
      <w:pPr>
        <w:pStyle w:val="14"/>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4"/>
        <w:ind w:firstLine="800" w:firstLineChars="25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1733.17</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44.06</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268.41</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15.5</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项目支出增加。</w:t>
      </w:r>
    </w:p>
    <w:p>
      <w:pPr>
        <w:pStyle w:val="14"/>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1733.17</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eastAsia="zh-CN"/>
        </w:rPr>
        <w:t>基本医疗保险缴费</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105.61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行政事业单位医疗</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48.84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；节能环保支出</w:t>
      </w:r>
      <w:r>
        <w:rPr>
          <w:rFonts w:hint="eastAsia" w:asciiTheme="minorEastAsia" w:hAnsiTheme="minorEastAsia" w:eastAsiaTheme="minorEastAsia"/>
          <w:sz w:val="32"/>
          <w:szCs w:val="32"/>
          <w:lang w:val="en-US" w:eastAsia="zh-CN"/>
        </w:rPr>
        <w:t>1556.9万元，占89.8%；其他支出21.82万元，占1.3%。</w:t>
      </w:r>
    </w:p>
    <w:p>
      <w:pPr>
        <w:pStyle w:val="14"/>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4"/>
        <w:spacing w:line="60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u w:val="none"/>
          <w:lang w:val="en-US" w:eastAsia="zh-CN"/>
        </w:rPr>
        <w:t>2021</w:t>
      </w:r>
      <w:r>
        <w:rPr>
          <w:rFonts w:ascii="Times New Roman" w:hAnsi="Times New Roman" w:eastAsia="仿宋_GB2312" w:cs="Times New Roman"/>
          <w:color w:val="auto"/>
          <w:sz w:val="32"/>
          <w:szCs w:val="32"/>
          <w:u w:val="none"/>
        </w:rPr>
        <w:t>年度财政拨款支出年初预算数为</w:t>
      </w:r>
      <w:r>
        <w:rPr>
          <w:rFonts w:hint="eastAsia" w:ascii="Times New Roman" w:hAnsi="Times New Roman" w:eastAsia="仿宋_GB2312" w:cs="Times New Roman"/>
          <w:color w:val="auto"/>
          <w:sz w:val="32"/>
          <w:szCs w:val="32"/>
          <w:u w:val="none"/>
          <w:lang w:val="en-US" w:eastAsia="zh-CN"/>
        </w:rPr>
        <w:t>1733.17</w:t>
      </w:r>
      <w:r>
        <w:rPr>
          <w:rFonts w:ascii="Times New Roman" w:hAnsi="Times New Roman" w:eastAsia="仿宋_GB2312" w:cs="Times New Roman"/>
          <w:color w:val="auto"/>
          <w:sz w:val="32"/>
          <w:szCs w:val="32"/>
          <w:u w:val="none"/>
        </w:rPr>
        <w:t xml:space="preserve">万元，支出决算数为 </w:t>
      </w:r>
      <w:r>
        <w:rPr>
          <w:rFonts w:hint="eastAsia" w:ascii="Times New Roman" w:hAnsi="Times New Roman" w:eastAsia="仿宋_GB2312" w:cs="Times New Roman"/>
          <w:color w:val="auto"/>
          <w:sz w:val="32"/>
          <w:szCs w:val="32"/>
          <w:u w:val="none"/>
          <w:lang w:val="en-US" w:eastAsia="zh-CN"/>
        </w:rPr>
        <w:t>1733.17</w:t>
      </w:r>
      <w:r>
        <w:rPr>
          <w:rFonts w:ascii="Times New Roman" w:hAnsi="Times New Roman" w:eastAsia="仿宋_GB2312" w:cs="Times New Roman"/>
          <w:color w:val="auto"/>
          <w:sz w:val="32"/>
          <w:szCs w:val="32"/>
          <w:u w:val="none"/>
        </w:rPr>
        <w:t>万元，完成年初预算的</w:t>
      </w:r>
      <w:r>
        <w:rPr>
          <w:rFonts w:hint="eastAsia" w:ascii="Times New Roman" w:hAnsi="Times New Roman" w:eastAsia="仿宋_GB2312" w:cs="Times New Roman"/>
          <w:color w:val="auto"/>
          <w:sz w:val="32"/>
          <w:szCs w:val="32"/>
          <w:u w:val="none"/>
          <w:lang w:val="en-US" w:eastAsia="zh-CN"/>
        </w:rPr>
        <w:t>100</w:t>
      </w:r>
      <w:r>
        <w:rPr>
          <w:rFonts w:ascii="Times New Roman" w:hAnsi="Times New Roman" w:eastAsia="仿宋_GB2312" w:cs="Times New Roman"/>
          <w:color w:val="auto"/>
          <w:sz w:val="32"/>
          <w:szCs w:val="32"/>
          <w:u w:val="none"/>
        </w:rPr>
        <w:t>%</w:t>
      </w:r>
      <w:r>
        <w:rPr>
          <w:rFonts w:hint="eastAsia" w:ascii="Times New Roman" w:hAnsi="Times New Roman" w:eastAsia="仿宋_GB2312" w:cs="Times New Roman"/>
          <w:color w:val="auto"/>
          <w:sz w:val="32"/>
          <w:szCs w:val="32"/>
          <w:u w:val="none"/>
          <w:lang w:eastAsia="zh-CN"/>
        </w:rPr>
        <w:t>。</w:t>
      </w:r>
      <w:r>
        <w:rPr>
          <w:rFonts w:ascii="Times New Roman" w:hAnsi="Times New Roman" w:eastAsia="仿宋_GB2312" w:cs="Times New Roman"/>
          <w:color w:val="auto"/>
          <w:sz w:val="32"/>
          <w:szCs w:val="32"/>
        </w:rPr>
        <w:t>其中：</w:t>
      </w:r>
    </w:p>
    <w:p>
      <w:pPr>
        <w:pStyle w:val="14"/>
        <w:numPr>
          <w:ilvl w:val="0"/>
          <w:numId w:val="0"/>
        </w:numPr>
        <w:ind w:leftChars="150" w:firstLine="320" w:firstLineChars="100"/>
        <w:rPr>
          <w:rFonts w:hint="eastAsia" w:ascii="Times New Roman" w:hAnsi="Times New Roman" w:eastAsia="仿宋_GB2312" w:cs="Times New Roman"/>
          <w:color w:val="auto"/>
          <w:sz w:val="32"/>
          <w:szCs w:val="32"/>
          <w:u w:val="none"/>
          <w:lang w:eastAsia="zh-CN"/>
        </w:rPr>
      </w:pPr>
      <w:r>
        <w:rPr>
          <w:rFonts w:hint="eastAsia" w:ascii="Times New Roman" w:hAnsi="Times New Roman" w:eastAsia="仿宋_GB2312" w:cs="Times New Roman"/>
          <w:color w:val="auto"/>
          <w:sz w:val="32"/>
          <w:szCs w:val="32"/>
          <w:u w:val="none"/>
          <w:lang w:val="en-US" w:eastAsia="zh-CN"/>
        </w:rPr>
        <w:t>1、</w:t>
      </w:r>
      <w:r>
        <w:rPr>
          <w:rFonts w:hint="eastAsia" w:ascii="Times New Roman" w:hAnsi="Times New Roman" w:eastAsia="仿宋_GB2312" w:cs="Times New Roman"/>
          <w:color w:val="auto"/>
          <w:sz w:val="32"/>
          <w:szCs w:val="32"/>
          <w:u w:val="none"/>
          <w:lang w:eastAsia="zh-CN"/>
        </w:rPr>
        <w:t>工资福利支出</w:t>
      </w:r>
      <w:r>
        <w:rPr>
          <w:rFonts w:ascii="Times New Roman" w:hAnsi="Times New Roman" w:eastAsia="仿宋_GB2312" w:cs="Times New Roman"/>
          <w:color w:val="auto"/>
          <w:sz w:val="32"/>
          <w:szCs w:val="32"/>
          <w:u w:val="none"/>
        </w:rPr>
        <w:t>年初预算为</w:t>
      </w:r>
      <w:r>
        <w:rPr>
          <w:rFonts w:hint="eastAsia" w:ascii="Times New Roman" w:hAnsi="Times New Roman" w:eastAsia="仿宋_GB2312" w:cs="Times New Roman"/>
          <w:color w:val="auto"/>
          <w:sz w:val="32"/>
          <w:szCs w:val="32"/>
          <w:u w:val="none"/>
          <w:lang w:val="en-US" w:eastAsia="zh-CN"/>
        </w:rPr>
        <w:t>1201.96</w:t>
      </w:r>
      <w:r>
        <w:rPr>
          <w:rFonts w:ascii="Times New Roman" w:hAnsi="Times New Roman" w:eastAsia="仿宋_GB2312" w:cs="Times New Roman"/>
          <w:color w:val="auto"/>
          <w:sz w:val="32"/>
          <w:szCs w:val="32"/>
          <w:u w:val="none"/>
        </w:rPr>
        <w:t>万元，支出决算为</w:t>
      </w:r>
      <w:r>
        <w:rPr>
          <w:rFonts w:hint="eastAsia" w:ascii="Times New Roman" w:hAnsi="Times New Roman" w:eastAsia="仿宋_GB2312" w:cs="Times New Roman"/>
          <w:color w:val="auto"/>
          <w:sz w:val="32"/>
          <w:szCs w:val="32"/>
          <w:u w:val="none"/>
          <w:lang w:val="en-US" w:eastAsia="zh-CN"/>
        </w:rPr>
        <w:t>1201.96</w:t>
      </w:r>
      <w:r>
        <w:rPr>
          <w:rFonts w:ascii="Times New Roman" w:hAnsi="Times New Roman" w:eastAsia="仿宋_GB2312" w:cs="Times New Roman"/>
          <w:color w:val="auto"/>
          <w:sz w:val="32"/>
          <w:szCs w:val="32"/>
          <w:u w:val="none"/>
        </w:rPr>
        <w:t>万元，完成年初预算的</w:t>
      </w:r>
      <w:r>
        <w:rPr>
          <w:rFonts w:hint="eastAsia" w:ascii="Times New Roman" w:hAnsi="Times New Roman" w:eastAsia="仿宋_GB2312" w:cs="Times New Roman"/>
          <w:color w:val="auto"/>
          <w:sz w:val="32"/>
          <w:szCs w:val="32"/>
          <w:u w:val="none"/>
          <w:lang w:val="en-US" w:eastAsia="zh-CN"/>
        </w:rPr>
        <w:t>100</w:t>
      </w:r>
      <w:r>
        <w:rPr>
          <w:rFonts w:ascii="Times New Roman" w:hAnsi="Times New Roman" w:eastAsia="仿宋_GB2312" w:cs="Times New Roman"/>
          <w:color w:val="auto"/>
          <w:sz w:val="32"/>
          <w:szCs w:val="32"/>
          <w:u w:val="none"/>
        </w:rPr>
        <w:t>%，决算数</w:t>
      </w:r>
      <w:r>
        <w:rPr>
          <w:rFonts w:hint="eastAsia" w:ascii="Times New Roman" w:hAnsi="Times New Roman" w:eastAsia="仿宋_GB2312" w:cs="Times New Roman"/>
          <w:color w:val="auto"/>
          <w:sz w:val="32"/>
          <w:szCs w:val="32"/>
          <w:u w:val="none"/>
          <w:lang w:eastAsia="zh-CN"/>
        </w:rPr>
        <w:t>等</w:t>
      </w:r>
      <w:r>
        <w:rPr>
          <w:rFonts w:ascii="Times New Roman" w:hAnsi="Times New Roman" w:eastAsia="仿宋_GB2312" w:cs="Times New Roman"/>
          <w:color w:val="auto"/>
          <w:sz w:val="32"/>
          <w:szCs w:val="32"/>
          <w:u w:val="none"/>
        </w:rPr>
        <w:t>于年初预算数</w:t>
      </w:r>
      <w:r>
        <w:rPr>
          <w:rFonts w:hint="eastAsia" w:ascii="Times New Roman" w:hAnsi="Times New Roman" w:eastAsia="仿宋_GB2312" w:cs="Times New Roman"/>
          <w:color w:val="auto"/>
          <w:sz w:val="32"/>
          <w:szCs w:val="32"/>
          <w:u w:val="none"/>
          <w:lang w:eastAsia="zh-CN"/>
        </w:rPr>
        <w:t>。</w:t>
      </w:r>
    </w:p>
    <w:p>
      <w:pPr>
        <w:pStyle w:val="14"/>
        <w:numPr>
          <w:ilvl w:val="0"/>
          <w:numId w:val="0"/>
        </w:numPr>
        <w:ind w:leftChars="150" w:firstLine="320" w:firstLineChars="100"/>
        <w:rPr>
          <w:rFonts w:hint="default"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2、一般商品和服务支出年初预算为221.85万元，</w:t>
      </w:r>
      <w:r>
        <w:rPr>
          <w:rFonts w:ascii="Times New Roman" w:hAnsi="Times New Roman" w:eastAsia="仿宋_GB2312" w:cs="Times New Roman"/>
          <w:color w:val="auto"/>
          <w:sz w:val="32"/>
          <w:szCs w:val="32"/>
          <w:u w:val="none"/>
        </w:rPr>
        <w:t>支出决算为</w:t>
      </w:r>
      <w:r>
        <w:rPr>
          <w:rFonts w:hint="eastAsia" w:ascii="Times New Roman" w:hAnsi="Times New Roman" w:eastAsia="仿宋_GB2312" w:cs="Times New Roman"/>
          <w:color w:val="auto"/>
          <w:sz w:val="32"/>
          <w:szCs w:val="32"/>
          <w:u w:val="none"/>
          <w:lang w:val="en-US" w:eastAsia="zh-CN"/>
        </w:rPr>
        <w:t>221.85</w:t>
      </w:r>
      <w:r>
        <w:rPr>
          <w:rFonts w:ascii="Times New Roman" w:hAnsi="Times New Roman" w:eastAsia="仿宋_GB2312" w:cs="Times New Roman"/>
          <w:color w:val="auto"/>
          <w:sz w:val="32"/>
          <w:szCs w:val="32"/>
          <w:u w:val="none"/>
        </w:rPr>
        <w:t>万元，完成年初预算的</w:t>
      </w:r>
      <w:r>
        <w:rPr>
          <w:rFonts w:hint="eastAsia" w:ascii="Times New Roman" w:hAnsi="Times New Roman" w:eastAsia="仿宋_GB2312" w:cs="Times New Roman"/>
          <w:color w:val="auto"/>
          <w:sz w:val="32"/>
          <w:szCs w:val="32"/>
          <w:u w:val="none"/>
          <w:lang w:val="en-US" w:eastAsia="zh-CN"/>
        </w:rPr>
        <w:t>100</w:t>
      </w:r>
      <w:r>
        <w:rPr>
          <w:rFonts w:ascii="Times New Roman" w:hAnsi="Times New Roman" w:eastAsia="仿宋_GB2312" w:cs="Times New Roman"/>
          <w:color w:val="auto"/>
          <w:sz w:val="32"/>
          <w:szCs w:val="32"/>
          <w:u w:val="none"/>
        </w:rPr>
        <w:t>%，决算数</w:t>
      </w:r>
      <w:r>
        <w:rPr>
          <w:rFonts w:hint="eastAsia" w:ascii="Times New Roman" w:hAnsi="Times New Roman" w:eastAsia="仿宋_GB2312" w:cs="Times New Roman"/>
          <w:color w:val="auto"/>
          <w:sz w:val="32"/>
          <w:szCs w:val="32"/>
          <w:u w:val="none"/>
          <w:lang w:eastAsia="zh-CN"/>
        </w:rPr>
        <w:t>等</w:t>
      </w:r>
      <w:r>
        <w:rPr>
          <w:rFonts w:ascii="Times New Roman" w:hAnsi="Times New Roman" w:eastAsia="仿宋_GB2312" w:cs="Times New Roman"/>
          <w:color w:val="auto"/>
          <w:sz w:val="32"/>
          <w:szCs w:val="32"/>
          <w:u w:val="none"/>
        </w:rPr>
        <w:t>于年初预算数</w:t>
      </w:r>
      <w:r>
        <w:rPr>
          <w:rFonts w:hint="eastAsia" w:ascii="Times New Roman" w:hAnsi="Times New Roman" w:eastAsia="仿宋_GB2312" w:cs="Times New Roman"/>
          <w:color w:val="auto"/>
          <w:sz w:val="32"/>
          <w:szCs w:val="32"/>
          <w:u w:val="none"/>
          <w:lang w:eastAsia="zh-CN"/>
        </w:rPr>
        <w:t>。</w:t>
      </w:r>
      <w:r>
        <w:rPr>
          <w:rFonts w:hint="eastAsia" w:ascii="Times New Roman" w:hAnsi="Times New Roman" w:eastAsia="仿宋_GB2312" w:cs="Times New Roman"/>
          <w:color w:val="auto"/>
          <w:sz w:val="32"/>
          <w:szCs w:val="32"/>
          <w:u w:val="none"/>
          <w:lang w:val="en-US" w:eastAsia="zh-CN"/>
        </w:rPr>
        <w:t xml:space="preserve">                                      3、对个人和家庭的补助支出年初预算为11.4万元，支出决算为11.4万元，</w:t>
      </w:r>
      <w:r>
        <w:rPr>
          <w:rFonts w:ascii="Times New Roman" w:hAnsi="Times New Roman" w:eastAsia="仿宋_GB2312" w:cs="Times New Roman"/>
          <w:color w:val="auto"/>
          <w:sz w:val="32"/>
          <w:szCs w:val="32"/>
          <w:u w:val="none"/>
        </w:rPr>
        <w:t>完成年初预算的</w:t>
      </w:r>
      <w:r>
        <w:rPr>
          <w:rFonts w:hint="eastAsia" w:ascii="Times New Roman" w:hAnsi="Times New Roman" w:eastAsia="仿宋_GB2312" w:cs="Times New Roman"/>
          <w:color w:val="auto"/>
          <w:sz w:val="32"/>
          <w:szCs w:val="32"/>
          <w:u w:val="none"/>
          <w:lang w:val="en-US" w:eastAsia="zh-CN"/>
        </w:rPr>
        <w:t>100</w:t>
      </w:r>
      <w:r>
        <w:rPr>
          <w:rFonts w:ascii="Times New Roman" w:hAnsi="Times New Roman" w:eastAsia="仿宋_GB2312" w:cs="Times New Roman"/>
          <w:color w:val="auto"/>
          <w:sz w:val="32"/>
          <w:szCs w:val="32"/>
          <w:u w:val="none"/>
        </w:rPr>
        <w:t>%，决算数</w:t>
      </w:r>
      <w:r>
        <w:rPr>
          <w:rFonts w:hint="eastAsia" w:ascii="Times New Roman" w:hAnsi="Times New Roman" w:eastAsia="仿宋_GB2312" w:cs="Times New Roman"/>
          <w:color w:val="auto"/>
          <w:sz w:val="32"/>
          <w:szCs w:val="32"/>
          <w:u w:val="none"/>
          <w:lang w:eastAsia="zh-CN"/>
        </w:rPr>
        <w:t>等</w:t>
      </w:r>
      <w:r>
        <w:rPr>
          <w:rFonts w:ascii="Times New Roman" w:hAnsi="Times New Roman" w:eastAsia="仿宋_GB2312" w:cs="Times New Roman"/>
          <w:color w:val="auto"/>
          <w:sz w:val="32"/>
          <w:szCs w:val="32"/>
          <w:u w:val="none"/>
        </w:rPr>
        <w:t>于年初预算数</w:t>
      </w:r>
      <w:r>
        <w:rPr>
          <w:rFonts w:hint="eastAsia" w:ascii="Times New Roman" w:hAnsi="Times New Roman" w:eastAsia="仿宋_GB2312" w:cs="Times New Roman"/>
          <w:color w:val="auto"/>
          <w:sz w:val="32"/>
          <w:szCs w:val="32"/>
          <w:u w:val="none"/>
          <w:lang w:eastAsia="zh-CN"/>
        </w:rPr>
        <w:t>。</w:t>
      </w:r>
      <w:r>
        <w:rPr>
          <w:rFonts w:hint="eastAsia" w:ascii="Times New Roman" w:hAnsi="Times New Roman" w:eastAsia="仿宋_GB2312" w:cs="Times New Roman"/>
          <w:color w:val="auto"/>
          <w:sz w:val="32"/>
          <w:szCs w:val="32"/>
          <w:u w:val="none"/>
          <w:lang w:val="en-US" w:eastAsia="zh-CN"/>
        </w:rPr>
        <w:t xml:space="preserve">  </w:t>
      </w:r>
    </w:p>
    <w:p>
      <w:pPr>
        <w:pStyle w:val="14"/>
        <w:numPr>
          <w:ilvl w:val="0"/>
          <w:numId w:val="0"/>
        </w:numPr>
        <w:ind w:leftChars="150" w:firstLine="320" w:firstLineChars="100"/>
        <w:rPr>
          <w:rFonts w:asciiTheme="minorEastAsia" w:hAnsiTheme="minorEastAsia" w:eastAsiaTheme="minorEastAsia"/>
          <w:sz w:val="32"/>
          <w:szCs w:val="32"/>
        </w:rPr>
      </w:pPr>
      <w:r>
        <w:rPr>
          <w:rFonts w:hint="eastAsia" w:ascii="Times New Roman" w:hAnsi="Times New Roman" w:eastAsia="仿宋_GB2312" w:cs="Times New Roman"/>
          <w:color w:val="auto"/>
          <w:sz w:val="32"/>
          <w:szCs w:val="32"/>
          <w:u w:val="none"/>
          <w:lang w:val="en-US" w:eastAsia="zh-CN"/>
        </w:rPr>
        <w:t>4.办公设备购置支出年初预算为1.15万元，</w:t>
      </w:r>
      <w:r>
        <w:rPr>
          <w:rFonts w:ascii="Times New Roman" w:hAnsi="Times New Roman" w:eastAsia="仿宋_GB2312" w:cs="Times New Roman"/>
          <w:color w:val="auto"/>
          <w:sz w:val="32"/>
          <w:szCs w:val="32"/>
          <w:u w:val="none"/>
        </w:rPr>
        <w:t>支出决算为</w:t>
      </w:r>
      <w:r>
        <w:rPr>
          <w:rFonts w:hint="eastAsia" w:ascii="Times New Roman" w:hAnsi="Times New Roman" w:eastAsia="仿宋_GB2312" w:cs="Times New Roman"/>
          <w:color w:val="auto"/>
          <w:sz w:val="32"/>
          <w:szCs w:val="32"/>
          <w:u w:val="none"/>
          <w:lang w:val="en-US" w:eastAsia="zh-CN"/>
        </w:rPr>
        <w:t>1.15</w:t>
      </w:r>
      <w:r>
        <w:rPr>
          <w:rFonts w:ascii="Times New Roman" w:hAnsi="Times New Roman" w:eastAsia="仿宋_GB2312" w:cs="Times New Roman"/>
          <w:color w:val="auto"/>
          <w:sz w:val="32"/>
          <w:szCs w:val="32"/>
          <w:u w:val="none"/>
        </w:rPr>
        <w:t>万元，完成年初预算的</w:t>
      </w:r>
      <w:r>
        <w:rPr>
          <w:rFonts w:hint="eastAsia" w:ascii="Times New Roman" w:hAnsi="Times New Roman" w:eastAsia="仿宋_GB2312" w:cs="Times New Roman"/>
          <w:color w:val="auto"/>
          <w:sz w:val="32"/>
          <w:szCs w:val="32"/>
          <w:u w:val="none"/>
          <w:lang w:val="en-US" w:eastAsia="zh-CN"/>
        </w:rPr>
        <w:t>100</w:t>
      </w:r>
      <w:r>
        <w:rPr>
          <w:rFonts w:ascii="Times New Roman" w:hAnsi="Times New Roman" w:eastAsia="仿宋_GB2312" w:cs="Times New Roman"/>
          <w:color w:val="auto"/>
          <w:sz w:val="32"/>
          <w:szCs w:val="32"/>
          <w:u w:val="none"/>
        </w:rPr>
        <w:t>%，决算数</w:t>
      </w:r>
      <w:r>
        <w:rPr>
          <w:rFonts w:hint="eastAsia" w:ascii="Times New Roman" w:hAnsi="Times New Roman" w:eastAsia="仿宋_GB2312" w:cs="Times New Roman"/>
          <w:color w:val="auto"/>
          <w:sz w:val="32"/>
          <w:szCs w:val="32"/>
          <w:u w:val="none"/>
          <w:lang w:eastAsia="zh-CN"/>
        </w:rPr>
        <w:t>等</w:t>
      </w:r>
      <w:r>
        <w:rPr>
          <w:rFonts w:ascii="Times New Roman" w:hAnsi="Times New Roman" w:eastAsia="仿宋_GB2312" w:cs="Times New Roman"/>
          <w:color w:val="auto"/>
          <w:sz w:val="32"/>
          <w:szCs w:val="32"/>
          <w:u w:val="none"/>
        </w:rPr>
        <w:t>于年初预算数</w:t>
      </w:r>
      <w:r>
        <w:rPr>
          <w:rFonts w:hint="eastAsia" w:ascii="Times New Roman" w:hAnsi="Times New Roman" w:eastAsia="仿宋_GB2312" w:cs="Times New Roman"/>
          <w:color w:val="auto"/>
          <w:sz w:val="32"/>
          <w:szCs w:val="32"/>
          <w:u w:val="none"/>
          <w:lang w:eastAsia="zh-CN"/>
        </w:rPr>
        <w:t>。</w:t>
      </w:r>
      <w:r>
        <w:rPr>
          <w:rFonts w:hint="eastAsia" w:ascii="Times New Roman" w:hAnsi="Times New Roman" w:eastAsia="仿宋_GB2312" w:cs="Times New Roman"/>
          <w:color w:val="auto"/>
          <w:sz w:val="32"/>
          <w:szCs w:val="32"/>
          <w:u w:val="none"/>
          <w:lang w:val="en-US" w:eastAsia="zh-CN"/>
        </w:rPr>
        <w:t xml:space="preserve">                               5、专项商品和服务支出296.81万元，</w:t>
      </w:r>
      <w:r>
        <w:rPr>
          <w:rFonts w:ascii="Times New Roman" w:hAnsi="Times New Roman" w:eastAsia="仿宋_GB2312" w:cs="Times New Roman"/>
          <w:color w:val="auto"/>
          <w:sz w:val="32"/>
          <w:szCs w:val="32"/>
          <w:u w:val="none"/>
        </w:rPr>
        <w:t>支出决算为</w:t>
      </w:r>
      <w:r>
        <w:rPr>
          <w:rFonts w:hint="eastAsia" w:ascii="Times New Roman" w:hAnsi="Times New Roman" w:eastAsia="仿宋_GB2312" w:cs="Times New Roman"/>
          <w:color w:val="auto"/>
          <w:sz w:val="32"/>
          <w:szCs w:val="32"/>
          <w:u w:val="none"/>
          <w:lang w:val="en-US" w:eastAsia="zh-CN"/>
        </w:rPr>
        <w:t>296.81</w:t>
      </w:r>
      <w:r>
        <w:rPr>
          <w:rFonts w:ascii="Times New Roman" w:hAnsi="Times New Roman" w:eastAsia="仿宋_GB2312" w:cs="Times New Roman"/>
          <w:color w:val="auto"/>
          <w:sz w:val="32"/>
          <w:szCs w:val="32"/>
          <w:u w:val="none"/>
        </w:rPr>
        <w:t>万元，完成年初预算的</w:t>
      </w:r>
      <w:r>
        <w:rPr>
          <w:rFonts w:hint="eastAsia" w:ascii="Times New Roman" w:hAnsi="Times New Roman" w:eastAsia="仿宋_GB2312" w:cs="Times New Roman"/>
          <w:color w:val="auto"/>
          <w:sz w:val="32"/>
          <w:szCs w:val="32"/>
          <w:u w:val="none"/>
          <w:lang w:val="en-US" w:eastAsia="zh-CN"/>
        </w:rPr>
        <w:t>100</w:t>
      </w:r>
      <w:r>
        <w:rPr>
          <w:rFonts w:ascii="Times New Roman" w:hAnsi="Times New Roman" w:eastAsia="仿宋_GB2312" w:cs="Times New Roman"/>
          <w:color w:val="auto"/>
          <w:sz w:val="32"/>
          <w:szCs w:val="32"/>
          <w:u w:val="none"/>
        </w:rPr>
        <w:t>%，决算数</w:t>
      </w:r>
      <w:r>
        <w:rPr>
          <w:rFonts w:hint="eastAsia" w:ascii="Times New Roman" w:hAnsi="Times New Roman" w:eastAsia="仿宋_GB2312" w:cs="Times New Roman"/>
          <w:color w:val="auto"/>
          <w:sz w:val="32"/>
          <w:szCs w:val="32"/>
          <w:u w:val="none"/>
          <w:lang w:eastAsia="zh-CN"/>
        </w:rPr>
        <w:t>等</w:t>
      </w:r>
      <w:r>
        <w:rPr>
          <w:rFonts w:ascii="Times New Roman" w:hAnsi="Times New Roman" w:eastAsia="仿宋_GB2312" w:cs="Times New Roman"/>
          <w:color w:val="auto"/>
          <w:sz w:val="32"/>
          <w:szCs w:val="32"/>
          <w:u w:val="none"/>
        </w:rPr>
        <w:t>于年初预算数</w:t>
      </w:r>
      <w:r>
        <w:rPr>
          <w:rFonts w:hint="eastAsia" w:ascii="Times New Roman" w:hAnsi="Times New Roman" w:eastAsia="仿宋_GB2312" w:cs="Times New Roman"/>
          <w:color w:val="auto"/>
          <w:sz w:val="32"/>
          <w:szCs w:val="32"/>
          <w:u w:val="none"/>
          <w:lang w:eastAsia="zh-CN"/>
        </w:rPr>
        <w:t>。</w:t>
      </w:r>
    </w:p>
    <w:p>
      <w:pPr>
        <w:pStyle w:val="14"/>
        <w:rPr>
          <w:rFonts w:hAnsi="黑体"/>
          <w:b/>
          <w:sz w:val="32"/>
          <w:szCs w:val="32"/>
        </w:rPr>
      </w:pPr>
      <w:r>
        <w:rPr>
          <w:rFonts w:hint="eastAsia" w:hAnsi="黑体"/>
          <w:b/>
          <w:sz w:val="32"/>
          <w:szCs w:val="32"/>
        </w:rPr>
        <w:t>六、一般公共预算财政拨款基本支出决算情况说明</w:t>
      </w:r>
    </w:p>
    <w:p>
      <w:pPr>
        <w:pStyle w:val="14"/>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w:t>
      </w:r>
      <w:r>
        <w:rPr>
          <w:rFonts w:hint="eastAsia" w:asciiTheme="minorEastAsia" w:hAnsiTheme="minorEastAsia" w:eastAsiaTheme="minorEastAsia"/>
          <w:sz w:val="32"/>
          <w:szCs w:val="32"/>
          <w:lang w:eastAsia="zh-CN"/>
        </w:rPr>
        <w:t>出</w:t>
      </w:r>
      <w:r>
        <w:rPr>
          <w:rFonts w:hint="eastAsia" w:asciiTheme="minorEastAsia" w:hAnsiTheme="minorEastAsia" w:eastAsiaTheme="minorEastAsia"/>
          <w:sz w:val="32"/>
          <w:szCs w:val="32"/>
          <w:lang w:val="en-US" w:eastAsia="zh-CN"/>
        </w:rPr>
        <w:t>1436.36</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1213.36</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84.5</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223</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15.5</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4"/>
        <w:rPr>
          <w:rFonts w:hAnsi="黑体"/>
          <w:b/>
          <w:sz w:val="32"/>
          <w:szCs w:val="32"/>
        </w:rPr>
      </w:pPr>
      <w:r>
        <w:rPr>
          <w:rFonts w:hint="eastAsia" w:hAnsi="黑体"/>
          <w:b/>
          <w:sz w:val="32"/>
          <w:szCs w:val="32"/>
        </w:rPr>
        <w:t>七、一般公共预算财政拨款“三公”经费支出决算情况说明</w:t>
      </w:r>
    </w:p>
    <w:p>
      <w:pPr>
        <w:pStyle w:val="14"/>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6.81</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34.05</w:t>
      </w:r>
      <w:r>
        <w:rPr>
          <w:rFonts w:hint="eastAsia" w:asciiTheme="minorEastAsia" w:hAnsiTheme="minorEastAsia" w:eastAsiaTheme="minorEastAsia"/>
          <w:sz w:val="32"/>
          <w:szCs w:val="32"/>
        </w:rPr>
        <w:t>%，其中：</w:t>
      </w:r>
    </w:p>
    <w:p>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24"/>
          <w:highlight w:val="white"/>
          <w:lang w:val="zh-CN"/>
        </w:rPr>
      </w:pPr>
      <w:r>
        <w:rPr>
          <w:rFonts w:hint="eastAsia" w:ascii="仿宋_GB2312" w:hAnsi="仿宋_GB2312" w:eastAsia="仿宋_GB2312" w:cs="仿宋_GB2312"/>
          <w:color w:val="auto"/>
          <w:sz w:val="32"/>
          <w:szCs w:val="24"/>
          <w:highlight w:val="white"/>
          <w:lang w:val="en-US"/>
        </w:rPr>
        <w:t>因公出国（境）费支出预算为0万元，支出决算为0万元，</w:t>
      </w:r>
      <w:r>
        <w:rPr>
          <w:rFonts w:hint="eastAsia" w:ascii="仿宋_GB2312" w:hAnsi="仿宋_GB2312" w:eastAsia="仿宋_GB2312" w:cs="仿宋_GB2312"/>
          <w:color w:val="auto"/>
          <w:sz w:val="32"/>
          <w:szCs w:val="24"/>
          <w:highlight w:val="white"/>
          <w:lang w:val="en-US" w:eastAsia="zh-CN"/>
        </w:rPr>
        <w:t>由于预算数为0，无法计算百分比</w:t>
      </w:r>
      <w:r>
        <w:rPr>
          <w:rFonts w:hint="eastAsia" w:ascii="仿宋_GB2312" w:hAnsi="仿宋_GB2312" w:eastAsia="仿宋_GB2312" w:cs="仿宋_GB2312"/>
          <w:color w:val="auto"/>
          <w:sz w:val="32"/>
          <w:szCs w:val="24"/>
          <w:highlight w:val="white"/>
          <w:lang w:val="en-US"/>
        </w:rPr>
        <w:t>，</w:t>
      </w:r>
      <w:r>
        <w:rPr>
          <w:rFonts w:hint="eastAsia" w:ascii="仿宋_GB2312" w:hAnsi="仿宋_GB2312" w:eastAsia="仿宋_GB2312" w:cs="仿宋_GB2312"/>
          <w:color w:val="auto"/>
          <w:sz w:val="32"/>
          <w:szCs w:val="24"/>
          <w:highlight w:val="white"/>
          <w:lang w:val="en-US" w:eastAsia="zh-CN"/>
        </w:rPr>
        <w:t>主要原因为本年未安排因公出国（境）。与上年相比无变化，主要原因是未安排外事出访活动</w:t>
      </w:r>
      <w:r>
        <w:rPr>
          <w:rFonts w:hint="eastAsia" w:ascii="仿宋_GB2312" w:hAnsi="仿宋_GB2312" w:eastAsia="仿宋_GB2312" w:cs="仿宋_GB2312"/>
          <w:color w:val="auto"/>
          <w:sz w:val="32"/>
          <w:szCs w:val="24"/>
          <w:highlight w:val="white"/>
          <w:lang w:val="en-US"/>
        </w:rPr>
        <w:t>。</w:t>
      </w:r>
      <w:r>
        <w:rPr>
          <w:rFonts w:hint="eastAsia" w:ascii="仿宋_GB2312" w:hAnsi="仿宋_GB2312" w:eastAsia="仿宋_GB2312" w:cs="仿宋_GB2312"/>
          <w:color w:val="auto"/>
          <w:sz w:val="32"/>
          <w:szCs w:val="24"/>
          <w:highlight w:val="white"/>
          <w:lang w:val="zh-CN"/>
        </w:rPr>
        <w:t xml:space="preserve"> </w:t>
      </w:r>
    </w:p>
    <w:p>
      <w:pPr>
        <w:pStyle w:val="14"/>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1.48</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14.8</w:t>
      </w:r>
      <w:r>
        <w:rPr>
          <w:rFonts w:hint="eastAsia" w:asciiTheme="minorEastAsia" w:hAnsiTheme="minorEastAsia" w:eastAsiaTheme="minorEastAsia"/>
          <w:sz w:val="32"/>
          <w:szCs w:val="32"/>
        </w:rPr>
        <w:t>%，决算数小于预算数的主要原因</w:t>
      </w:r>
      <w:r>
        <w:rPr>
          <w:rFonts w:hint="eastAsia" w:asciiTheme="minorEastAsia" w:hAnsiTheme="minorEastAsia" w:eastAsiaTheme="minorEastAsia"/>
          <w:sz w:val="32"/>
          <w:szCs w:val="32"/>
          <w:lang w:eastAsia="zh-CN"/>
        </w:rPr>
        <w:t>是严格控制公务接待费用</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0.06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上级环保督查次数增加</w:t>
      </w:r>
      <w:r>
        <w:rPr>
          <w:rFonts w:hint="eastAsia" w:asciiTheme="minorEastAsia" w:hAnsiTheme="minorEastAsia" w:eastAsiaTheme="minorEastAsia"/>
          <w:sz w:val="32"/>
          <w:szCs w:val="32"/>
        </w:rPr>
        <w:t>。</w:t>
      </w:r>
    </w:p>
    <w:p>
      <w:pPr>
        <w:pStyle w:val="14"/>
        <w:ind w:firstLine="800" w:firstLineChars="250"/>
        <w:rPr>
          <w:rFonts w:asciiTheme="minorEastAsia" w:hAnsiTheme="minorEastAsia" w:eastAsiaTheme="minorEastAsia"/>
          <w:sz w:val="32"/>
          <w:szCs w:val="32"/>
        </w:rPr>
      </w:pPr>
      <w:r>
        <w:rPr>
          <w:rFonts w:hint="eastAsia" w:ascii="仿宋_GB2312" w:hAnsi="仿宋_GB2312" w:eastAsia="仿宋_GB2312" w:cs="仿宋_GB2312"/>
          <w:color w:val="000000"/>
          <w:sz w:val="32"/>
          <w:szCs w:val="24"/>
          <w:highlight w:val="white"/>
          <w:lang w:val="en-US"/>
        </w:rPr>
        <w:t>公务用车购置费支出预算为0万元，支出决算为0万元，</w:t>
      </w:r>
      <w:r>
        <w:rPr>
          <w:rFonts w:hint="eastAsia" w:ascii="仿宋_GB2312" w:hAnsi="仿宋_GB2312" w:eastAsia="仿宋_GB2312" w:cs="仿宋_GB2312"/>
          <w:color w:val="auto"/>
          <w:sz w:val="32"/>
          <w:szCs w:val="24"/>
          <w:highlight w:val="white"/>
          <w:lang w:val="en-US" w:eastAsia="zh-CN"/>
        </w:rPr>
        <w:t>由于预算数为0，无法计算百分比</w:t>
      </w:r>
      <w:r>
        <w:rPr>
          <w:rFonts w:hint="eastAsia" w:ascii="仿宋_GB2312" w:hAnsi="仿宋_GB2312" w:eastAsia="仿宋_GB2312" w:cs="仿宋_GB2312"/>
          <w:color w:val="auto"/>
          <w:sz w:val="32"/>
          <w:szCs w:val="24"/>
          <w:highlight w:val="white"/>
          <w:lang w:val="en-US"/>
        </w:rPr>
        <w:t>，</w:t>
      </w:r>
      <w:r>
        <w:rPr>
          <w:rFonts w:hint="eastAsia" w:ascii="仿宋_GB2312" w:hAnsi="仿宋_GB2312" w:eastAsia="仿宋_GB2312" w:cs="仿宋_GB2312"/>
          <w:color w:val="auto"/>
          <w:sz w:val="32"/>
          <w:szCs w:val="24"/>
          <w:highlight w:val="white"/>
          <w:lang w:val="en-US" w:eastAsia="zh-CN"/>
        </w:rPr>
        <w:t>主要原因为本年未购置公务用车。</w:t>
      </w:r>
      <w:r>
        <w:rPr>
          <w:rFonts w:hint="eastAsia" w:ascii="仿宋_GB2312" w:hAnsi="仿宋_GB2312" w:eastAsia="仿宋_GB2312" w:cs="仿宋_GB2312"/>
          <w:color w:val="auto"/>
          <w:sz w:val="32"/>
          <w:szCs w:val="24"/>
          <w:highlight w:val="white"/>
          <w:lang w:val="en-US"/>
        </w:rPr>
        <w:t>与上年相比</w:t>
      </w:r>
      <w:r>
        <w:rPr>
          <w:rFonts w:hint="eastAsia" w:ascii="仿宋_GB2312" w:hAnsi="仿宋_GB2312" w:eastAsia="仿宋_GB2312" w:cs="仿宋_GB2312"/>
          <w:color w:val="auto"/>
          <w:sz w:val="32"/>
          <w:szCs w:val="24"/>
          <w:highlight w:val="white"/>
          <w:lang w:val="en-US" w:eastAsia="zh-CN"/>
        </w:rPr>
        <w:t>无变化，主要原因为两年均未购置公务用车</w:t>
      </w:r>
      <w:r>
        <w:rPr>
          <w:rFonts w:hint="eastAsia" w:ascii="仿宋_GB2312" w:hAnsi="仿宋_GB2312" w:eastAsia="仿宋_GB2312" w:cs="仿宋_GB2312"/>
          <w:color w:val="000000"/>
          <w:sz w:val="32"/>
          <w:szCs w:val="24"/>
          <w:highlight w:val="white"/>
          <w:lang w:val="en-US"/>
        </w:rPr>
        <w:t>。</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5.33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53.3</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严格控制三公经费</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1.43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增长</w:t>
      </w:r>
      <w:r>
        <w:rPr>
          <w:rFonts w:hint="eastAsia" w:asciiTheme="minorEastAsia" w:hAnsiTheme="minorEastAsia" w:eastAsiaTheme="minorEastAsia"/>
          <w:sz w:val="32"/>
          <w:szCs w:val="32"/>
          <w:lang w:val="en-US" w:eastAsia="zh-CN"/>
        </w:rPr>
        <w:t>26.8</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公务用车维修费用跨年度结账</w:t>
      </w:r>
      <w:r>
        <w:rPr>
          <w:rFonts w:hint="eastAsia" w:asciiTheme="minorEastAsia" w:hAnsiTheme="minorEastAsia" w:eastAsiaTheme="minorEastAsia"/>
          <w:sz w:val="32"/>
          <w:szCs w:val="32"/>
        </w:rPr>
        <w:t>。</w:t>
      </w:r>
    </w:p>
    <w:p>
      <w:pPr>
        <w:pStyle w:val="14"/>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1.48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21.7</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5.33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78.3</w:t>
      </w:r>
      <w:r>
        <w:rPr>
          <w:rFonts w:hint="eastAsia" w:asciiTheme="minorEastAsia" w:hAnsiTheme="minorEastAsia" w:eastAsiaTheme="minorEastAsia"/>
          <w:sz w:val="32"/>
          <w:szCs w:val="32"/>
        </w:rPr>
        <w:t>%。其中：</w:t>
      </w:r>
    </w:p>
    <w:p>
      <w:pPr>
        <w:pStyle w:val="14"/>
        <w:ind w:firstLine="640" w:firstLineChars="200"/>
        <w:rPr>
          <w:rFonts w:hint="eastAsia" w:asciiTheme="minorEastAsia" w:hAnsiTheme="minorEastAsia" w:eastAsiaTheme="minorEastAsia"/>
          <w:b/>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1.48</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23</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143</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上级生态环保督查</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b w:val="0"/>
          <w:bCs w:val="0"/>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5.33</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5.33</w:t>
      </w:r>
      <w:r>
        <w:rPr>
          <w:rFonts w:hint="eastAsia" w:asciiTheme="minorEastAsia" w:hAnsiTheme="minorEastAsia"/>
          <w:sz w:val="32"/>
          <w:szCs w:val="32"/>
        </w:rPr>
        <w:t>万元，主要是</w:t>
      </w:r>
      <w:r>
        <w:rPr>
          <w:rFonts w:hint="eastAsia" w:asciiTheme="minorEastAsia" w:hAnsiTheme="minorEastAsia"/>
          <w:sz w:val="32"/>
          <w:szCs w:val="32"/>
          <w:lang w:eastAsia="zh-CN"/>
        </w:rPr>
        <w:t>环境监测公务用车的运转和维护维修费用</w:t>
      </w:r>
      <w:r>
        <w:rPr>
          <w:rFonts w:hint="eastAsia" w:asciiTheme="minorEastAsia" w:hAnsiTheme="minorEastAsia"/>
          <w:sz w:val="32"/>
          <w:szCs w:val="32"/>
        </w:rPr>
        <w:t>支出，截止2021年12月31日，我单位开支财政拨款的公务用车保有量为</w:t>
      </w:r>
      <w:r>
        <w:rPr>
          <w:rFonts w:hint="eastAsia" w:asciiTheme="minorEastAsia" w:hAnsiTheme="minorEastAsia"/>
          <w:sz w:val="32"/>
          <w:szCs w:val="32"/>
          <w:lang w:val="en-US" w:eastAsia="zh-CN"/>
        </w:rPr>
        <w:t>1</w:t>
      </w:r>
      <w:r>
        <w:rPr>
          <w:rFonts w:hint="eastAsia" w:asciiTheme="minorEastAsia" w:hAnsiTheme="minorEastAsia"/>
          <w:sz w:val="32"/>
          <w:szCs w:val="32"/>
        </w:rPr>
        <w:t>辆。</w:t>
      </w:r>
    </w:p>
    <w:p>
      <w:pPr>
        <w:pStyle w:val="14"/>
        <w:rPr>
          <w:rFonts w:hAnsi="黑体"/>
          <w:b/>
          <w:sz w:val="32"/>
          <w:szCs w:val="32"/>
        </w:rPr>
      </w:pPr>
      <w:r>
        <w:rPr>
          <w:rFonts w:hint="eastAsia" w:hAnsi="黑体"/>
          <w:b/>
          <w:sz w:val="32"/>
          <w:szCs w:val="32"/>
        </w:rPr>
        <w:t>八、政府性基金预算收入支出决算情况</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本单位无政府性基金收支。</w:t>
      </w:r>
    </w:p>
    <w:p>
      <w:pPr>
        <w:pStyle w:val="14"/>
        <w:numPr>
          <w:ilvl w:val="0"/>
          <w:numId w:val="3"/>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4"/>
        <w:ind w:firstLine="640" w:firstLineChars="200"/>
        <w:rPr>
          <w:rFonts w:hint="default" w:hAnsi="黑体"/>
          <w:b/>
          <w:sz w:val="32"/>
          <w:szCs w:val="32"/>
          <w:lang w:val="en-US" w:eastAsia="zh-CN"/>
        </w:rPr>
      </w:pPr>
      <w:r>
        <w:rPr>
          <w:rFonts w:hint="eastAsia" w:asciiTheme="minorEastAsia" w:hAnsiTheme="minorEastAsia" w:eastAsiaTheme="minorEastAsia"/>
          <w:sz w:val="32"/>
          <w:szCs w:val="32"/>
          <w:lang w:eastAsia="zh-CN"/>
        </w:rPr>
        <w:t>本单位无国有资本经营预算财政拨款支出。</w:t>
      </w:r>
    </w:p>
    <w:p>
      <w:pPr>
        <w:pStyle w:val="14"/>
        <w:rPr>
          <w:rFonts w:hAnsi="黑体"/>
          <w:b/>
          <w:sz w:val="32"/>
          <w:szCs w:val="32"/>
        </w:rPr>
      </w:pPr>
      <w:r>
        <w:rPr>
          <w:rFonts w:hint="eastAsia" w:hAnsi="黑体"/>
          <w:b/>
          <w:sz w:val="32"/>
          <w:szCs w:val="32"/>
        </w:rPr>
        <w:t>十、机关运行经费支出说明</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223</w:t>
      </w:r>
      <w:r>
        <w:rPr>
          <w:rFonts w:hint="eastAsia" w:asciiTheme="minorEastAsia" w:hAnsiTheme="minorEastAsia" w:eastAsiaTheme="minorEastAsia"/>
          <w:sz w:val="32"/>
          <w:szCs w:val="32"/>
        </w:rPr>
        <w:t>万元，比上年决算数减少</w:t>
      </w:r>
      <w:r>
        <w:rPr>
          <w:rFonts w:hint="eastAsia" w:asciiTheme="minorEastAsia" w:hAnsiTheme="minorEastAsia" w:eastAsiaTheme="minorEastAsia"/>
          <w:sz w:val="32"/>
          <w:szCs w:val="32"/>
          <w:lang w:val="en-US" w:eastAsia="zh-CN"/>
        </w:rPr>
        <w:t>182.35</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81.8</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；年初预算减少。</w:t>
      </w:r>
    </w:p>
    <w:p>
      <w:pPr>
        <w:pStyle w:val="14"/>
        <w:rPr>
          <w:rFonts w:hAnsi="黑体"/>
          <w:b/>
          <w:sz w:val="32"/>
          <w:szCs w:val="32"/>
        </w:rPr>
      </w:pPr>
      <w:r>
        <w:rPr>
          <w:rFonts w:hint="eastAsia" w:hAnsi="黑体"/>
          <w:b/>
          <w:sz w:val="32"/>
          <w:szCs w:val="32"/>
        </w:rPr>
        <w:t>十一、一般性支出情况说明</w:t>
      </w:r>
    </w:p>
    <w:p>
      <w:pPr>
        <w:pStyle w:val="14"/>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2.05</w:t>
      </w:r>
      <w:r>
        <w:rPr>
          <w:rFonts w:hint="eastAsia" w:asciiTheme="minorEastAsia" w:hAnsiTheme="minorEastAsia" w:eastAsiaTheme="minorEastAsia"/>
          <w:sz w:val="32"/>
          <w:szCs w:val="32"/>
        </w:rPr>
        <w:t>万元，用于开</w:t>
      </w:r>
      <w:r>
        <w:rPr>
          <w:rFonts w:hint="eastAsia" w:asciiTheme="minorEastAsia" w:hAnsiTheme="minorEastAsia" w:eastAsiaTheme="minorEastAsia"/>
          <w:sz w:val="32"/>
          <w:szCs w:val="32"/>
          <w:lang w:eastAsia="zh-CN"/>
        </w:rPr>
        <w:t>展生态环境保护</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82</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生态环境保护相关法律法规培训</w:t>
      </w:r>
      <w:r>
        <w:rPr>
          <w:rFonts w:hint="eastAsia" w:asciiTheme="minorEastAsia" w:hAnsiTheme="minorEastAsia" w:eastAsiaTheme="minorEastAsia"/>
          <w:sz w:val="32"/>
          <w:szCs w:val="32"/>
        </w:rPr>
        <w:t>；举办节庆、晚会、论坛、赛事活动，开支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4"/>
        <w:rPr>
          <w:rFonts w:hAnsi="黑体"/>
          <w:b/>
          <w:sz w:val="32"/>
          <w:szCs w:val="32"/>
        </w:rPr>
      </w:pPr>
      <w:r>
        <w:rPr>
          <w:rFonts w:hint="eastAsia" w:hAnsi="黑体"/>
          <w:b/>
          <w:sz w:val="32"/>
          <w:szCs w:val="32"/>
        </w:rPr>
        <w:t>十二、政府采购支出说明</w:t>
      </w:r>
    </w:p>
    <w:p>
      <w:pPr>
        <w:pStyle w:val="14"/>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468</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22</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446</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468</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280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59.8</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4"/>
        <w:rPr>
          <w:rFonts w:hAnsi="黑体"/>
          <w:b/>
          <w:sz w:val="32"/>
          <w:szCs w:val="32"/>
        </w:rPr>
      </w:pPr>
      <w:r>
        <w:rPr>
          <w:rFonts w:hint="eastAsia" w:hAnsi="黑体"/>
          <w:b/>
          <w:sz w:val="32"/>
          <w:szCs w:val="32"/>
        </w:rPr>
        <w:t>十三、国有资产占用情况说明</w:t>
      </w:r>
    </w:p>
    <w:p>
      <w:pPr>
        <w:pStyle w:val="14"/>
        <w:ind w:firstLine="640" w:firstLineChars="200"/>
        <w:rPr>
          <w:rFonts w:hint="eastAsia" w:ascii="宋体" w:hAnsi="宋体" w:eastAsia="宋体" w:cs="宋体"/>
          <w:b w:val="0"/>
          <w:bCs w:val="0"/>
          <w:sz w:val="28"/>
          <w:szCs w:val="28"/>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台（套）。</w:t>
      </w:r>
    </w:p>
    <w:p>
      <w:pPr>
        <w:pStyle w:val="14"/>
        <w:rPr>
          <w:rFonts w:hAnsi="黑体"/>
          <w:b w:val="0"/>
          <w:bCs/>
          <w:sz w:val="32"/>
          <w:szCs w:val="32"/>
        </w:rPr>
      </w:pPr>
      <w:r>
        <w:rPr>
          <w:rFonts w:hint="eastAsia" w:hAnsi="黑体"/>
          <w:b w:val="0"/>
          <w:bCs/>
          <w:sz w:val="32"/>
          <w:szCs w:val="32"/>
          <w:lang w:eastAsia="zh-CN"/>
        </w:rPr>
        <w:t>十四、</w:t>
      </w:r>
      <w:r>
        <w:rPr>
          <w:rFonts w:hint="eastAsia" w:hAnsi="黑体"/>
          <w:b w:val="0"/>
          <w:bCs/>
          <w:sz w:val="32"/>
          <w:szCs w:val="32"/>
        </w:rPr>
        <w:t>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根据预算绩效管理要求，我部门组织对2021年度一般公共预算项目支出全面开展绩效自评，其中，一级项目</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个，二级项目</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个，共涉及资金</w:t>
      </w:r>
      <w:r>
        <w:rPr>
          <w:rFonts w:hint="eastAsia" w:ascii="仿宋_GB2312" w:hAnsi="仿宋_GB2312" w:eastAsia="仿宋_GB2312" w:cs="仿宋_GB2312"/>
          <w:color w:val="000000"/>
          <w:kern w:val="0"/>
          <w:sz w:val="32"/>
          <w:szCs w:val="32"/>
          <w:lang w:val="en-US" w:eastAsia="zh-CN"/>
        </w:rPr>
        <w:t>296.81</w:t>
      </w:r>
      <w:r>
        <w:rPr>
          <w:rFonts w:hint="eastAsia" w:ascii="仿宋_GB2312" w:hAnsi="仿宋_GB2312" w:eastAsia="仿宋_GB2312" w:cs="仿宋_GB2312"/>
          <w:color w:val="000000"/>
          <w:kern w:val="0"/>
          <w:sz w:val="32"/>
          <w:szCs w:val="32"/>
        </w:rPr>
        <w:t xml:space="preserve"> 万元，占一般公共预算项目支出总额的</w:t>
      </w:r>
      <w:r>
        <w:rPr>
          <w:rFonts w:hint="eastAsia" w:ascii="仿宋_GB2312" w:hAnsi="仿宋_GB2312" w:eastAsia="仿宋_GB2312" w:cs="仿宋_GB2312"/>
          <w:color w:val="000000"/>
          <w:kern w:val="0"/>
          <w:sz w:val="32"/>
          <w:szCs w:val="32"/>
          <w:lang w:val="en-US" w:eastAsia="zh-CN"/>
        </w:rPr>
        <w:t>100</w:t>
      </w:r>
      <w:r>
        <w:rPr>
          <w:rFonts w:hint="eastAsia" w:ascii="仿宋_GB2312" w:hAnsi="仿宋_GB2312" w:eastAsia="仿宋_GB2312" w:cs="仿宋_GB2312"/>
          <w:color w:val="000000"/>
          <w:kern w:val="0"/>
          <w:sz w:val="32"/>
          <w:szCs w:val="32"/>
        </w:rPr>
        <w:t>%。从评价情况来看</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pacing w:val="-6"/>
          <w:sz w:val="32"/>
          <w:szCs w:val="32"/>
        </w:rPr>
        <w:t>国控、省控地表水考核断面水质</w:t>
      </w:r>
      <w:r>
        <w:rPr>
          <w:rFonts w:hint="eastAsia" w:ascii="仿宋_GB2312" w:hAnsi="仿宋_GB2312" w:eastAsia="仿宋_GB2312" w:cs="仿宋_GB2312"/>
          <w:sz w:val="32"/>
          <w:szCs w:val="32"/>
        </w:rPr>
        <w:t>稳定达到</w:t>
      </w:r>
      <w:r>
        <w:rPr>
          <w:rFonts w:hint="eastAsia" w:ascii="仿宋_GB2312" w:hAnsi="仿宋_GB2312" w:eastAsia="仿宋_GB2312" w:cs="仿宋_GB2312"/>
          <w:color w:val="000000"/>
          <w:spacing w:val="-6"/>
          <w:kern w:val="0"/>
          <w:sz w:val="32"/>
          <w:szCs w:val="32"/>
          <w:lang w:val="en-US" w:eastAsia="zh-CN"/>
        </w:rPr>
        <w:t>国家Ⅲ类标准</w:t>
      </w:r>
      <w:r>
        <w:rPr>
          <w:rFonts w:hint="eastAsia" w:ascii="仿宋_GB2312" w:hAnsi="仿宋_GB2312" w:eastAsia="仿宋_GB2312" w:cs="仿宋_GB2312"/>
          <w:sz w:val="32"/>
          <w:szCs w:val="32"/>
        </w:rPr>
        <w:t>以上</w:t>
      </w:r>
      <w:r>
        <w:rPr>
          <w:rFonts w:hint="eastAsia" w:ascii="仿宋_GB2312" w:hAnsi="仿宋_GB2312" w:eastAsia="仿宋_GB2312" w:cs="仿宋_GB2312"/>
          <w:color w:val="000000"/>
          <w:spacing w:val="-6"/>
          <w:kern w:val="0"/>
          <w:sz w:val="32"/>
          <w:szCs w:val="32"/>
          <w:lang w:val="en-US" w:eastAsia="zh-CN"/>
        </w:rPr>
        <w:t>，饮用水源水质达标率为100%，</w:t>
      </w:r>
      <w:r>
        <w:rPr>
          <w:rFonts w:hint="eastAsia" w:ascii="仿宋_GB2312" w:hAnsi="仿宋_GB2312" w:eastAsia="仿宋_GB2312" w:cs="仿宋_GB2312"/>
          <w:sz w:val="32"/>
          <w:szCs w:val="32"/>
        </w:rPr>
        <w:t>其</w:t>
      </w:r>
      <w:r>
        <w:rPr>
          <w:rFonts w:hint="eastAsia" w:ascii="仿宋_GB2312" w:hAnsi="仿宋_GB2312" w:eastAsia="仿宋_GB2312" w:cs="仿宋_GB2312"/>
          <w:sz w:val="32"/>
          <w:szCs w:val="32"/>
          <w:lang w:eastAsia="zh-CN"/>
        </w:rPr>
        <w:t>它</w:t>
      </w:r>
      <w:r>
        <w:rPr>
          <w:rFonts w:hint="eastAsia" w:ascii="仿宋_GB2312" w:hAnsi="仿宋_GB2312" w:eastAsia="仿宋_GB2312" w:cs="仿宋_GB2312"/>
          <w:sz w:val="32"/>
          <w:szCs w:val="32"/>
        </w:rPr>
        <w:t>地表水监测断面水质持续好转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城市空气质量优良率为95.8%，</w:t>
      </w:r>
      <w:r>
        <w:rPr>
          <w:rFonts w:hint="eastAsia" w:ascii="仿宋_GB2312" w:hAnsi="仿宋_GB2312" w:eastAsia="仿宋_GB2312" w:cs="仿宋_GB2312"/>
          <w:color w:val="000000"/>
          <w:spacing w:val="-6"/>
          <w:kern w:val="0"/>
          <w:sz w:val="32"/>
          <w:szCs w:val="32"/>
          <w:lang w:val="en-US" w:eastAsia="zh-CN"/>
        </w:rPr>
        <w:t>污染地块安全率达93%以上。生态环境质量稳步提升，群众的环境获得感显著增强。</w:t>
      </w:r>
      <w:r>
        <w:rPr>
          <w:rFonts w:hint="eastAsia" w:ascii="仿宋_GB2312" w:hAnsi="仿宋_GB2312" w:eastAsia="仿宋_GB2312" w:cs="仿宋_GB2312"/>
          <w:color w:val="000000"/>
          <w:kern w:val="0"/>
          <w:sz w:val="32"/>
          <w:szCs w:val="32"/>
        </w:rPr>
        <w:t>我部门组织对2021年度</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个政府性基金预算项目支出开展绩效自评，共涉及资金</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万元，占政府性基金预算项目支出总额的</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%。组织对2021 年度</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个国有资本经营预算项目支出开展绩效自评，共涉及资金</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万元，占国有资本经营预算项目支出总额的</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w:t>
      </w:r>
    </w:p>
    <w:p>
      <w:pPr>
        <w:pStyle w:val="14"/>
        <w:rPr>
          <w:rFonts w:hint="eastAsia" w:ascii="仿宋_GB2312" w:hAnsi="仿宋_GB2312" w:eastAsia="仿宋_GB2312" w:cs="仿宋_GB2312"/>
          <w:lang w:val="en-US" w:eastAsia="zh-CN"/>
        </w:rPr>
      </w:pPr>
      <w:r>
        <w:rPr>
          <w:rFonts w:hint="eastAsia" w:ascii="仿宋_GB2312" w:hAnsi="仿宋_GB2312" w:eastAsia="仿宋_GB2312" w:cs="仿宋_GB2312"/>
          <w:color w:val="000000"/>
          <w:kern w:val="0"/>
          <w:sz w:val="32"/>
          <w:szCs w:val="32"/>
          <w:lang w:val="en-US" w:eastAsia="zh-CN"/>
        </w:rPr>
        <w:t>我分局积极</w:t>
      </w:r>
      <w:r>
        <w:rPr>
          <w:rFonts w:hint="eastAsia" w:ascii="仿宋_GB2312" w:hAnsi="仿宋_GB2312" w:eastAsia="仿宋_GB2312" w:cs="仿宋_GB2312"/>
          <w:color w:val="000000"/>
          <w:kern w:val="0"/>
          <w:sz w:val="32"/>
          <w:szCs w:val="32"/>
        </w:rPr>
        <w:t>组织对</w:t>
      </w:r>
      <w:r>
        <w:rPr>
          <w:rFonts w:hint="eastAsia" w:ascii="仿宋_GB2312" w:hAnsi="仿宋_GB2312" w:eastAsia="仿宋_GB2312" w:cs="仿宋_GB2312"/>
          <w:color w:val="000000"/>
          <w:kern w:val="0"/>
          <w:sz w:val="32"/>
          <w:szCs w:val="32"/>
          <w:lang w:val="en-US" w:eastAsia="zh-CN"/>
        </w:rPr>
        <w:t>2021年度本单位开</w:t>
      </w:r>
      <w:r>
        <w:rPr>
          <w:rFonts w:hint="eastAsia" w:ascii="仿宋_GB2312" w:hAnsi="仿宋_GB2312" w:eastAsia="仿宋_GB2312" w:cs="仿宋_GB2312"/>
          <w:color w:val="000000"/>
          <w:kern w:val="0"/>
          <w:sz w:val="32"/>
          <w:szCs w:val="32"/>
        </w:rPr>
        <w:t>展整体支出绩效评价，涉及一般公共预算支出</w:t>
      </w:r>
      <w:r>
        <w:rPr>
          <w:rFonts w:hint="eastAsia" w:ascii="仿宋_GB2312" w:hAnsi="仿宋_GB2312" w:eastAsia="仿宋_GB2312" w:cs="仿宋_GB2312"/>
          <w:color w:val="000000"/>
          <w:kern w:val="0"/>
          <w:sz w:val="32"/>
          <w:szCs w:val="32"/>
          <w:lang w:val="en-US" w:eastAsia="zh-CN"/>
        </w:rPr>
        <w:t>1733.17</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从评价情况来看</w:t>
      </w:r>
      <w:r>
        <w:rPr>
          <w:rFonts w:hint="eastAsia" w:ascii="宋体" w:hAnsi="宋体" w:eastAsia="宋体" w:cs="宋体"/>
          <w:b w:val="0"/>
          <w:bCs w:val="0"/>
          <w:sz w:val="28"/>
          <w:szCs w:val="28"/>
        </w:rPr>
        <w:t>，2021年，在市局党组和县委县政府的坚强领导下，我们深入学习贯彻习近平生态文明思想，坚决贯彻落实市局和县委政府的决策部署，力克新冠疫情带来的不利影响，抓牢阵地建设，坚持从严治党，扎实开展党史学习教育主题活动。抓实重点任务，聚力打好污染防治攻坚战，从实推动中央和省级生态环境保护督察整改。抓细基础赋能，持续强化环境执法监管，持续提升文明单位内涵建设。有力的解决了人民群众身边的环境问题，全县生态环境质量得到进一步改善，全县生态环境总体安全。</w:t>
      </w:r>
      <w:r>
        <w:rPr>
          <w:rFonts w:hint="eastAsia" w:ascii="仿宋_GB2312" w:hAnsi="仿宋_GB2312" w:eastAsia="仿宋_GB2312" w:cs="仿宋_GB2312"/>
          <w:b w:val="0"/>
          <w:bCs/>
          <w:color w:val="auto"/>
          <w:sz w:val="32"/>
          <w:szCs w:val="32"/>
        </w:rPr>
        <w:t>水环境质量方面：</w:t>
      </w:r>
      <w:r>
        <w:rPr>
          <w:rFonts w:hint="eastAsia" w:ascii="仿宋_GB2312" w:hAnsi="仿宋_GB2312" w:eastAsia="仿宋_GB2312" w:cs="仿宋_GB2312"/>
          <w:color w:val="auto"/>
          <w:sz w:val="32"/>
          <w:szCs w:val="32"/>
        </w:rPr>
        <w:t>我</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rPr>
        <w:t>城市集中式饮用水主水源断面均稳定保持在Ⅱ类水质以上。国控、省控地表水考核断面水质达标率100%，其他地表水监测断面水质持续好转，</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rPr>
        <w:t>域水环境质量整体稳步改善。</w:t>
      </w:r>
      <w:r>
        <w:rPr>
          <w:rFonts w:hint="eastAsia" w:ascii="仿宋_GB2312" w:hAnsi="仿宋_GB2312" w:eastAsia="仿宋_GB2312" w:cs="仿宋_GB2312"/>
          <w:b w:val="0"/>
          <w:bCs/>
          <w:color w:val="auto"/>
          <w:sz w:val="32"/>
          <w:szCs w:val="32"/>
        </w:rPr>
        <w:t>空气环境质量方面：</w:t>
      </w:r>
      <w:r>
        <w:rPr>
          <w:rFonts w:hint="eastAsia" w:ascii="仿宋_GB2312" w:hAnsi="仿宋_GB2312" w:eastAsia="仿宋_GB2312" w:cs="仿宋_GB2312"/>
          <w:color w:val="auto"/>
          <w:sz w:val="32"/>
          <w:szCs w:val="32"/>
        </w:rPr>
        <w:t>2021年，我市城区空气质量优良天数为3</w:t>
      </w:r>
      <w:r>
        <w:rPr>
          <w:rFonts w:hint="eastAsia" w:ascii="仿宋_GB2312" w:hAnsi="仿宋_GB2312" w:eastAsia="仿宋_GB2312" w:cs="仿宋_GB2312"/>
          <w:color w:val="auto"/>
          <w:sz w:val="32"/>
          <w:szCs w:val="32"/>
          <w:lang w:val="en-US" w:eastAsia="zh-CN"/>
        </w:rPr>
        <w:t>49</w:t>
      </w:r>
      <w:r>
        <w:rPr>
          <w:rFonts w:hint="eastAsia" w:ascii="仿宋_GB2312" w:hAnsi="仿宋_GB2312" w:eastAsia="仿宋_GB2312" w:cs="仿宋_GB2312"/>
          <w:color w:val="auto"/>
          <w:sz w:val="32"/>
          <w:szCs w:val="32"/>
        </w:rPr>
        <w:t>天，优良率为9</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%，岳阳市排名第</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；PM</w:t>
      </w:r>
      <w:r>
        <w:rPr>
          <w:rFonts w:hint="eastAsia" w:ascii="仿宋_GB2312" w:hAnsi="仿宋_GB2312" w:eastAsia="仿宋_GB2312" w:cs="仿宋_GB2312"/>
          <w:color w:val="auto"/>
          <w:sz w:val="32"/>
          <w:szCs w:val="32"/>
          <w:vertAlign w:val="subscript"/>
        </w:rPr>
        <w:t>2.5</w:t>
      </w:r>
      <w:r>
        <w:rPr>
          <w:rFonts w:hint="eastAsia" w:ascii="仿宋_GB2312" w:hAnsi="仿宋_GB2312" w:eastAsia="仿宋_GB2312" w:cs="仿宋_GB2312"/>
          <w:color w:val="auto"/>
          <w:sz w:val="32"/>
          <w:szCs w:val="32"/>
        </w:rPr>
        <w:t>年均浓度为 29ug/m</w:t>
      </w:r>
      <w:r>
        <w:rPr>
          <w:rFonts w:hint="eastAsia" w:ascii="仿宋_GB2312" w:hAnsi="仿宋_GB2312" w:eastAsia="仿宋_GB2312" w:cs="仿宋_GB2312"/>
          <w:color w:val="auto"/>
          <w:sz w:val="32"/>
          <w:szCs w:val="32"/>
          <w:vertAlign w:val="superscript"/>
        </w:rPr>
        <w:t>3</w:t>
      </w:r>
      <w:r>
        <w:rPr>
          <w:rFonts w:hint="eastAsia" w:ascii="仿宋_GB2312" w:hAnsi="仿宋_GB2312" w:eastAsia="仿宋_GB2312" w:cs="仿宋_GB2312"/>
          <w:color w:val="auto"/>
          <w:sz w:val="32"/>
          <w:szCs w:val="32"/>
        </w:rPr>
        <w:t>（微克每立方米），PM</w:t>
      </w:r>
      <w:r>
        <w:rPr>
          <w:rFonts w:hint="eastAsia" w:ascii="仿宋_GB2312" w:hAnsi="仿宋_GB2312" w:eastAsia="仿宋_GB2312" w:cs="仿宋_GB2312"/>
          <w:color w:val="auto"/>
          <w:sz w:val="32"/>
          <w:szCs w:val="32"/>
          <w:vertAlign w:val="subscript"/>
        </w:rPr>
        <w:t>10</w:t>
      </w:r>
      <w:r>
        <w:rPr>
          <w:rFonts w:hint="eastAsia" w:ascii="仿宋_GB2312" w:hAnsi="仿宋_GB2312" w:eastAsia="仿宋_GB2312" w:cs="仿宋_GB2312"/>
          <w:color w:val="auto"/>
          <w:sz w:val="32"/>
          <w:szCs w:val="32"/>
        </w:rPr>
        <w:t>年均浓度为51ug/m</w:t>
      </w:r>
      <w:r>
        <w:rPr>
          <w:rFonts w:hint="eastAsia" w:ascii="仿宋_GB2312" w:hAnsi="仿宋_GB2312" w:eastAsia="仿宋_GB2312" w:cs="仿宋_GB2312"/>
          <w:color w:val="auto"/>
          <w:sz w:val="32"/>
          <w:szCs w:val="32"/>
          <w:vertAlign w:val="superscript"/>
        </w:rPr>
        <w:t>3</w:t>
      </w:r>
      <w:r>
        <w:rPr>
          <w:rFonts w:hint="eastAsia" w:ascii="仿宋_GB2312" w:hAnsi="仿宋_GB2312" w:eastAsia="仿宋_GB2312" w:cs="仿宋_GB2312"/>
          <w:color w:val="auto"/>
          <w:sz w:val="32"/>
          <w:szCs w:val="32"/>
        </w:rPr>
        <w:t>。相比年度考核目标，PM</w:t>
      </w:r>
      <w:r>
        <w:rPr>
          <w:rFonts w:hint="eastAsia" w:ascii="仿宋_GB2312" w:hAnsi="仿宋_GB2312" w:eastAsia="仿宋_GB2312" w:cs="仿宋_GB2312"/>
          <w:color w:val="auto"/>
          <w:sz w:val="32"/>
          <w:szCs w:val="32"/>
          <w:vertAlign w:val="subscript"/>
        </w:rPr>
        <w:t>2.5</w:t>
      </w:r>
      <w:r>
        <w:rPr>
          <w:rFonts w:hint="eastAsia" w:ascii="仿宋_GB2312" w:hAnsi="仿宋_GB2312" w:eastAsia="仿宋_GB2312" w:cs="仿宋_GB2312"/>
          <w:color w:val="auto"/>
          <w:sz w:val="32"/>
          <w:szCs w:val="32"/>
        </w:rPr>
        <w:t>、PM</w:t>
      </w:r>
      <w:r>
        <w:rPr>
          <w:rFonts w:hint="eastAsia" w:ascii="仿宋_GB2312" w:hAnsi="仿宋_GB2312" w:eastAsia="仿宋_GB2312" w:cs="仿宋_GB2312"/>
          <w:color w:val="auto"/>
          <w:sz w:val="32"/>
          <w:szCs w:val="32"/>
          <w:vertAlign w:val="subscript"/>
        </w:rPr>
        <w:t>10</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rPr>
        <w:t>均浓度分别优于年度考核目标6ug/m</w:t>
      </w:r>
      <w:r>
        <w:rPr>
          <w:rFonts w:hint="eastAsia" w:ascii="仿宋_GB2312" w:hAnsi="仿宋_GB2312" w:eastAsia="仿宋_GB2312" w:cs="仿宋_GB2312"/>
          <w:color w:val="auto"/>
          <w:sz w:val="32"/>
          <w:szCs w:val="32"/>
          <w:vertAlign w:val="superscript"/>
        </w:rPr>
        <w:t>3</w:t>
      </w:r>
      <w:r>
        <w:rPr>
          <w:rFonts w:hint="eastAsia" w:ascii="仿宋_GB2312" w:hAnsi="仿宋_GB2312" w:eastAsia="仿宋_GB2312" w:cs="仿宋_GB2312"/>
          <w:color w:val="auto"/>
          <w:sz w:val="32"/>
          <w:szCs w:val="32"/>
        </w:rPr>
        <w:t>和7ug/m</w:t>
      </w:r>
      <w:r>
        <w:rPr>
          <w:rFonts w:hint="eastAsia" w:ascii="仿宋_GB2312" w:hAnsi="仿宋_GB2312" w:eastAsia="仿宋_GB2312" w:cs="仿宋_GB2312"/>
          <w:color w:val="auto"/>
          <w:sz w:val="32"/>
          <w:szCs w:val="32"/>
          <w:vertAlign w:val="superscript"/>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color w:val="auto"/>
          <w:sz w:val="32"/>
          <w:szCs w:val="32"/>
        </w:rPr>
        <w:t>土壤环境质量方面：</w:t>
      </w:r>
      <w:r>
        <w:rPr>
          <w:rFonts w:hint="eastAsia" w:ascii="仿宋_GB2312" w:hAnsi="仿宋_GB2312" w:eastAsia="仿宋_GB2312" w:cs="仿宋_GB2312"/>
          <w:color w:val="auto"/>
          <w:sz w:val="32"/>
          <w:szCs w:val="32"/>
        </w:rPr>
        <w:t>2021年，全</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rPr>
        <w:t>主要农作物单位面积化肥施用量零增长，耕地质量等级与上年持平。严格建设用地土壤污染风险管控和治理修复，污染地块安全利用率达91%以上。市区交通干线噪声和区域环境噪声达标。</w:t>
      </w:r>
    </w:p>
    <w:p>
      <w:pPr>
        <w:keepNext w:val="0"/>
        <w:keepLines w:val="0"/>
        <w:pageBreakBefore w:val="0"/>
        <w:numPr>
          <w:ilvl w:val="0"/>
          <w:numId w:val="4"/>
        </w:numPr>
        <w:kinsoku/>
        <w:wordWrap/>
        <w:overflowPunct/>
        <w:topLinePunct w:val="0"/>
        <w:autoSpaceDE w:val="0"/>
        <w:autoSpaceDN w:val="0"/>
        <w:bidi w:val="0"/>
        <w:adjustRightInd w:val="0"/>
        <w:spacing w:line="520" w:lineRule="exact"/>
        <w:ind w:firstLine="640" w:firstLineChars="200"/>
        <w:jc w:val="left"/>
        <w:textAlignment w:val="auto"/>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部门决算中项目绩效自评结果。</w:t>
      </w:r>
    </w:p>
    <w:p>
      <w:pPr>
        <w:keepNext w:val="0"/>
        <w:keepLines w:val="0"/>
        <w:pageBreakBefore w:val="0"/>
        <w:numPr>
          <w:ilvl w:val="0"/>
          <w:numId w:val="0"/>
        </w:numPr>
        <w:kinsoku/>
        <w:wordWrap/>
        <w:overflowPunct/>
        <w:topLinePunct w:val="0"/>
        <w:bidi w:val="0"/>
        <w:spacing w:line="520" w:lineRule="exact"/>
        <w:ind w:firstLine="640" w:firstLineChars="200"/>
        <w:jc w:val="both"/>
        <w:textAlignment w:val="auto"/>
        <w:rPr>
          <w:rFonts w:hint="eastAsia" w:ascii="仿宋_GB2312" w:hAnsi="仿宋_GB2312" w:eastAsia="仿宋_GB2312" w:cs="仿宋_GB2312"/>
          <w:color w:val="000000"/>
          <w:kern w:val="0"/>
          <w:sz w:val="32"/>
          <w:szCs w:val="32"/>
          <w:lang w:eastAsia="zh-CN"/>
        </w:rPr>
      </w:pPr>
      <w:r>
        <w:rPr>
          <w:rFonts w:hint="eastAsia" w:eastAsia="仿宋_GB2312"/>
          <w:color w:val="auto"/>
          <w:sz w:val="32"/>
          <w:u w:val="none"/>
        </w:rPr>
        <w:t>环境监测、监控及监察能力建设</w:t>
      </w:r>
      <w:r>
        <w:rPr>
          <w:rFonts w:hint="eastAsia" w:eastAsia="仿宋_GB2312"/>
          <w:color w:val="auto"/>
          <w:sz w:val="32"/>
          <w:u w:val="none"/>
          <w:lang w:eastAsia="zh-CN"/>
        </w:rPr>
        <w:t>项目</w:t>
      </w:r>
      <w:r>
        <w:rPr>
          <w:rFonts w:hint="eastAsia" w:ascii="仿宋_GB2312" w:hAnsi="仿宋_GB2312" w:eastAsia="仿宋_GB2312" w:cs="仿宋_GB2312"/>
          <w:color w:val="000000"/>
          <w:kern w:val="0"/>
          <w:sz w:val="32"/>
          <w:szCs w:val="32"/>
        </w:rPr>
        <w:t>自评综述：根据年初设定的绩效目标，项目绩效自评得分为</w:t>
      </w:r>
      <w:r>
        <w:rPr>
          <w:rFonts w:hint="eastAsia" w:ascii="仿宋_GB2312" w:hAnsi="仿宋_GB2312" w:eastAsia="仿宋_GB2312" w:cs="仿宋_GB2312"/>
          <w:color w:val="000000"/>
          <w:kern w:val="0"/>
          <w:sz w:val="32"/>
          <w:szCs w:val="32"/>
          <w:lang w:val="en-US" w:eastAsia="zh-CN"/>
        </w:rPr>
        <w:t>98</w:t>
      </w:r>
      <w:r>
        <w:rPr>
          <w:rFonts w:hint="eastAsia" w:ascii="仿宋_GB2312" w:hAnsi="仿宋_GB2312" w:eastAsia="仿宋_GB2312" w:cs="仿宋_GB2312"/>
          <w:color w:val="000000"/>
          <w:kern w:val="0"/>
          <w:sz w:val="32"/>
          <w:szCs w:val="32"/>
        </w:rPr>
        <w:t xml:space="preserve"> 分。项目全年预算数为</w:t>
      </w:r>
      <w:r>
        <w:rPr>
          <w:rFonts w:hint="eastAsia" w:ascii="仿宋_GB2312" w:hAnsi="仿宋_GB2312" w:eastAsia="仿宋_GB2312" w:cs="仿宋_GB2312"/>
          <w:color w:val="000000"/>
          <w:kern w:val="0"/>
          <w:sz w:val="32"/>
          <w:szCs w:val="32"/>
          <w:lang w:val="en-US" w:eastAsia="zh-CN"/>
        </w:rPr>
        <w:t>296.81</w:t>
      </w:r>
      <w:r>
        <w:rPr>
          <w:rFonts w:hint="eastAsia" w:ascii="仿宋_GB2312" w:hAnsi="仿宋_GB2312" w:eastAsia="仿宋_GB2312" w:cs="仿宋_GB2312"/>
          <w:color w:val="000000"/>
          <w:kern w:val="0"/>
          <w:sz w:val="32"/>
          <w:szCs w:val="32"/>
        </w:rPr>
        <w:t>万元，执行数为</w:t>
      </w:r>
      <w:r>
        <w:rPr>
          <w:rFonts w:hint="eastAsia" w:ascii="仿宋_GB2312" w:hAnsi="仿宋_GB2312" w:eastAsia="仿宋_GB2312" w:cs="仿宋_GB2312"/>
          <w:color w:val="000000"/>
          <w:kern w:val="0"/>
          <w:sz w:val="32"/>
          <w:szCs w:val="32"/>
          <w:lang w:val="en-US" w:eastAsia="zh-CN"/>
        </w:rPr>
        <w:t>296.81</w:t>
      </w:r>
      <w:r>
        <w:rPr>
          <w:rFonts w:hint="eastAsia" w:ascii="仿宋_GB2312" w:hAnsi="仿宋_GB2312" w:eastAsia="仿宋_GB2312" w:cs="仿宋_GB2312"/>
          <w:color w:val="000000"/>
          <w:kern w:val="0"/>
          <w:sz w:val="32"/>
          <w:szCs w:val="32"/>
        </w:rPr>
        <w:t>万元，完成预算的</w:t>
      </w:r>
      <w:r>
        <w:rPr>
          <w:rFonts w:hint="eastAsia" w:ascii="仿宋_GB2312" w:hAnsi="仿宋_GB2312" w:eastAsia="仿宋_GB2312" w:cs="仿宋_GB2312"/>
          <w:color w:val="000000"/>
          <w:kern w:val="0"/>
          <w:sz w:val="32"/>
          <w:szCs w:val="32"/>
          <w:lang w:val="en-US" w:eastAsia="zh-CN"/>
        </w:rPr>
        <w:t>100</w:t>
      </w:r>
      <w:r>
        <w:rPr>
          <w:rFonts w:hint="eastAsia" w:ascii="仿宋_GB2312" w:hAnsi="仿宋_GB2312" w:eastAsia="仿宋_GB2312" w:cs="仿宋_GB2312"/>
          <w:color w:val="000000"/>
          <w:kern w:val="0"/>
          <w:sz w:val="32"/>
          <w:szCs w:val="32"/>
        </w:rPr>
        <w:t>%。项目绩效目标完成情况：</w:t>
      </w:r>
      <w:r>
        <w:rPr>
          <w:rFonts w:hint="eastAsia" w:ascii="仿宋_GB2312" w:hAnsi="仿宋_GB2312" w:eastAsia="仿宋_GB2312" w:cs="仿宋_GB2312"/>
          <w:color w:val="000000"/>
          <w:kern w:val="0"/>
          <w:sz w:val="32"/>
          <w:szCs w:val="32"/>
          <w:lang w:eastAsia="zh-CN"/>
        </w:rPr>
        <w:t>一是</w:t>
      </w:r>
      <w:r>
        <w:rPr>
          <w:rFonts w:hint="eastAsia" w:ascii="仿宋_GB2312" w:hAnsi="仿宋_GB2312" w:eastAsia="仿宋_GB2312" w:cs="仿宋_GB2312"/>
          <w:sz w:val="32"/>
          <w:szCs w:val="32"/>
          <w:lang w:eastAsia="zh-CN"/>
        </w:rPr>
        <w:t>统筹结合</w:t>
      </w:r>
      <w:r>
        <w:rPr>
          <w:rFonts w:hint="eastAsia" w:ascii="仿宋_GB2312" w:hAnsi="仿宋_GB2312" w:eastAsia="仿宋_GB2312" w:cs="仿宋_GB2312"/>
          <w:sz w:val="32"/>
          <w:szCs w:val="32"/>
          <w:lang w:val="en-US" w:eastAsia="zh-CN"/>
        </w:rPr>
        <w:t>，创新思维，</w:t>
      </w:r>
      <w:r>
        <w:rPr>
          <w:rFonts w:hint="eastAsia" w:ascii="仿宋_GB2312" w:hAnsi="仿宋_GB2312" w:eastAsia="仿宋_GB2312" w:cs="仿宋_GB2312"/>
          <w:b w:val="0"/>
          <w:bCs w:val="0"/>
          <w:sz w:val="32"/>
          <w:szCs w:val="32"/>
        </w:rPr>
        <w:t>深入开展</w:t>
      </w:r>
      <w:r>
        <w:rPr>
          <w:rFonts w:hint="eastAsia" w:ascii="仿宋_GB2312" w:hAnsi="仿宋_GB2312" w:eastAsia="仿宋_GB2312" w:cs="仿宋_GB2312"/>
          <w:b w:val="0"/>
          <w:bCs w:val="0"/>
          <w:sz w:val="32"/>
          <w:szCs w:val="32"/>
          <w:lang w:eastAsia="zh-CN"/>
        </w:rPr>
        <w:t>了</w:t>
      </w:r>
      <w:r>
        <w:rPr>
          <w:rFonts w:hint="eastAsia" w:ascii="仿宋_GB2312" w:hAnsi="仿宋_GB2312" w:eastAsia="仿宋_GB2312" w:cs="仿宋_GB2312"/>
          <w:b w:val="0"/>
          <w:bCs w:val="0"/>
          <w:sz w:val="32"/>
          <w:szCs w:val="32"/>
        </w:rPr>
        <w:t>执法大练兵活动</w:t>
      </w:r>
      <w:r>
        <w:rPr>
          <w:rFonts w:hint="eastAsia" w:ascii="仿宋_GB2312" w:hAnsi="仿宋_GB2312" w:eastAsia="仿宋_GB2312" w:cs="仿宋_GB2312"/>
          <w:b w:val="0"/>
          <w:bCs w:val="0"/>
          <w:sz w:val="32"/>
          <w:szCs w:val="32"/>
          <w:lang w:eastAsia="zh-CN"/>
        </w:rPr>
        <w:t>；二是</w:t>
      </w:r>
      <w:r>
        <w:rPr>
          <w:rFonts w:hint="eastAsia" w:ascii="仿宋_GB2312" w:hAnsi="仿宋_GB2312" w:eastAsia="仿宋_GB2312" w:cs="仿宋_GB2312"/>
          <w:b w:val="0"/>
          <w:bCs w:val="0"/>
          <w:kern w:val="0"/>
          <w:sz w:val="32"/>
          <w:szCs w:val="32"/>
        </w:rPr>
        <w:t>突出重点，筑牢</w:t>
      </w:r>
      <w:r>
        <w:rPr>
          <w:rFonts w:hint="eastAsia" w:ascii="仿宋_GB2312" w:hAnsi="仿宋_GB2312" w:eastAsia="仿宋_GB2312" w:cs="仿宋_GB2312"/>
          <w:b w:val="0"/>
          <w:bCs w:val="0"/>
          <w:kern w:val="0"/>
          <w:sz w:val="32"/>
          <w:szCs w:val="32"/>
          <w:lang w:eastAsia="zh-CN"/>
        </w:rPr>
        <w:t>了</w:t>
      </w:r>
      <w:r>
        <w:rPr>
          <w:rFonts w:hint="eastAsia" w:ascii="仿宋_GB2312" w:hAnsi="仿宋_GB2312" w:eastAsia="仿宋_GB2312" w:cs="仿宋_GB2312"/>
          <w:b w:val="0"/>
          <w:bCs w:val="0"/>
          <w:kern w:val="0"/>
          <w:sz w:val="32"/>
          <w:szCs w:val="32"/>
        </w:rPr>
        <w:t>生态环境安全底线</w:t>
      </w:r>
      <w:r>
        <w:rPr>
          <w:rFonts w:hint="eastAsia" w:ascii="仿宋_GB2312" w:hAnsi="仿宋_GB2312" w:eastAsia="仿宋_GB2312" w:cs="仿宋_GB2312"/>
          <w:b w:val="0"/>
          <w:bCs w:val="0"/>
          <w:kern w:val="0"/>
          <w:sz w:val="32"/>
          <w:szCs w:val="32"/>
          <w:lang w:eastAsia="zh-CN"/>
        </w:rPr>
        <w:t>，三是</w:t>
      </w:r>
      <w:r>
        <w:rPr>
          <w:rFonts w:hint="eastAsia" w:ascii="仿宋_GB2312" w:hAnsi="仿宋_GB2312" w:eastAsia="仿宋_GB2312" w:cs="仿宋_GB2312"/>
          <w:b w:val="0"/>
          <w:bCs w:val="0"/>
          <w:kern w:val="0"/>
          <w:sz w:val="32"/>
          <w:szCs w:val="32"/>
        </w:rPr>
        <w:t>固本强基，</w:t>
      </w:r>
      <w:r>
        <w:rPr>
          <w:rFonts w:hint="eastAsia" w:ascii="仿宋_GB2312" w:hAnsi="仿宋_GB2312" w:eastAsia="仿宋_GB2312" w:cs="仿宋_GB2312"/>
          <w:b w:val="0"/>
          <w:bCs w:val="0"/>
          <w:color w:val="000000"/>
          <w:spacing w:val="-6"/>
          <w:kern w:val="2"/>
          <w:sz w:val="32"/>
          <w:szCs w:val="32"/>
          <w:lang w:val="en-US" w:eastAsia="zh-CN" w:bidi="ar-SA"/>
        </w:rPr>
        <w:t>加强环境执法和能力建设，</w:t>
      </w:r>
      <w:r>
        <w:rPr>
          <w:rFonts w:hint="eastAsia" w:ascii="仿宋_GB2312" w:hAnsi="仿宋_GB2312" w:eastAsia="仿宋_GB2312" w:cs="仿宋_GB2312"/>
          <w:b w:val="0"/>
          <w:bCs w:val="0"/>
          <w:kern w:val="0"/>
          <w:sz w:val="32"/>
          <w:szCs w:val="32"/>
        </w:rPr>
        <w:t>倾力打造生态环保铁军。</w:t>
      </w:r>
      <w:r>
        <w:rPr>
          <w:rFonts w:hint="eastAsia" w:ascii="仿宋_GB2312" w:hAnsi="仿宋_GB2312" w:eastAsia="仿宋_GB2312" w:cs="仿宋_GB2312"/>
          <w:color w:val="000000"/>
          <w:kern w:val="0"/>
          <w:sz w:val="32"/>
          <w:szCs w:val="32"/>
        </w:rPr>
        <w:t>发现的主要问题及原因：</w:t>
      </w:r>
      <w:r>
        <w:rPr>
          <w:rFonts w:hint="eastAsia" w:ascii="仿宋_GB2312" w:hAnsi="仿宋_GB2312" w:eastAsia="仿宋_GB2312" w:cs="仿宋_GB2312"/>
          <w:b w:val="0"/>
          <w:bCs w:val="0"/>
          <w:color w:val="000000"/>
          <w:kern w:val="0"/>
          <w:sz w:val="32"/>
          <w:szCs w:val="32"/>
          <w:lang w:eastAsia="zh-CN"/>
        </w:rPr>
        <w:t>一是</w:t>
      </w:r>
      <w:r>
        <w:rPr>
          <w:rFonts w:hint="eastAsia" w:ascii="仿宋_GB2312" w:hAnsi="仿宋_GB2312" w:eastAsia="仿宋_GB2312" w:cs="仿宋_GB2312"/>
          <w:b w:val="0"/>
          <w:bCs w:val="0"/>
          <w:kern w:val="0"/>
          <w:sz w:val="32"/>
          <w:szCs w:val="32"/>
          <w:shd w:val="clear" w:color="auto" w:fill="FFFFFF"/>
        </w:rPr>
        <w:t>生态环境保护工作短板弱项仍然突出</w:t>
      </w:r>
      <w:r>
        <w:rPr>
          <w:rFonts w:hint="eastAsia" w:ascii="仿宋_GB2312" w:hAnsi="仿宋_GB2312" w:eastAsia="仿宋_GB2312" w:cs="仿宋_GB2312"/>
          <w:b w:val="0"/>
          <w:bCs w:val="0"/>
          <w:kern w:val="0"/>
          <w:sz w:val="32"/>
          <w:szCs w:val="32"/>
          <w:shd w:val="clear" w:color="auto" w:fill="FFFFFF"/>
          <w:lang w:eastAsia="zh-CN"/>
        </w:rPr>
        <w:t>；二是</w:t>
      </w:r>
      <w:r>
        <w:rPr>
          <w:rFonts w:hint="eastAsia" w:ascii="仿宋_GB2312" w:hAnsi="仿宋_GB2312" w:eastAsia="仿宋_GB2312" w:cs="仿宋_GB2312"/>
          <w:b w:val="0"/>
          <w:bCs w:val="0"/>
          <w:kern w:val="0"/>
          <w:sz w:val="32"/>
          <w:szCs w:val="32"/>
          <w:shd w:val="clear" w:color="auto" w:fill="FFFFFF"/>
        </w:rPr>
        <w:t>生态环境质量改善成果尚不稳固</w:t>
      </w:r>
      <w:r>
        <w:rPr>
          <w:rFonts w:hint="eastAsia" w:ascii="仿宋_GB2312" w:hAnsi="仿宋_GB2312" w:eastAsia="仿宋_GB2312" w:cs="仿宋_GB2312"/>
          <w:b w:val="0"/>
          <w:bCs w:val="0"/>
          <w:kern w:val="0"/>
          <w:sz w:val="32"/>
          <w:szCs w:val="32"/>
          <w:shd w:val="clear" w:color="auto" w:fill="FFFFFF"/>
          <w:lang w:eastAsia="zh-CN"/>
        </w:rPr>
        <w:t>，管控压力大。</w:t>
      </w:r>
      <w:r>
        <w:rPr>
          <w:rFonts w:hint="eastAsia" w:ascii="仿宋_GB2312" w:hAnsi="仿宋_GB2312" w:eastAsia="仿宋_GB2312" w:cs="仿宋_GB2312"/>
          <w:b w:val="0"/>
          <w:bCs w:val="0"/>
          <w:color w:val="000000"/>
          <w:kern w:val="0"/>
          <w:sz w:val="32"/>
          <w:szCs w:val="32"/>
        </w:rPr>
        <w:t>下一步改进措施：</w:t>
      </w:r>
      <w:r>
        <w:rPr>
          <w:rFonts w:hint="eastAsia" w:ascii="仿宋_GB2312" w:hAnsi="仿宋_GB2312" w:eastAsia="仿宋_GB2312" w:cs="仿宋_GB2312"/>
          <w:b w:val="0"/>
          <w:bCs w:val="0"/>
          <w:color w:val="000000"/>
          <w:kern w:val="0"/>
          <w:sz w:val="32"/>
          <w:szCs w:val="32"/>
          <w:lang w:eastAsia="zh-CN"/>
        </w:rPr>
        <w:t>一是</w:t>
      </w:r>
      <w:r>
        <w:rPr>
          <w:rFonts w:hint="eastAsia" w:ascii="仿宋_GB2312" w:hAnsi="仿宋_GB2312" w:eastAsia="仿宋_GB2312" w:cs="仿宋_GB2312"/>
          <w:b w:val="0"/>
          <w:bCs w:val="0"/>
          <w:color w:val="000000"/>
          <w:spacing w:val="-6"/>
          <w:sz w:val="32"/>
          <w:szCs w:val="32"/>
        </w:rPr>
        <w:t>不断完善生态环境管理体制机制</w:t>
      </w:r>
      <w:r>
        <w:rPr>
          <w:rFonts w:hint="eastAsia" w:ascii="仿宋_GB2312" w:hAnsi="仿宋_GB2312" w:eastAsia="仿宋_GB2312" w:cs="仿宋_GB2312"/>
          <w:b w:val="0"/>
          <w:bCs w:val="0"/>
          <w:color w:val="000000"/>
          <w:spacing w:val="-6"/>
          <w:sz w:val="32"/>
          <w:szCs w:val="32"/>
          <w:lang w:eastAsia="zh-CN"/>
        </w:rPr>
        <w:t>，</w:t>
      </w:r>
      <w:r>
        <w:rPr>
          <w:rFonts w:hint="eastAsia" w:ascii="仿宋_GB2312" w:hAnsi="仿宋_GB2312" w:eastAsia="仿宋_GB2312" w:cs="仿宋_GB2312"/>
          <w:b w:val="0"/>
          <w:bCs w:val="0"/>
          <w:sz w:val="32"/>
          <w:szCs w:val="32"/>
        </w:rPr>
        <w:t>严格落实“党政同责、一岗双责”“三管三必须”的总体要求，提高政治站位，切实履行生态环境保护主体责任。</w:t>
      </w:r>
      <w:r>
        <w:rPr>
          <w:rFonts w:hint="eastAsia" w:ascii="仿宋_GB2312" w:hAnsi="仿宋_GB2312" w:eastAsia="仿宋_GB2312" w:cs="仿宋_GB2312"/>
          <w:b w:val="0"/>
          <w:bCs w:val="0"/>
          <w:color w:val="000000"/>
          <w:spacing w:val="-6"/>
          <w:sz w:val="32"/>
          <w:szCs w:val="32"/>
          <w:lang w:eastAsia="zh-CN"/>
        </w:rPr>
        <w:t>二是</w:t>
      </w:r>
      <w:r>
        <w:rPr>
          <w:rFonts w:hint="eastAsia" w:ascii="仿宋_GB2312" w:hAnsi="仿宋_GB2312" w:eastAsia="仿宋_GB2312" w:cs="仿宋_GB2312"/>
          <w:b w:val="0"/>
          <w:bCs w:val="0"/>
          <w:color w:val="000000"/>
          <w:spacing w:val="-6"/>
          <w:sz w:val="32"/>
          <w:szCs w:val="32"/>
        </w:rPr>
        <w:t>加强生态环境监管执法和能力建设。</w:t>
      </w:r>
      <w:r>
        <w:rPr>
          <w:rFonts w:hint="eastAsia" w:ascii="仿宋_GB2312" w:hAnsi="仿宋_GB2312" w:eastAsia="仿宋_GB2312" w:cs="仿宋_GB2312"/>
          <w:b w:val="0"/>
          <w:bCs w:val="0"/>
          <w:sz w:val="32"/>
          <w:szCs w:val="32"/>
        </w:rPr>
        <w:t>提升生态环境执法效能，强化部门联动和两法衔接，严厉打击生态环境违法行为</w:t>
      </w:r>
      <w:r>
        <w:rPr>
          <w:rFonts w:hint="eastAsia" w:ascii="仿宋_GB2312" w:hAnsi="仿宋_GB2312" w:eastAsia="仿宋_GB2312" w:cs="仿宋_GB2312"/>
          <w:b w:val="0"/>
          <w:bCs w:val="0"/>
          <w:sz w:val="32"/>
          <w:szCs w:val="32"/>
          <w:lang w:eastAsia="zh-CN"/>
        </w:rPr>
        <w:t>。</w:t>
      </w:r>
    </w:p>
    <w:p>
      <w:pPr>
        <w:autoSpaceDE w:val="0"/>
        <w:autoSpaceDN w:val="0"/>
        <w:adjustRightInd w:val="0"/>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color w:val="000000"/>
          <w:kern w:val="0"/>
          <w:sz w:val="32"/>
          <w:szCs w:val="32"/>
        </w:rPr>
        <w:t>（3）部门评价项目绩效评价结果。</w:t>
      </w:r>
    </w:p>
    <w:p>
      <w:pPr>
        <w:autoSpaceDE w:val="0"/>
        <w:autoSpaceDN w:val="0"/>
        <w:adjustRightInd w:val="0"/>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部门评价项目数量3个以内的，至少将1 个部门评价报告向社会公开；部门评价项目数量大于3 个的，至少将2 个部门评价报告向社会公开。报告框架可参考《项目支出绩效评价办法》（财预〔2020〕10 号）中《项目支出绩效评价报告（参考提纲）》、《湖南省预算支出绩效评价管理办法》（湘财绩〔2020〕7号）。</w:t>
      </w:r>
    </w:p>
    <w:p>
      <w:pPr>
        <w:pStyle w:val="14"/>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本单位无重点项目，故未开展重点项目自</w:t>
      </w:r>
      <w:bookmarkStart w:id="0" w:name="_GoBack"/>
      <w:bookmarkEnd w:id="0"/>
      <w:r>
        <w:rPr>
          <w:rFonts w:hint="eastAsia" w:ascii="仿宋_GB2312" w:hAnsi="仿宋_GB2312" w:eastAsia="仿宋_GB2312" w:cs="仿宋_GB2312"/>
          <w:sz w:val="32"/>
          <w:szCs w:val="32"/>
        </w:rPr>
        <w:t>评，无重点项目自评结果。</w:t>
      </w:r>
    </w:p>
    <w:p>
      <w:pPr>
        <w:pStyle w:val="14"/>
        <w:jc w:val="both"/>
        <w:rPr>
          <w:rFonts w:hint="eastAsia" w:ascii="宋体" w:hAnsi="宋体" w:eastAsia="宋体" w:cs="宋体"/>
          <w:b w:val="0"/>
          <w:bCs w:val="0"/>
          <w:sz w:val="28"/>
          <w:szCs w:val="28"/>
        </w:rPr>
      </w:pPr>
    </w:p>
    <w:p>
      <w:pPr>
        <w:pStyle w:val="14"/>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cs="黑体" w:asciiTheme="minorEastAsia" w:hAnsiTheme="minorEastAsia"/>
          <w:color w:val="000000"/>
          <w:kern w:val="0"/>
          <w:sz w:val="32"/>
          <w:szCs w:val="32"/>
        </w:rPr>
        <w:t>……</w:t>
      </w:r>
    </w:p>
    <w:p>
      <w:pPr>
        <w:pStyle w:val="14"/>
        <w:jc w:val="center"/>
        <w:rPr>
          <w:rFonts w:asciiTheme="minorEastAsia" w:hAnsiTheme="minorEastAsia"/>
          <w:sz w:val="32"/>
          <w:szCs w:val="32"/>
        </w:rPr>
      </w:pPr>
      <w:r>
        <w:rPr>
          <w:rFonts w:asciiTheme="minorEastAsia" w:hAnsiTheme="minorEastAsia"/>
          <w:sz w:val="32"/>
          <w:szCs w:val="32"/>
        </w:rPr>
        <w:t>………</w:t>
      </w:r>
    </w:p>
    <w:p>
      <w:pPr>
        <w:widowControl/>
        <w:jc w:val="left"/>
        <w:rPr>
          <w:rFonts w:eastAsia="黑体" w:cs="黑体" w:asciiTheme="minorEastAsia" w:hAnsiTheme="minorEastAsia"/>
          <w:color w:val="000000"/>
          <w:kern w:val="0"/>
          <w:sz w:val="28"/>
          <w:szCs w:val="3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FC5F40D2"/>
    <w:multiLevelType w:val="singleLevel"/>
    <w:tmpl w:val="FC5F40D2"/>
    <w:lvl w:ilvl="0" w:tentative="0">
      <w:start w:val="2"/>
      <w:numFmt w:val="chineseCounting"/>
      <w:suff w:val="nothing"/>
      <w:lvlText w:val="（%1）"/>
      <w:lvlJc w:val="left"/>
      <w:rPr>
        <w:rFonts w:hint="eastAsia"/>
      </w:rPr>
    </w:lvl>
  </w:abstractNum>
  <w:abstractNum w:abstractNumId="2">
    <w:nsid w:val="1AAC832E"/>
    <w:multiLevelType w:val="singleLevel"/>
    <w:tmpl w:val="1AAC832E"/>
    <w:lvl w:ilvl="0" w:tentative="0">
      <w:start w:val="2"/>
      <w:numFmt w:val="decimal"/>
      <w:suff w:val="nothing"/>
      <w:lvlText w:val="（%1）"/>
      <w:lvlJc w:val="left"/>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wNGRhMDkzNTFiMTMwNGY4NTg1MjczOWU1YzM1Y2U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30409F3"/>
    <w:rsid w:val="05633A58"/>
    <w:rsid w:val="064B47C7"/>
    <w:rsid w:val="06AC25A7"/>
    <w:rsid w:val="06B411F0"/>
    <w:rsid w:val="087403E0"/>
    <w:rsid w:val="0BE56081"/>
    <w:rsid w:val="0D0A442F"/>
    <w:rsid w:val="0D341389"/>
    <w:rsid w:val="0D9C521E"/>
    <w:rsid w:val="13BE003E"/>
    <w:rsid w:val="16287449"/>
    <w:rsid w:val="17A87124"/>
    <w:rsid w:val="1A5D51B7"/>
    <w:rsid w:val="1F60778F"/>
    <w:rsid w:val="248026B3"/>
    <w:rsid w:val="26BD5C77"/>
    <w:rsid w:val="27DB542D"/>
    <w:rsid w:val="3182769B"/>
    <w:rsid w:val="319B0147"/>
    <w:rsid w:val="366364DD"/>
    <w:rsid w:val="370B6762"/>
    <w:rsid w:val="387B017E"/>
    <w:rsid w:val="3AB97909"/>
    <w:rsid w:val="3E80400B"/>
    <w:rsid w:val="3E9D5862"/>
    <w:rsid w:val="4589442A"/>
    <w:rsid w:val="45F9639D"/>
    <w:rsid w:val="46E71507"/>
    <w:rsid w:val="4800460D"/>
    <w:rsid w:val="48ED43E7"/>
    <w:rsid w:val="4C66528D"/>
    <w:rsid w:val="4EE06BEA"/>
    <w:rsid w:val="531C524E"/>
    <w:rsid w:val="552B4B0C"/>
    <w:rsid w:val="5AF251E8"/>
    <w:rsid w:val="5E427FA1"/>
    <w:rsid w:val="60A907EA"/>
    <w:rsid w:val="6145544E"/>
    <w:rsid w:val="63447C38"/>
    <w:rsid w:val="67433A78"/>
    <w:rsid w:val="6E8A69EF"/>
    <w:rsid w:val="6EE62182"/>
    <w:rsid w:val="7B4F02AB"/>
    <w:rsid w:val="7D020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next w:val="4"/>
    <w:unhideWhenUsed/>
    <w:qFormat/>
    <w:uiPriority w:val="99"/>
    <w:pPr>
      <w:spacing w:after="120"/>
    </w:pPr>
  </w:style>
  <w:style w:type="paragraph" w:styleId="4">
    <w:name w:val="toc 5"/>
    <w:basedOn w:val="1"/>
    <w:next w:val="1"/>
    <w:unhideWhenUsed/>
    <w:qFormat/>
    <w:uiPriority w:val="0"/>
    <w:pPr>
      <w:spacing w:beforeLines="0" w:afterLines="0"/>
      <w:ind w:left="1680" w:leftChars="800"/>
    </w:pPr>
    <w:rPr>
      <w:rFonts w:hint="eastAsia"/>
      <w:sz w:val="21"/>
      <w:szCs w:val="24"/>
    </w:r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w:basedOn w:val="3"/>
    <w:qFormat/>
    <w:uiPriority w:val="0"/>
    <w:pPr>
      <w:ind w:firstLine="420" w:firstLineChars="100"/>
    </w:p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5"/>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6971</Words>
  <Characters>7687</Characters>
  <Lines>69</Lines>
  <Paragraphs>19</Paragraphs>
  <TotalTime>0</TotalTime>
  <ScaleCrop>false</ScaleCrop>
  <LinksUpToDate>false</LinksUpToDate>
  <CharactersWithSpaces>7808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红蜻蜓</cp:lastModifiedBy>
  <cp:lastPrinted>2022-07-27T12:55:00Z</cp:lastPrinted>
  <dcterms:modified xsi:type="dcterms:W3CDTF">2023-09-23T05:05:03Z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C02081F76A1C414C807C3137DC2EA958</vt:lpwstr>
  </property>
</Properties>
</file>