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岳阳市城市管理和综合执法局湖南城陵矶新港区分局2022年度单位预算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2、收入总表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3、支出总表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4、支出预算分类汇总表（按政府预算经济分类）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5、支出预算分类汇总表（按部门预算经济分类）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6、财政拨款收支总表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7、一般公共预算支出表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8、一般公共预算基本支出表-人员经费（工资福利支出）（按政府预算经济分类）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9、一般公共预算基本支出表-人员经费（工资福利支出）（按部门预算经济分类）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10、一般公共预算基本支出表-人员经费（对个人和家庭的补助）（按政府预算经济分类）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11、一般公共预算基本支出表-人员经费（对个人和家庭的补助）（按部门预算经济分类）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14、一般公共预算“三公”经费支出表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15、政府性基金预算支出表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16、政府性基金预算支出分类汇总表（按政府预算经济分类）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17、政府性基金预算支出分类汇总表（按部门预算经济分类）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18、国有资本经营预算支出表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19、财政专户管理资金预算支出表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20、专项资金预算汇总表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21、项目支出绩效目标表</w:t>
            </w:r>
          </w:p>
          <w:p>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22、整体支出绩效目标表</w:t>
            </w:r>
          </w:p>
          <w:p>
            <w:pPr>
              <w:widowControl/>
              <w:jc w:val="left"/>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23、一般公共预算基本支出表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岳阳市城市管理和综合执法局湖南城陵矶新港区分局承担城陵矶新港区辖区内市容环境卫生、园林绿化、城管执法、市政公共设施维护、路灯亮化、渣土运输（道路破占道）、户外广告、城镇燃气、停车管理等职能。</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独立编制、核算机构数1个，核定人员编制22人，现有人员编制20人，为公益一类事业单位。内设科室分别是综合股、财务股、行政审批股、维护考评股、执法一中队、执法二中队、执法三中队。</w:t>
            </w:r>
          </w:p>
          <w:p>
            <w:pPr>
              <w:widowControl/>
              <w:jc w:val="left"/>
              <w:rPr>
                <w:rFonts w:ascii="仿宋_GB2312" w:hAnsi="宋体" w:eastAsia="仿宋_GB2312" w:cs="宋体"/>
                <w:kern w:val="0"/>
                <w:sz w:val="28"/>
                <w:szCs w:val="28"/>
              </w:rPr>
            </w:pP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283.15万元，其中，一般公共预算拨款283.15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收入较去年增加65.71万元，主要是因为人员经费增加。</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单位支出预算283.15万元，其中，城乡社区支出281.65万元，占比99.47%，农林水支出1.5万元，占比0.53%。支出较去年增加65.71万元，其中基本支出增加16.45万元，项目支出增加49.26万元。其中基本支出较上年增加主要是因为人员工资增加，运转类（其他）项目支出增加主要是因为伙食补助、物业补贴、工会经费等人员经费增加。</w:t>
            </w:r>
          </w:p>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说明：</w:t>
            </w:r>
            <w:r>
              <w:rPr>
                <w:rFonts w:hint="eastAsia" w:ascii="仿宋_GB2312" w:hAnsi="宋体" w:eastAsia="仿宋_GB2312" w:cs="宋体"/>
                <w:kern w:val="0"/>
                <w:sz w:val="28"/>
                <w:szCs w:val="28"/>
                <w:lang w:val="en-US" w:eastAsia="zh-CN"/>
              </w:rPr>
              <w:t>2022年预算公开文档第三大点（对应表3）、第四大点（对应表7）中的金额和百分比，由于预算编制时金额明细到了“分”，而公开表格显示和公开文档取数只到“百元”，可能导致0.01的尾数差异。</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2022年本单位一般公共预算拨款支出预算283.15万元，其中，城乡社区支出281.65万元，占比99.47%，农林水支出1.5万元，占比0.53%。具体安排情况如下：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203.89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79.26万元，是指单位为完成特定行政工作任务或事业发展目标而发生的支出，包括有关业务工作经费、运行维护经费等。其中：运转类（其他）项目支出64.26万元，主要用于工会经费补助、伙食费补助、物业服务补贴、综合绩效奖和平安岳阳建设奖等方面；特定目标类项目15万元，主要用于城管事务管理等方面。</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autoSpaceDE w:val="0"/>
              <w:autoSpaceDN w:val="0"/>
              <w:spacing w:line="60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本单位2022年机关运行经费当年一般公共预算拨款20万元，比上一年增加0.2万元，增加0.01</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，主要原因是人员工资正常增长。</w:t>
            </w:r>
          </w:p>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三公”经费预算数0万元，其中，公务接待费0万元，因公出国（境）费0万元，公务用车购置及运行费0万元，其中公务用车购置费0万元，公务用车运行费0万元。比上一年减少10.5万元，减少100%，主要原因是2022年无相关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本单位2022年培训费预算1.5万元，拟开展1次培训，人数21人，内容为行政执法专项培训。2022年度本单位未计划安排会议，未计划举办节庆、晚会、论坛、赛事活动。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2022年度本单位未安排政府采购预算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截至上一年12月底，本单位共有车辆2辆，其中领导干部用车0辆，一般公务用车0辆，其他用车2辆。单位价值50万元以上通用设备0台，单位价值100万元以上专用设备0台。</w:t>
            </w:r>
          </w:p>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本单位所有支出实行绩效目标管理。纳入2022年部门整体支出绩效目标的金额为283.15万元，其中，基本支出203.89万元，项目支出79.26万元，详见文尾附表中单位预算公开表格的表21-22。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2、收入总表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3、支出总表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4、支出预算分类汇总表（按政府预算经济分类）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5、支出预算分类汇总表（按部门预算经济分类）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6、财政拨款收支总表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7、一般公共预算支出表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8、一般公共预算基本支出表-人员经费（工资福利支出）（按政府预算经济分类）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9、一般公共预算基本支出表-人员经费（工资福利支出）（按部门预算经济分类）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10、一般公共预算基本支出表-人员经费（对个人和家庭的补助）（按政府预算经济分类）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11、一般公共预算基本支出表-人员经费（对个人和家庭的补助）（按部门预算经济分类）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14、一般公共预算“三公”经费支出表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15、政府性基金预算支出表</w:t>
            </w:r>
            <w:bookmarkStart w:id="0" w:name="_GoBack"/>
            <w:bookmarkEnd w:id="0"/>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16、政府性基金预算支出分类汇总表（按政府预算经济分类）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17、政府性基金预算支出分类汇总表（按部门预算经济分类）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18、国有资本经营预算支出表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19、财政专户管理资金预算支出表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20、专项资金预算汇总表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21、项目支出绩效目标表</w:t>
            </w:r>
          </w:p>
          <w:p>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22、整体支出绩效目标表</w:t>
            </w:r>
          </w:p>
          <w:p>
            <w:pPr>
              <w:widowControl/>
              <w:jc w:val="left"/>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23、一般公共预算基本支出表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NTc4YmUwYjZiMzUwNjI5ZDgzMDEyNWNlOGNkOWMifQ=="/>
  </w:docVars>
  <w:rsids>
    <w:rsidRoot w:val="003A4954"/>
    <w:rsid w:val="003A4954"/>
    <w:rsid w:val="00A70A66"/>
    <w:rsid w:val="18F71617"/>
    <w:rsid w:val="318254C8"/>
    <w:rsid w:val="34F03B35"/>
    <w:rsid w:val="6A1E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510</Words>
  <Characters>2907</Characters>
  <Lines>24</Lines>
  <Paragraphs>6</Paragraphs>
  <TotalTime>0</TotalTime>
  <ScaleCrop>false</ScaleCrop>
  <LinksUpToDate>false</LinksUpToDate>
  <CharactersWithSpaces>3411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2023-06-08T07:43:00Z</dcterms:created>
  <dc:creator>PC</dc:creator>
  <cp:lastModifiedBy>闪闪</cp:lastModifiedBy>
  <dcterms:modified xsi:type="dcterms:W3CDTF">2023-09-23T04:08:48Z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B7FECE80CC1340D79147DFCE7BC7A6E5_13</vt:lpwstr>
  </property>
</Properties>
</file>