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5000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0" w:hRule="atLeast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小标宋_GBK" w:hAnsi="宋体" w:eastAsia="方正小标宋_GBK" w:cs="宋体"/>
                <w:color w:val="000000"/>
                <w:kern w:val="0"/>
                <w:sz w:val="40"/>
                <w:szCs w:val="40"/>
              </w:rPr>
            </w:pPr>
            <w:r>
              <w:rPr>
                <w:rFonts w:hint="eastAsia" w:ascii="方正小标宋_GBK" w:hAnsi="宋体" w:eastAsia="方正小标宋_GBK" w:cs="宋体"/>
                <w:color w:val="000000"/>
                <w:kern w:val="0"/>
                <w:sz w:val="40"/>
                <w:szCs w:val="40"/>
              </w:rPr>
              <w:t>岳阳市城市管理信息中心2022年度单位预算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36"/>
                <w:szCs w:val="36"/>
              </w:rPr>
            </w:pPr>
            <w:r>
              <w:rPr>
                <w:rFonts w:hint="eastAsia" w:ascii="黑体" w:hAnsi="黑体" w:eastAsia="黑体" w:cs="宋体"/>
                <w:kern w:val="0"/>
                <w:sz w:val="36"/>
                <w:szCs w:val="36"/>
              </w:rPr>
              <w:t>目录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第一部分  2022年单位预算说明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第二部分  2022年单位预算公开表格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2" w:hRule="atLeast"/>
        </w:trPr>
        <w:tc>
          <w:tcPr>
            <w:tcW w:w="5000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numPr>
                <w:ilvl w:val="0"/>
                <w:numId w:val="1"/>
              </w:numPr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收支总表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2、收入总表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3、支出总表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4、支出预算分类汇总表（按政府预算经济分类）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5、支出预算分类汇总表（按部门预算经济分类）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6、财政拨款收支总表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7、一般公共预算支出表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8、一般公共预算基本支出表-人员经费（工资福利支出）（按政府预算经济分类）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9、一般公共预算基本支出表-人员经费（工资福利支出）（按部门预算经济分类）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10、一般公共预算基本支出表-人员经费（对个人和家庭的补助）（按政府预算经济分类）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11、一般公共预算基本支出表-人员经费（对个人和家庭的补助）（按部门预算经济分类）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12、一般公共预算基本支出表-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公用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经费（商品和服务支出）（按政府预算经济分类）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13、一般公共预算基本支出表-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公用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经费（商品和服务支出）（按部门预算经济分类）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14、一般公共预算“三公”经费支出表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15、政府性基金预算支出表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16、政府性基金预算支出分类汇总表（按政府预算经济分类）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17、政府性基金预算支出分类汇总表（按部门预算经济分类）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18、国有资本经营预算支出表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19、财政专户管理资金预算支出表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20、专项资金预算汇总表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21、项目支出绩效目标表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22、整体支出绩效目标表</w:t>
            </w:r>
          </w:p>
          <w:p>
            <w:pPr>
              <w:widowControl/>
              <w:numPr>
                <w:ilvl w:val="0"/>
                <w:numId w:val="0"/>
              </w:numPr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23、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一般公共预算基本支出表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注：以上单位预算公开报表中，空表表示本单位无相关收支情况。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2" w:hRule="atLeast"/>
        </w:trPr>
        <w:tc>
          <w:tcPr>
            <w:tcW w:w="5000" w:type="pct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36"/>
                <w:szCs w:val="36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36"/>
                <w:szCs w:val="36"/>
              </w:rPr>
              <w:t>第一部分  2022年单位预算说明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5" w:hRule="atLeast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一、单位基本概况</w:t>
            </w:r>
          </w:p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（一）职能职责</w:t>
            </w:r>
          </w:p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负责编制岳阳市城市管理信息化建设总体规划并具体组织实施；负责统筹规划、建设、管理、维护、更新岳阳市城市管理信息网；负责市政基础设施、城市绿化、路灯、环卫及附属设施的信息收集、保管、利用、开发等；负责市城市管理局系统档案、资料库的建建设及管理；负责跟踪国内外有关城市管理的信息网络和信息技术的发展动态，做好新技术、新产品的推广应用工作；承办主管部门交办的其他工作。</w:t>
            </w:r>
          </w:p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（二）机构设置</w:t>
            </w:r>
          </w:p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本单位为全额拨款公益一类事业单位，编制人数7人。单位内设机构包括：办公室和人事股。</w:t>
            </w:r>
          </w:p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二、单位预算单位构成</w:t>
            </w:r>
          </w:p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本单位预算仅含本级预算。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三、单位收支总体情况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（一）收入预算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5" w:hRule="atLeast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 xml:space="preserve">    包括一般公共预算、政府性基金、国有资本经营预算等财政拨款收入，以及经营收入、事业收入等单位资金。2022年本单位收入预算122.15万元，其中，一般公共预算拨款122.15万元，政府性基金预算拨款0万元，所以公开的附件15-17（政府性基金预算）为空,国有资本经营预算拨款0万元，所以公开的附表18（国有资本经营预算）为空,财政专户管理资金0万元，所以公开的附表19表（财政专户管理资金预算）为空，上级补助收入0万元，事业单位经营收入0万元，上年结转结余0万元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 xml:space="preserve">  本年收入较上年增加37.83万元，主要是本年预算保障形式变更，年初增加了按项目管理的工资福利支出经费21.42万元，另外本年较上年增加2人，预算经费相应增加。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（二）支出预算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ind w:firstLine="560"/>
              <w:jc w:val="left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2022年本单位支出预算122.15万元，其中，社会保障和就业支出7.63万元，占比6.25%，卫生健康支出3.91万元，占比3.20%，城乡社区支出104.89万元，占比85.87%，住房保障支出5.72万元，占比4.68%。支出预算较上年增加37.83万元，主要是本年预算保障形式变更，年初增加了按项目管理的工资福利支出经费21.42万元。</w:t>
            </w:r>
          </w:p>
          <w:p>
            <w:pPr>
              <w:widowControl/>
              <w:ind w:firstLine="560"/>
              <w:jc w:val="left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说明：2022年预算公开文档第三大点（对应表3）、第四大点（对应表7）中的金额和百分比，由于预算编制时金额明细到了“分”，而公开表格显示和公开文档取数只到“百元</w:t>
            </w:r>
            <w:r>
              <w:rPr>
                <w:rFonts w:hint="default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’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,可能导致0.01的尾数差异。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四、一般公共预算拨款支出预算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 xml:space="preserve">    2022年本单位一般公共预算拨款支出预算122.15万元，其中，社会保障和就业支出7.63万元，占比6.25%，卫生健康支出3.91万元，占比3.20%，城乡社区支出104.89万元，占比85.87%，住房保障支出5.72万元，占比4.68%。具体安排情况如下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 xml:space="preserve">    （一）基本支出：2022年基本支出年初预算数为72.73万元（数据来源见表7），是指为保障单位机构正常运转、完成日常工作任务而发生的各项支出，包括用于基本工资、津贴补贴等人员经费以及办公费、印刷费、水电费、差旅费等日常公用经费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 xml:space="preserve">    （二）项目支出：2022年项目支出年初预算数为49.42万元，是指单位为完成特定行政工作任务或事业发展目标而发生的支出，包括有关业务工作经费、运行维护经费等。其中：工会经费补助2.10万元、伙食补助2.80万元、物业服务补贴2.52万元、预安排综合绩效奖和平安岳阳建设奖14.00万元，主要用于项目管理的工资福利支出等方面；地下弱电管网专项工作经费28万元，主要用于城区地下弱电管网建设管理，编制岳阳市城市管理信息化建设总体规划，并具体组织实施等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五、政府性基金预算支出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 xml:space="preserve">    2022年度本单位无政府性基金安排的支出，所以公开的附件15-17（政府性基金预算）为空。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六、其他重要事项的情况说明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（一）机关运行经费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9" w:hRule="atLeast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 xml:space="preserve">    本单位2022年机关运行经费当年一般公共预算拨款7.08万元，比上年增加2.15万元，增加43.61%，主要原因是本年较上年增加2人，预算经费相应增加。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1" w:hRule="atLeast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（二）“三公”经费预算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 xml:space="preserve">    本单位2022年“三公”经费预算数0万元，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其中公务接待费0万元，因公出国（境）费0万元，公务用车购置及运行费0万元，其中，公务用车购置费0万元，公务用车运行费0万元。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比上年减少1万元，降低100%，主要原因是本单位落实厉行节约制度，严控“三公经费”支出。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（三）一般性支出情况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 xml:space="preserve">    本单位2022年会议费、培训费预算均为0万元，2022年度本单位未计划举办节庆、晚会、论坛、赛事活动，支出预算0万元。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（四）政府采购情况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本单位2022年无政府采购支出。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（五）国有资产占有使用及新增资产配置情况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0" w:hRule="atLeast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截至2021年12月底，本单位共有车辆0辆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eastAsia="zh-CN"/>
              </w:rPr>
              <w:t>，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其中领导干部用车0辆，公务用车0辆，其他用车0辆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，单位价值50万元以上通用设备0台，单位价值100万元以上专用设备0台。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 xml:space="preserve">    2022年拟报废处置公务用车0辆，拟新增配置车辆0辆，其中领导干部用车0辆，一般公务用车0辆，其他用车0辆。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 xml:space="preserve">    2022年拟新增配备领导干部用车0辆，一般公务用车0辆，其他用车0辆，新增配备单位价值50万元以上通用设备0台，单位价值100万元以上专用设备0台。2022年度本单位未计划处置或新增车辆、设备等。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（六）预算绩效目标说明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 xml:space="preserve">    本单位所有支出实行绩效目标管理。纳入2022年部门整体支出绩效目标的金额为122.15万元，其中，基本支出72.73万元，项目支出49.42万元，详见文尾附表中单位预算公开表格的表21-22。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七、名词解释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0" w:hRule="atLeast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1、机关运行经费：是指各部门的公用经费，包括办公及印刷费、邮电费、差旅费、会议费、福利费、日常维修费、专用资料及一般设备购置费、办公用房水电费、办公用房取暖费、办公用房物业管理费、公务用车运行维护费以及其他费用。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 xml:space="preserve">    2、“三公”经费：纳入财政预算管理的“三公“经费，是指用一般公共预算拨款安排的公务接待费、公务用车购置及运行维护费和因公出国（境）费。其中，公务接待费反映单位按规定开支的各类公务接待支出；公务用车购置及运行费反映单位公务用车车辆购置支出（含车辆购置税），以及燃料费、维修费、保险费等支出；因公出国（境）费反映单位公务出国（境）的国际旅费、国外城市间交通费、食宿费等支出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36"/>
                <w:szCs w:val="36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36"/>
                <w:szCs w:val="36"/>
              </w:rPr>
              <w:t>第二部分  2022年单位预算公开表格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0" w:hRule="atLeast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numPr>
                <w:ilvl w:val="0"/>
                <w:numId w:val="2"/>
              </w:numPr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收支总表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2、收入总表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3、支出总表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4、支出预算分类汇总表（按政府预算经济分类）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5、支出预算分类汇总表（按部门预算经济分类）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6、财政拨款收支总表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7、一般公共预算支出表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8、一般公共预算基本支出表-人员经费（工资福利支出）（按政府预算经济分类）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9、一般公共预算基本支出表-人员经费（工资福利支出）（按部门预算经济分类）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10、一般公共预算基本支出表-人员经费（对个人和家庭的补助）（按政府预算经济分类）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11、一般公共预算基本支出表-人员经费（对个人和家庭的补助）（按部门预算经济分类）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12、一般公共预算基本支出表-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公用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经费（商品和服务支出）（按政府预算经济分类）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13、一般公共预算基本支出表-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公用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经费（商品和服务支出）（按部门预算经济分类）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14、一般公共预算“三公”经费支出表</w:t>
            </w:r>
            <w:bookmarkStart w:id="0" w:name="_GoBack"/>
            <w:bookmarkEnd w:id="0"/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15、政府性基金预算支出表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16、政府性基金预算支出分类汇总表（按政府预算经济分类）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17、政府性基金预算支出分类汇总表（按部门预算经济分类）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18、国有资本经营预算支出表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19、财政专户管理资金预算支出表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20、专项资金预算汇总表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21、项目支出绩效目标表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22、整体支出绩效目标表</w:t>
            </w:r>
          </w:p>
          <w:p>
            <w:pPr>
              <w:widowControl/>
              <w:numPr>
                <w:ilvl w:val="0"/>
                <w:numId w:val="0"/>
              </w:numPr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23、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一般公共预算基本支出表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注：以上单位预算公开报表中，空表表示本单位无相关收支情况。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roma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BFDBDED"/>
    <w:multiLevelType w:val="singleLevel"/>
    <w:tmpl w:val="3BFDBDED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5658E314"/>
    <w:multiLevelType w:val="singleLevel"/>
    <w:tmpl w:val="5658E314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TQ5OTBlMjkxOGJkZTY2YWVjYTkxNWZjODEzNjkwZDcifQ=="/>
  </w:docVars>
  <w:rsids>
    <w:rsidRoot w:val="006B0870"/>
    <w:rsid w:val="006B0870"/>
    <w:rsid w:val="006E038B"/>
    <w:rsid w:val="05445043"/>
    <w:rsid w:val="129D27C9"/>
    <w:rsid w:val="18F71640"/>
    <w:rsid w:val="2A4B5F78"/>
    <w:rsid w:val="341E33F0"/>
    <w:rsid w:val="421A3B26"/>
    <w:rsid w:val="47C435EA"/>
    <w:rsid w:val="59DE1485"/>
    <w:rsid w:val="5F944AC0"/>
    <w:rsid w:val="6D205BE5"/>
    <w:rsid w:val="7B8F5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8</Pages>
  <Words>3040</Words>
  <Characters>3297</Characters>
  <Lines>24</Lines>
  <Paragraphs>6</Paragraphs>
  <TotalTime>0</TotalTime>
  <ScaleCrop>false</ScaleCrop>
  <LinksUpToDate>false</LinksUpToDate>
  <CharactersWithSpaces>3359</CharactersWithSpaces>
  <Application>WPS Office_11.8.6.11825_F1E327BC-269C-435d-A152-05C5408002CA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2023-06-08T07:03:00Z</dcterms:created>
  <dc:creator>PC</dc:creator>
  <cp:lastModifiedBy>闪闪</cp:lastModifiedBy>
  <dcterms:modified xsi:type="dcterms:W3CDTF">2023-09-23T04:37:54Z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2052-11.8.6.11825</vt:lpwstr>
  </property>
  <property fmtid="{D5CDD505-2E9C-101B-9397-08002B2CF9AE}" pid="3" name="ICV">
    <vt:lpwstr>EAE784D75F8F44A99FD3C58E18696473</vt:lpwstr>
  </property>
</Properties>
</file>