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5000" w:type="pct"/>
        <w:tblInd w:w="0" w:type="dxa"/>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1380" w:hRule="atLeast"/>
        </w:trPr>
        <w:tc>
          <w:tcPr>
            <w:tcW w:w="5000" w:type="pc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岳阳市土石方调配运输服务中心2022年度单位预算</w:t>
            </w:r>
          </w:p>
        </w:tc>
      </w:tr>
      <w:tr>
        <w:tblPrEx>
          <w:tblCellMar>
            <w:top w:w="0" w:type="dxa"/>
            <w:left w:w="108" w:type="dxa"/>
            <w:bottom w:w="0" w:type="dxa"/>
            <w:right w:w="108" w:type="dxa"/>
          </w:tblCellMar>
        </w:tblPrEx>
        <w:trPr>
          <w:trHeight w:val="642"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kern w:val="0"/>
                <w:sz w:val="36"/>
                <w:szCs w:val="36"/>
              </w:rPr>
            </w:pPr>
            <w:r>
              <w:rPr>
                <w:rFonts w:hint="eastAsia" w:ascii="黑体" w:hAnsi="黑体" w:eastAsia="黑体" w:cs="宋体"/>
                <w:kern w:val="0"/>
                <w:sz w:val="36"/>
                <w:szCs w:val="36"/>
              </w:rPr>
              <w:t>目录</w:t>
            </w:r>
          </w:p>
        </w:tc>
      </w:tr>
      <w:tr>
        <w:tblPrEx>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第一部分  2022年单位预算说明</w:t>
            </w:r>
          </w:p>
        </w:tc>
      </w:tr>
      <w:tr>
        <w:tblPrEx>
          <w:tblCellMar>
            <w:top w:w="0" w:type="dxa"/>
            <w:left w:w="108" w:type="dxa"/>
            <w:bottom w:w="0" w:type="dxa"/>
            <w:right w:w="108" w:type="dxa"/>
          </w:tblCellMar>
        </w:tblPrEx>
        <w:trPr>
          <w:trHeight w:val="6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第二部分  2022年单位预算公开表格</w:t>
            </w:r>
          </w:p>
        </w:tc>
      </w:tr>
      <w:tr>
        <w:tblPrEx>
          <w:tblCellMar>
            <w:top w:w="0" w:type="dxa"/>
            <w:left w:w="108" w:type="dxa"/>
            <w:bottom w:w="0" w:type="dxa"/>
            <w:right w:w="108" w:type="dxa"/>
          </w:tblCellMar>
        </w:tblPrEx>
        <w:trPr>
          <w:trHeight w:val="4482" w:hRule="atLeast"/>
        </w:trPr>
        <w:tc>
          <w:tcPr>
            <w:tcW w:w="5000" w:type="pct"/>
            <w:vMerge w:val="restart"/>
            <w:tcBorders>
              <w:top w:val="nil"/>
              <w:left w:val="nil"/>
              <w:bottom w:val="nil"/>
              <w:right w:val="nil"/>
            </w:tcBorders>
            <w:shd w:val="clear" w:color="auto" w:fill="auto"/>
            <w:vAlign w:val="center"/>
          </w:tcPr>
          <w:p>
            <w:pPr>
              <w:widowControl/>
              <w:numPr>
                <w:ilvl w:val="0"/>
                <w:numId w:val="1"/>
              </w:numPr>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2、收入总表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3、支出总表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4、支出预算分类汇总表（按政府预算经济分类）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5、支出预算分类汇总表（按部门预算经济分类）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6、财政拨款收支总表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7、一般公共预算支出表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8、一般公共预算基本支出表-人员经费（工资福利支出）（按政府预算经济分类）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9、一般公共预算基本支出表-人员经费（工资福利支出）（按部门预算经济分类）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10、一般公共预算基本支出表-人员经费（对个人和家庭的补助）（按政府预算经济分类）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11、一般公共预算基本支出表-人员经费（对个人和家庭的补助）（按部门预算经济分类）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12、一般公共预算基本支出表-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13、一般公共预算基本支出表-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14、一般公共预算“三公”经费支出表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15、政府性基金预算支出表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16、政府性基金预算支出分类汇总表（按政府预算经济分类）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17、政府性基金预算支出分类汇总表（按部门预算经济分类）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18、国有资本经营预算支出表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19、财政专户管理资金预算支出表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20、专项资金预算汇总表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21、项目支出绩效目标表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22、整体支出绩效目标表</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textAlignment w:val="center"/>
              <w:rPr>
                <w:rFonts w:hint="eastAsia" w:ascii="仿宋" w:hAnsi="仿宋" w:eastAsia="仿宋" w:cs="仿宋"/>
                <w:i w:val="0"/>
                <w:iCs w:val="0"/>
                <w:caps w:val="0"/>
                <w:color w:val="333333"/>
                <w:spacing w:val="0"/>
                <w:sz w:val="28"/>
                <w:szCs w:val="28"/>
                <w:lang w:val="en-US" w:eastAsia="zh-CN"/>
              </w:rPr>
            </w:pPr>
            <w:r>
              <w:rPr>
                <w:rFonts w:hint="eastAsia" w:ascii="仿宋" w:hAnsi="仿宋" w:eastAsia="仿宋" w:cs="仿宋"/>
                <w:i w:val="0"/>
                <w:iCs w:val="0"/>
                <w:caps w:val="0"/>
                <w:color w:val="333333"/>
                <w:spacing w:val="0"/>
                <w:sz w:val="28"/>
                <w:szCs w:val="28"/>
                <w:lang w:val="en-US" w:eastAsia="zh-CN"/>
              </w:rPr>
              <w:t>23、一般公共预算基本支出表</w:t>
            </w:r>
          </w:p>
          <w:p>
            <w:pPr>
              <w:widowControl/>
              <w:numPr>
                <w:ilvl w:val="0"/>
                <w:numId w:val="0"/>
              </w:numPr>
              <w:jc w:val="left"/>
              <w:rPr>
                <w:rFonts w:hint="eastAsia" w:ascii="仿宋_GB2312" w:hAnsi="宋体" w:eastAsia="仿宋_GB2312" w:cs="宋体"/>
                <w:color w:val="000000"/>
                <w:kern w:val="0"/>
                <w:sz w:val="28"/>
                <w:szCs w:val="28"/>
              </w:rPr>
            </w:pPr>
          </w:p>
          <w:p>
            <w:pPr>
              <w:widowControl/>
              <w:numPr>
                <w:ilvl w:val="0"/>
                <w:numId w:val="0"/>
              </w:numPr>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注：以上单位预算公开报表中，空表表示本单位无相关收支情况。</w:t>
            </w:r>
          </w:p>
        </w:tc>
      </w:tr>
      <w:tr>
        <w:tblPrEx>
          <w:tblCellMar>
            <w:top w:w="0" w:type="dxa"/>
            <w:left w:w="108" w:type="dxa"/>
            <w:bottom w:w="0" w:type="dxa"/>
            <w:right w:w="108" w:type="dxa"/>
          </w:tblCellMar>
        </w:tblPrEx>
        <w:trPr>
          <w:trHeight w:val="4482" w:hRule="atLeast"/>
        </w:trPr>
        <w:tc>
          <w:tcPr>
            <w:tcW w:w="5000" w:type="pct"/>
            <w:vMerge w:val="continue"/>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0"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第一部分  2022年单位预算说明</w:t>
            </w:r>
          </w:p>
        </w:tc>
      </w:tr>
      <w:tr>
        <w:tblPrEx>
          <w:tblCellMar>
            <w:top w:w="0" w:type="dxa"/>
            <w:left w:w="108" w:type="dxa"/>
            <w:bottom w:w="0" w:type="dxa"/>
            <w:right w:w="108" w:type="dxa"/>
          </w:tblCellMar>
        </w:tblPrEx>
        <w:trPr>
          <w:trHeight w:val="2625" w:hRule="atLeast"/>
        </w:trPr>
        <w:tc>
          <w:tcPr>
            <w:tcW w:w="5000" w:type="pct"/>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一、单位基本概况</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（一）职能职责</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为城市管理工作提供服务:负责城市规划范围内土石方调配运输的监督管理和对建筑垃圾的跟踪管理；负责监督临街基建单位（个人）道路、桥梁建设以及管线埋设工程落实围挡作业和文明施工。负责城市道路、桥梁的开挖、占用以及车辆临时停靠点和停车管理。</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（二）机构设置</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本单位为公益一类事业单位,编制人数24人，单位内设机构包括：人秘股、稽查股、综合股。</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二、单位预算单位构成</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本单位预算仅含本级预算。</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三、单位收支总体情况</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（一）收入预算</w:t>
            </w:r>
          </w:p>
        </w:tc>
      </w:tr>
      <w:tr>
        <w:tblPrEx>
          <w:tblCellMar>
            <w:top w:w="0" w:type="dxa"/>
            <w:left w:w="108" w:type="dxa"/>
            <w:bottom w:w="0" w:type="dxa"/>
            <w:right w:w="108" w:type="dxa"/>
          </w:tblCellMar>
        </w:tblPrEx>
        <w:trPr>
          <w:trHeight w:val="187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包括一般公共预算、政府性基金、国有资本经营预算等财政拨款收入，以及经营收入、事业收入等单位资金。2022年本单位收入预算451.74万元，其中，一般公共预算拨款451.74万元，政府性基金预算拨款0万元，所以公开的附件15-17（政府性基金预算）为空,国有资本经营预算拨款0万元，所以公开的附表18（国有资本经营预算）为空,财政专户管理资金0万元，所以公开的附表19表（财政专户管理资金预算）为空，上级补助收入0万元，事业单位经营收入0万元，上年结转结余0万元。</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本年收入较上年减少50.26万元，主要是因为2022年本单位财政预算保障方式的变更，由原来的差额拨款变更为全额拨款。</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（二）支出预算</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 xml:space="preserve">    2022年本单位支出预算451.74万元，其中，社会保障和就业支出23.62万元，占比5.23%，卫生健康支出12.14万元，占比2.69%，城乡社区支出398.26万元，占比88.16%，住房保障支出17.72万元，占比3.92%。支出预算较去年减少50.26万元，主要是因为2022年单位财政预算保障方式的变更，由原来的差额拨款变更为全额拨款。</w:t>
            </w:r>
            <w:r>
              <w:rPr>
                <w:rFonts w:hint="eastAsia" w:ascii="仿宋_GB2312" w:hAnsi="宋体" w:eastAsia="仿宋_GB2312" w:cs="宋体"/>
                <w:kern w:val="0"/>
                <w:sz w:val="28"/>
                <w:szCs w:val="28"/>
                <w:lang w:val="en-US" w:eastAsia="zh-CN"/>
              </w:rPr>
              <w:t>说明：2022年预算公开文档第三大点（对应表3）、第四大点（对应表7）中的金额和百分比，由于预算编制时金额明细到了“分”，而公开表格显示和公开文档取数只到“百元”，可能导致0.01的尾数差异。</w:t>
            </w:r>
          </w:p>
          <w:p>
            <w:pPr>
              <w:widowControl/>
              <w:jc w:val="left"/>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四、一般公共预算拨款支出预算</w:t>
            </w:r>
          </w:p>
        </w:tc>
      </w:tr>
      <w:tr>
        <w:tblPrEx>
          <w:tblCellMar>
            <w:top w:w="0" w:type="dxa"/>
            <w:left w:w="108" w:type="dxa"/>
            <w:bottom w:w="0" w:type="dxa"/>
            <w:right w:w="108" w:type="dxa"/>
          </w:tblCellMar>
        </w:tblPrEx>
        <w:trPr>
          <w:trHeight w:val="126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2022年本单位一般公共预算拨款支出预算451.74万元，其中，社会保障和就业支出23.62万元，占比5.23%，卫生健康支出12.14万元，占比2.69%，城乡社区支出398.26万元，占比88.16%，住房保障支出17.72万元，占比3.92%。具体安排情况如下：</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一）基本支出：2022年基本支出年初预算数为227.3万元（数据来源见表7），是指为保障单位机构正常运转、完成日常工作任务而发生的各项支出，包括用于基本工资、津贴补贴等人员经费以及办公费、印刷费、水电费、差旅费等日常公用经费。</w:t>
            </w:r>
          </w:p>
        </w:tc>
      </w:tr>
      <w:tr>
        <w:tblPrEx>
          <w:tblCellMar>
            <w:top w:w="0" w:type="dxa"/>
            <w:left w:w="108" w:type="dxa"/>
            <w:bottom w:w="0" w:type="dxa"/>
            <w:right w:w="108" w:type="dxa"/>
          </w:tblCellMar>
        </w:tblPrEx>
        <w:trPr>
          <w:trHeight w:val="15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二）项目支出：2022年项目支出年初预算数为224.44万元，是指单位为完成特定行政工作任务或事业发展目标而发生的支出，包括有关业务工作经费、运行维护经费等。其中：工会经费补助7.20万元、伙食补助9.60万元、物业服务补贴8.64万元、预安排综合绩效奖和平安岳阳建设奖48.00万元，主要用于项目管理的工资福利支出等方面；非税收入征收成本126.00万元、土石方调配管理办工作经费25.00万元，主要用于城区扬尘治理监管、破道管理、装潢垃圾清运、道路污染应急处置、建筑垃圾监管信息平台等方面。</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五、政府性基金预算支出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2022年度本单位无政府性基金安排的支出，所以公开的附件15-17（政府性基金预算）为空。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六、其他重要事项的情况说明</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（一）机关运行经费</w:t>
            </w:r>
          </w:p>
        </w:tc>
      </w:tr>
      <w:tr>
        <w:tblPrEx>
          <w:tblCellMar>
            <w:top w:w="0" w:type="dxa"/>
            <w:left w:w="108" w:type="dxa"/>
            <w:bottom w:w="0" w:type="dxa"/>
            <w:right w:w="108" w:type="dxa"/>
          </w:tblCellMar>
        </w:tblPrEx>
        <w:trPr>
          <w:trHeight w:val="85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本单位2022年机关运行经费当年一般公共预算拨款23.74万元，因机构改革，本单位性质由差额拨款变更为全额拨款，财政预算保障方式相应调整，与上年无可比性。</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（二）“三公”经费预算</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本单位2022年“三公”经费预算数8.00万元，其中</w:t>
            </w:r>
            <w:r>
              <w:rPr>
                <w:rFonts w:hint="eastAsia" w:ascii="仿宋_GB2312" w:hAnsi="宋体" w:eastAsia="仿宋_GB2312" w:cs="宋体"/>
                <w:kern w:val="0"/>
                <w:sz w:val="28"/>
                <w:szCs w:val="28"/>
                <w:lang w:val="en-US" w:eastAsia="zh-CN"/>
              </w:rPr>
              <w:t>公务接待费0万元，因公出国（境）费0万元，</w:t>
            </w:r>
            <w:r>
              <w:rPr>
                <w:rFonts w:hint="eastAsia" w:ascii="仿宋_GB2312" w:hAnsi="宋体" w:eastAsia="仿宋_GB2312" w:cs="宋体"/>
                <w:kern w:val="0"/>
                <w:sz w:val="28"/>
                <w:szCs w:val="28"/>
              </w:rPr>
              <w:t>公务用车</w:t>
            </w:r>
            <w:r>
              <w:rPr>
                <w:rFonts w:hint="eastAsia" w:ascii="仿宋_GB2312" w:hAnsi="宋体" w:eastAsia="仿宋_GB2312" w:cs="宋体"/>
                <w:kern w:val="0"/>
                <w:sz w:val="28"/>
                <w:szCs w:val="28"/>
                <w:lang w:val="en-US" w:eastAsia="zh-CN"/>
              </w:rPr>
              <w:t>购置及</w:t>
            </w:r>
            <w:r>
              <w:rPr>
                <w:rFonts w:hint="eastAsia" w:ascii="仿宋_GB2312" w:hAnsi="宋体" w:eastAsia="仿宋_GB2312" w:cs="宋体"/>
                <w:kern w:val="0"/>
                <w:sz w:val="28"/>
                <w:szCs w:val="28"/>
              </w:rPr>
              <w:t>运行费8.00万元</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lang w:val="en-US" w:eastAsia="zh-CN"/>
              </w:rPr>
              <w:t>其中</w:t>
            </w:r>
            <w:r>
              <w:rPr>
                <w:rFonts w:hint="eastAsia" w:ascii="仿宋_GB2312" w:hAnsi="宋体" w:eastAsia="仿宋_GB2312" w:cs="宋体"/>
                <w:kern w:val="0"/>
                <w:sz w:val="28"/>
                <w:szCs w:val="28"/>
              </w:rPr>
              <w:t>，</w:t>
            </w:r>
            <w:r>
              <w:rPr>
                <w:rFonts w:hint="eastAsia" w:ascii="仿宋_GB2312" w:hAnsi="宋体" w:eastAsia="仿宋_GB2312" w:cs="宋体"/>
                <w:kern w:val="0"/>
                <w:sz w:val="28"/>
                <w:szCs w:val="28"/>
                <w:lang w:val="en-US" w:eastAsia="zh-CN"/>
              </w:rPr>
              <w:t>公务用车购置费0万元，公务用车运行费8万元。三公经费</w:t>
            </w:r>
            <w:r>
              <w:rPr>
                <w:rFonts w:hint="eastAsia" w:ascii="仿宋_GB2312" w:hAnsi="宋体" w:eastAsia="仿宋_GB2312" w:cs="宋体"/>
                <w:kern w:val="0"/>
                <w:sz w:val="28"/>
                <w:szCs w:val="28"/>
              </w:rPr>
              <w:t>比上一年减少12.41万元，降低60.80%，主要原因是本单位落实厉行节约制度，严控“三公经费”支出，2021年底处置车辆1台。</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（三）一般性支出情况</w:t>
            </w:r>
          </w:p>
        </w:tc>
      </w:tr>
      <w:tr>
        <w:tblPrEx>
          <w:tblCellMar>
            <w:top w:w="0" w:type="dxa"/>
            <w:left w:w="108" w:type="dxa"/>
            <w:bottom w:w="0" w:type="dxa"/>
            <w:right w:w="108" w:type="dxa"/>
          </w:tblCellMar>
        </w:tblPrEx>
        <w:trPr>
          <w:trHeight w:val="15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本单位2022年会议费预算</w:t>
            </w:r>
            <w:r>
              <w:rPr>
                <w:rFonts w:hint="eastAsia" w:ascii="仿宋_GB2312" w:hAnsi="宋体" w:eastAsia="仿宋_GB2312" w:cs="宋体"/>
                <w:kern w:val="0"/>
                <w:sz w:val="28"/>
                <w:szCs w:val="28"/>
                <w:lang w:val="en-US" w:eastAsia="zh-CN"/>
              </w:rPr>
              <w:t>0万元，未计划召开会议，培训费预算</w:t>
            </w:r>
            <w:r>
              <w:rPr>
                <w:rFonts w:hint="eastAsia" w:ascii="仿宋_GB2312" w:hAnsi="宋体" w:eastAsia="仿宋_GB2312" w:cs="宋体"/>
                <w:kern w:val="0"/>
                <w:sz w:val="28"/>
                <w:szCs w:val="28"/>
              </w:rPr>
              <w:t>0.50万元，计划安排1批次约2人，主要用于职工在职继续教育和参加专业技术培训；2022年度本单位未计划安排会议、举办节庆、晚会、论坛、赛事活动。</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（四）政府采购情况</w:t>
            </w:r>
          </w:p>
        </w:tc>
      </w:tr>
      <w:tr>
        <w:tblPrEx>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本单位2022年政府采购预算总额50.00万元，其中工程类0万元，货物类0万元，服务类50.00万元。</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（五）国有资产占有使用及新增资产配置情况</w:t>
            </w:r>
          </w:p>
        </w:tc>
      </w:tr>
      <w:tr>
        <w:tblPrEx>
          <w:tblCellMar>
            <w:top w:w="0" w:type="dxa"/>
            <w:left w:w="108" w:type="dxa"/>
            <w:bottom w:w="0" w:type="dxa"/>
            <w:right w:w="108" w:type="dxa"/>
          </w:tblCellMar>
        </w:tblPrEx>
        <w:trPr>
          <w:trHeight w:val="30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截至上一年12月底，本单位共有车辆2辆，其中领导干部用车0辆，一般公务用车0辆，其他用车2辆。单位价值50万元以上通用设备0台，单位价值100万元以上专用设备0台。</w:t>
            </w:r>
            <w:r>
              <w:rPr>
                <w:rFonts w:hint="eastAsia" w:ascii="仿宋_GB2312" w:hAnsi="宋体" w:eastAsia="仿宋_GB2312" w:cs="宋体"/>
                <w:kern w:val="0"/>
                <w:sz w:val="28"/>
                <w:szCs w:val="28"/>
              </w:rPr>
              <w:br w:type="textWrapping"/>
            </w:r>
            <w:r>
              <w:rPr>
                <w:rFonts w:hint="eastAsia" w:ascii="仿宋_GB2312" w:hAnsi="宋体" w:eastAsia="仿宋_GB2312" w:cs="宋体"/>
                <w:kern w:val="0"/>
                <w:sz w:val="28"/>
                <w:szCs w:val="28"/>
              </w:rPr>
              <w:t xml:space="preserve">    2022年拟报废处置公务用车0辆，拟新增配置车辆0辆，其中领导干部用车0辆，一般公务用车0辆，其他用车0辆。</w:t>
            </w:r>
            <w:r>
              <w:rPr>
                <w:rFonts w:hint="eastAsia" w:ascii="仿宋_GB2312" w:hAnsi="宋体" w:eastAsia="仿宋_GB2312" w:cs="宋体"/>
                <w:kern w:val="0"/>
                <w:sz w:val="28"/>
                <w:szCs w:val="28"/>
              </w:rPr>
              <w:br w:type="textWrapping"/>
            </w:r>
            <w:r>
              <w:rPr>
                <w:rFonts w:hint="eastAsia" w:ascii="仿宋_GB2312" w:hAnsi="宋体" w:eastAsia="仿宋_GB2312" w:cs="宋体"/>
                <w:kern w:val="0"/>
                <w:sz w:val="28"/>
                <w:szCs w:val="28"/>
              </w:rPr>
              <w:t xml:space="preserve">    2022年拟新增配备领导干部用车0辆，一般公务用车0辆，其他用车0辆，新增配备单位价值50万元以上通用设备0台，单位价值100万元以上专用设备0台。2022年度本单位未计划处置或新增车辆、设备等。</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（六）预算绩效目标说明</w:t>
            </w:r>
          </w:p>
        </w:tc>
      </w:tr>
      <w:tr>
        <w:tblPrEx>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本单位所有支出实行绩效目标管理。纳入2022年部门整体支出绩效目标的金额为451.74万元，其中，基本支出227.3万元，项目支出224.44万元，详见文尾附表中单位预算公开表格的表21-22。</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七、名词解释</w:t>
            </w:r>
          </w:p>
        </w:tc>
      </w:tr>
      <w:tr>
        <w:tblPrEx>
          <w:tblCellMar>
            <w:top w:w="0" w:type="dxa"/>
            <w:left w:w="108" w:type="dxa"/>
            <w:bottom w:w="0" w:type="dxa"/>
            <w:right w:w="108" w:type="dxa"/>
          </w:tblCellMar>
        </w:tblPrEx>
        <w:trPr>
          <w:trHeight w:val="30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tc>
      </w:tr>
      <w:tr>
        <w:tblPrEx>
          <w:tblCellMar>
            <w:top w:w="0" w:type="dxa"/>
            <w:left w:w="108" w:type="dxa"/>
            <w:bottom w:w="0" w:type="dxa"/>
            <w:right w:w="108" w:type="dxa"/>
          </w:tblCellMar>
        </w:tblPrEx>
        <w:trPr>
          <w:trHeight w:val="900"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第二部分  2022年单位预算公开表格</w:t>
            </w:r>
          </w:p>
        </w:tc>
      </w:tr>
      <w:tr>
        <w:tblPrEx>
          <w:tblCellMar>
            <w:top w:w="0" w:type="dxa"/>
            <w:left w:w="108" w:type="dxa"/>
            <w:bottom w:w="0" w:type="dxa"/>
            <w:right w:w="108" w:type="dxa"/>
          </w:tblCellMar>
        </w:tblPrEx>
        <w:trPr>
          <w:trHeight w:val="8190" w:hRule="atLeast"/>
        </w:trPr>
        <w:tc>
          <w:tcPr>
            <w:tcW w:w="5000" w:type="pct"/>
            <w:tcBorders>
              <w:top w:val="nil"/>
              <w:left w:val="nil"/>
              <w:bottom w:val="nil"/>
              <w:right w:val="nil"/>
            </w:tcBorders>
            <w:shd w:val="clear" w:color="auto" w:fill="auto"/>
            <w:vAlign w:val="center"/>
          </w:tcPr>
          <w:p>
            <w:pPr>
              <w:widowControl/>
              <w:numPr>
                <w:ilvl w:val="0"/>
                <w:numId w:val="2"/>
              </w:numPr>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2、收入总表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3、支出总表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4、支出预算分类汇总表（按政府预算经济分类）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5、支出预算分类汇总表（按部门预算经济分类）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6、财政拨款收支总表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7、一般公共预算支出表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8、一般公共预算基本支出表-人员经费（工资福利支出）（按政府预算经济分类）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9、一般公共预算基本支出表-人员经费（工资福利支出）（按部门预算经济分类）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10、一般公共预算基本支出表-人员经费（对个人和家庭的补助）（按政府预算经济分类）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11、一般公共预算基本支出表-人员经费（对个人和家庭的补助）（按部门预算经济分类）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12、一般公共预算基本支出表-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13、一般公共预算基本支出表-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14、一般公共预算“三公”经费支出表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15、政府性基金预算支出表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16、政府性基金预算支出分类汇总表（按政府预算经济分类）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17、政府性基金预算支出分类汇总表（按部门预算经济分类）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18、国有资本经营预算支出表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19、财政专户管理资金预算支出表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20、专项资金预算汇总表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21、项目支出绩效目标表</w:t>
            </w:r>
            <w:bookmarkStart w:id="0" w:name="_GoBack"/>
            <w:bookmarkEnd w:id="0"/>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22、整体支出绩效目标表</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textAlignment w:val="center"/>
              <w:rPr>
                <w:rFonts w:hint="eastAsia" w:ascii="仿宋" w:hAnsi="仿宋" w:eastAsia="仿宋" w:cs="仿宋"/>
                <w:i w:val="0"/>
                <w:iCs w:val="0"/>
                <w:caps w:val="0"/>
                <w:color w:val="333333"/>
                <w:spacing w:val="0"/>
                <w:sz w:val="28"/>
                <w:szCs w:val="28"/>
                <w:lang w:val="en-US" w:eastAsia="zh-CN"/>
              </w:rPr>
            </w:pPr>
            <w:r>
              <w:rPr>
                <w:rFonts w:hint="eastAsia" w:ascii="仿宋" w:hAnsi="仿宋" w:eastAsia="仿宋" w:cs="仿宋"/>
                <w:i w:val="0"/>
                <w:iCs w:val="0"/>
                <w:caps w:val="0"/>
                <w:color w:val="333333"/>
                <w:spacing w:val="0"/>
                <w:sz w:val="28"/>
                <w:szCs w:val="28"/>
                <w:lang w:val="en-US" w:eastAsia="zh-CN"/>
              </w:rPr>
              <w:t>23、一般公共预算基本支出表</w:t>
            </w:r>
          </w:p>
          <w:p>
            <w:pPr>
              <w:widowControl/>
              <w:numPr>
                <w:ilvl w:val="0"/>
                <w:numId w:val="0"/>
              </w:numPr>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注：以上单位预算公开报表中，空表表示本单位无相关收支情况。</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roman"/>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E82076"/>
    <w:multiLevelType w:val="singleLevel"/>
    <w:tmpl w:val="DEE82076"/>
    <w:lvl w:ilvl="0" w:tentative="0">
      <w:start w:val="1"/>
      <w:numFmt w:val="decimal"/>
      <w:suff w:val="nothing"/>
      <w:lvlText w:val="%1、"/>
      <w:lvlJc w:val="left"/>
    </w:lvl>
  </w:abstractNum>
  <w:abstractNum w:abstractNumId="1">
    <w:nsid w:val="095D872B"/>
    <w:multiLevelType w:val="singleLevel"/>
    <w:tmpl w:val="095D872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ExYTk2ODNkM2JjMjhmOGQ1OTBkMDcxNmY3M2Y0OWUifQ=="/>
  </w:docVars>
  <w:rsids>
    <w:rsidRoot w:val="00A450CE"/>
    <w:rsid w:val="00A450CE"/>
    <w:rsid w:val="00C5632E"/>
    <w:rsid w:val="00C652F4"/>
    <w:rsid w:val="2B2123A0"/>
    <w:rsid w:val="391B1E8A"/>
    <w:rsid w:val="4A594824"/>
    <w:rsid w:val="770A50F3"/>
    <w:rsid w:val="7A434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4"/>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er"/>
    <w:basedOn w:val="1"/>
    <w:link w:val="9"/>
    <w:semiHidden/>
    <w:unhideWhenUsed/>
    <w:uiPriority w:val="99"/>
    <w:pPr>
      <w:tabs>
        <w:tab w:val="center" w:pos="4153"/>
        <w:tab w:val="right" w:pos="8306"/>
      </w:tabs>
      <w:snapToGrid w:val="0"/>
      <w:jc w:val="left"/>
    </w:pPr>
    <w:rPr>
      <w:sz w:val="18"/>
      <w:szCs w:val="18"/>
    </w:rPr>
  </w:style>
  <w:style w:type="paragraph" w:styleId="5">
    <w:name w:val="Normal (Web)"/>
    <w:basedOn w:val="1"/>
    <w:qFormat/>
    <w:uiPriority w:val="99"/>
    <w:pPr>
      <w:spacing w:beforeAutospacing="1" w:afterAutospacing="1"/>
      <w:jc w:val="left"/>
    </w:pPr>
    <w:rPr>
      <w:kern w:val="0"/>
      <w:sz w:val="24"/>
      <w:szCs w:val="24"/>
    </w:rPr>
  </w:style>
  <w:style w:type="character" w:customStyle="1" w:styleId="8">
    <w:name w:val="页眉 Char"/>
    <w:basedOn w:val="7"/>
    <w:link w:val="3"/>
    <w:semiHidden/>
    <w:qFormat/>
    <w:uiPriority w:val="99"/>
    <w:rPr>
      <w:sz w:val="18"/>
      <w:szCs w:val="18"/>
    </w:rPr>
  </w:style>
  <w:style w:type="character" w:customStyle="1" w:styleId="9">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3263</Words>
  <Characters>3559</Characters>
  <Lines>25</Lines>
  <Paragraphs>7</Paragraphs>
  <TotalTime>0</TotalTime>
  <ScaleCrop>false</ScaleCrop>
  <LinksUpToDate>false</LinksUpToDate>
  <CharactersWithSpaces>3627</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2023-06-08T06:49:00Z</dcterms:created>
  <dc:creator>PC</dc:creator>
  <cp:lastModifiedBy>闪闪</cp:lastModifiedBy>
  <dcterms:modified xsi:type="dcterms:W3CDTF">2023-09-25T07:41:22Z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A84C1B9317A642B7B90D871A630AE4CD</vt:lpwstr>
  </property>
</Properties>
</file>