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5000" w:type="pc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岳阳市智慧城管指挥中心2022年度单位预算</w:t>
            </w:r>
          </w:p>
        </w:tc>
      </w:tr>
      <w:tr>
        <w:tblPrEx>
          <w:tblCellMar>
            <w:top w:w="0" w:type="dxa"/>
            <w:left w:w="108" w:type="dxa"/>
            <w:bottom w:w="0" w:type="dxa"/>
            <w:right w:w="108" w:type="dxa"/>
          </w:tblCellMar>
        </w:tblPrEx>
        <w:trPr>
          <w:trHeight w:val="642"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  2022年单位预算说明</w:t>
            </w:r>
          </w:p>
        </w:tc>
      </w:tr>
      <w:tr>
        <w:tblPrEx>
          <w:tblCellMar>
            <w:top w:w="0" w:type="dxa"/>
            <w:left w:w="108" w:type="dxa"/>
            <w:bottom w:w="0" w:type="dxa"/>
            <w:right w:w="108" w:type="dxa"/>
          </w:tblCellMar>
        </w:tblPrEx>
        <w:trPr>
          <w:trHeight w:val="6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  2022年单位预算公开表格</w:t>
            </w:r>
          </w:p>
        </w:tc>
      </w:tr>
      <w:tr>
        <w:tblPrEx>
          <w:tblCellMar>
            <w:top w:w="0" w:type="dxa"/>
            <w:left w:w="108" w:type="dxa"/>
            <w:bottom w:w="0" w:type="dxa"/>
            <w:right w:w="108" w:type="dxa"/>
          </w:tblCellMar>
        </w:tblPrEx>
        <w:trPr>
          <w:trHeight w:val="4482" w:hRule="atLeast"/>
        </w:trPr>
        <w:tc>
          <w:tcPr>
            <w:tcW w:w="5000" w:type="pct"/>
            <w:vMerge w:val="restart"/>
            <w:tcBorders>
              <w:top w:val="nil"/>
              <w:left w:val="nil"/>
              <w:bottom w:val="nil"/>
              <w:right w:val="nil"/>
            </w:tcBorders>
            <w:shd w:val="clear" w:color="auto" w:fill="auto"/>
            <w:vAlign w:val="center"/>
          </w:tcPr>
          <w:p>
            <w:pPr>
              <w:widowControl/>
              <w:numPr>
                <w:ilvl w:val="0"/>
                <w:numId w:val="1"/>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widowControl/>
              <w:numPr>
                <w:ilvl w:val="0"/>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23、</w:t>
            </w:r>
            <w:r>
              <w:rPr>
                <w:rFonts w:hint="eastAsia" w:ascii="仿宋_GB2312" w:hAnsi="宋体" w:eastAsia="仿宋_GB2312" w:cs="宋体"/>
                <w:color w:val="000000"/>
                <w:kern w:val="0"/>
                <w:sz w:val="28"/>
                <w:szCs w:val="28"/>
              </w:rPr>
              <w:t>一般公共预算基本支出表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482"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  2022年单位预算说明</w:t>
            </w:r>
          </w:p>
        </w:tc>
      </w:tr>
      <w:tr>
        <w:tblPrEx>
          <w:tblCellMar>
            <w:top w:w="0" w:type="dxa"/>
            <w:left w:w="108" w:type="dxa"/>
            <w:bottom w:w="0" w:type="dxa"/>
            <w:right w:w="108" w:type="dxa"/>
          </w:tblCellMar>
        </w:tblPrEx>
        <w:trPr>
          <w:trHeight w:val="2625"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一、单位基本概况</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（一）职能职责</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贯彻执行国家和省有关数字化城市管理的法律法规；根据授权负责中心地区数字化城市管理监督、指挥、调度和协调工作；负责城市管理监督指挥系统市级平台的日常维护和管理；负责对各类城市管理信息的收集、分析和整理，为城市管理现状及市级责任部门、岳阳楼区政府、岳阳经济技术开发区管委会、湖南岳阳洞庭湖旅游度假区管委会和相关责任人履行城市管事职责和情况提供考核评价的依据；负责对数字化城市管理信息采集工作和平台受理工作进行监督；负责受理数字化城市管理的投诉、举报等有关工作；负责对县市区数字化城市管理工作的业务指导；完成市委、市政府和市城市管理局交办的其他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本单位为全额拨款公益一类事业单位，编制人数20人，下设部室：综合部、信息采集部、投诉受理部、技术保障部、网站管理部5个职能部室。</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二、单位预算单位构成</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本单位预算仅含本级预算。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三、单位收支总体情况</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包括一般公共预算、政府性基金、国有资本经营预算等财政拨款收入，以及经营收入、事业收入等单位资金。2022年本单位收入预算1046.35万元，其中，一般公共预算拨款1046.35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本年收入较上年增加31.35万元，主要是人员经费的正常增长和项目经费的增加。</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ind w:firstLine="56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2022年本单位支出预算1046.35万元，其中，社会保障和就业支出19.32万元，占比1.85%，卫生健康支出9.9万元，占比0.95%，城乡社区支出1002.66万元，占比95.82%，住房保障支出14.49万元，占比1.38%。支出预算较上年增加31.35万元，主要是人员经费的正常增长和项目经费的增加。</w:t>
            </w:r>
          </w:p>
          <w:p>
            <w:pPr>
              <w:widowControl/>
              <w:ind w:firstLine="56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说明：2022年预算公开文档第三大点（对应表3）、第四大点（对应表7）中的金额和百分比，由于预算编制时金额明细到了“分”，而公开表格显示和公开文档取数只到“百元</w:t>
            </w:r>
            <w:r>
              <w:rPr>
                <w:rFonts w:hint="default" w:ascii="仿宋_GB2312" w:hAnsi="宋体" w:eastAsia="仿宋_GB2312" w:cs="宋体"/>
                <w:kern w:val="0"/>
                <w:sz w:val="28"/>
                <w:szCs w:val="28"/>
                <w:lang w:val="en-US" w:eastAsia="zh-CN"/>
              </w:rPr>
              <w:t>’</w:t>
            </w:r>
            <w:r>
              <w:rPr>
                <w:rFonts w:hint="eastAsia" w:ascii="仿宋_GB2312" w:hAnsi="宋体" w:eastAsia="仿宋_GB2312" w:cs="宋体"/>
                <w:kern w:val="0"/>
                <w:sz w:val="28"/>
                <w:szCs w:val="28"/>
                <w:lang w:val="en-US" w:eastAsia="zh-CN"/>
              </w:rPr>
              <w:t>,可能导致0.01的尾数差异。</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四、一般公共预算拨款支出预算</w:t>
            </w:r>
          </w:p>
        </w:tc>
      </w:tr>
      <w:tr>
        <w:tblPrEx>
          <w:tblCellMar>
            <w:top w:w="0" w:type="dxa"/>
            <w:left w:w="108" w:type="dxa"/>
            <w:bottom w:w="0" w:type="dxa"/>
            <w:right w:w="108" w:type="dxa"/>
          </w:tblCellMar>
        </w:tblPrEx>
        <w:trPr>
          <w:trHeight w:val="126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本单位一般公共预算拨款支出预算1046.35万元，其中，社会保障和就业支出19.32万元，占比1.85%，卫生健康支出9.9万元，占比0.95%，城乡社区支出1002.66万元，占比95.82%，住房保障支出14.49万元，占比1.38%。具体安排情况如下：</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基本支出：2022年基本支出年初预算数为185.21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项目支出：2022年项目支出年初预算数为861.14万元，是指单位为完成特定行政工作任务或事业发展目标而发生的支出，包括有关业务经费、运行维护经费等。其中：12319运营经费32万元、电费32万元、二期网络通讯运营经费65万元、数据库、软件和设备维护68万元、信息采集服务费439万元、网络运营经费59万元、平台劳务派遣服务费108万元，主要用于城市事件和部件管理信息采集、网络租赁、12319投诉平台运行维护及平台座席人员劳务费等；工会经费补助5.70万元、伙食补助7.60万元、物业服务补贴6.84万元、预安排综合绩效奖和平安岳阳建设奖38.00万元，主要用于项目管理的工资福利支出等方面。</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2022年度本单位无政府性基金安排的支出，所以公开的附件15-17（政府性基金预算）为空。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本单位2022年机关运行经费当年一般公共预算拨款18.85万元，比上年减少2.01万元，下降9.64%，主要原因为本年减少1人，公用经费预算相应下降。</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本单位2022年“三公”经费预算数1.50万元，其中：公务接待费1.50万元，因公出国（境）费0万元，公务用车购置及运行费0万元</w:t>
            </w:r>
            <w:r>
              <w:rPr>
                <w:rFonts w:hint="eastAsia" w:ascii="仿宋_GB2312" w:hAnsi="宋体" w:eastAsia="仿宋_GB2312" w:cs="宋体"/>
                <w:kern w:val="0"/>
                <w:sz w:val="28"/>
                <w:szCs w:val="28"/>
                <w:lang w:val="en-US" w:eastAsia="zh-CN"/>
              </w:rPr>
              <w:t>0</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其中，公务用车购置0万元，公务用车运行0万元。三公经费</w:t>
            </w:r>
            <w:r>
              <w:rPr>
                <w:rFonts w:hint="eastAsia" w:ascii="仿宋_GB2312" w:hAnsi="宋体" w:eastAsia="仿宋_GB2312" w:cs="宋体"/>
                <w:kern w:val="0"/>
                <w:sz w:val="28"/>
                <w:szCs w:val="28"/>
              </w:rPr>
              <w:t>比上年减少3.90万元，下降72.22%，主要原因为本单位落实厉行节约制度，压减一般性支出，严控“三公经费”支出。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本单位2022年会议费预算0万元</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未计划召开会议</w:t>
            </w:r>
            <w:r>
              <w:rPr>
                <w:rFonts w:hint="eastAsia" w:ascii="仿宋_GB2312" w:hAnsi="宋体" w:eastAsia="仿宋_GB2312" w:cs="宋体"/>
                <w:kern w:val="0"/>
                <w:sz w:val="28"/>
                <w:szCs w:val="28"/>
              </w:rPr>
              <w:t>；培训费预算0.50万元，拟开展1批次约2人参加培训，主要用于在职继续教育和参加专业技术培训；2022年度本单位未计划安排会议、举办节庆、晚会、论坛、赛事活动，支出预算0万元。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本单位2022年政府采购预算总额651.00万元，其中：货物类20.00万元，服务类631.00万元、工程类0万元。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截至2021年12月底，本单位共有车辆0辆，</w:t>
            </w:r>
            <w:r>
              <w:rPr>
                <w:rFonts w:hint="eastAsia" w:ascii="仿宋_GB2312" w:hAnsi="宋体" w:eastAsia="仿宋_GB2312" w:cs="宋体"/>
                <w:kern w:val="0"/>
                <w:sz w:val="28"/>
                <w:szCs w:val="28"/>
                <w:lang w:val="en-US" w:eastAsia="zh-CN"/>
              </w:rPr>
              <w:t>其中，领导干部用车0辆，公务用车0辆，其他用车0辆。</w:t>
            </w:r>
            <w:r>
              <w:rPr>
                <w:rFonts w:hint="eastAsia" w:ascii="仿宋_GB2312" w:hAnsi="宋体" w:eastAsia="仿宋_GB2312" w:cs="宋体"/>
                <w:kern w:val="0"/>
                <w:sz w:val="28"/>
                <w:szCs w:val="28"/>
              </w:rPr>
              <w:t>单位价值50万元以上通用设备0台，单位价值100万元以上专用设备0台。</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2022年拟报废处置公务用车0辆，拟新增配置车辆0辆，其中领导干部用车0辆，一般公务用车0辆，其他用车0辆。</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 xml:space="preserve">    2022年拟新增配备领导干部用车0辆，一般公务用车0辆，其他用车0辆，新增配备单位价值50万元以上通用设备0台，单位价值100万元以上专用设备0台。2022年度本单位未计划处置或新增车辆、设备等。</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本单位所有支出实行绩效目标管理。纳入2022年部门整体支出绩效目标的金额为1046.35万元，其中，基本支出185.21万元，项目支出861.14万元，详见文尾附表中单位预算公开表格的表21-22。</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  2022年单位预算公开表格</w:t>
            </w:r>
          </w:p>
        </w:tc>
      </w:tr>
      <w:tr>
        <w:tblPrEx>
          <w:tblCellMar>
            <w:top w:w="0" w:type="dxa"/>
            <w:left w:w="108" w:type="dxa"/>
            <w:bottom w:w="0" w:type="dxa"/>
            <w:right w:w="108" w:type="dxa"/>
          </w:tblCellMar>
        </w:tblPrEx>
        <w:trPr>
          <w:trHeight w:val="8190" w:hRule="atLeast"/>
        </w:trPr>
        <w:tc>
          <w:tcPr>
            <w:tcW w:w="5000" w:type="pct"/>
            <w:tcBorders>
              <w:top w:val="nil"/>
              <w:left w:val="nil"/>
              <w:bottom w:val="nil"/>
              <w:right w:val="nil"/>
            </w:tcBorders>
            <w:shd w:val="clear" w:color="auto" w:fill="auto"/>
            <w:vAlign w:val="center"/>
          </w:tcPr>
          <w:p>
            <w:pPr>
              <w:widowControl/>
              <w:numPr>
                <w:ilvl w:val="0"/>
                <w:numId w:val="2"/>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bookmarkStart w:id="0" w:name="_GoBack"/>
            <w:bookmarkEnd w:id="0"/>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widowControl/>
              <w:numPr>
                <w:ilvl w:val="0"/>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23、</w:t>
            </w:r>
            <w:r>
              <w:rPr>
                <w:rFonts w:hint="eastAsia" w:ascii="仿宋_GB2312" w:hAnsi="宋体" w:eastAsia="仿宋_GB2312" w:cs="宋体"/>
                <w:color w:val="000000"/>
                <w:kern w:val="0"/>
                <w:sz w:val="28"/>
                <w:szCs w:val="28"/>
              </w:rPr>
              <w:t>一般公共预算基本支出表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6FFBB"/>
    <w:multiLevelType w:val="singleLevel"/>
    <w:tmpl w:val="3376FFBB"/>
    <w:lvl w:ilvl="0" w:tentative="0">
      <w:start w:val="1"/>
      <w:numFmt w:val="decimal"/>
      <w:suff w:val="nothing"/>
      <w:lvlText w:val="%1、"/>
      <w:lvlJc w:val="left"/>
    </w:lvl>
  </w:abstractNum>
  <w:abstractNum w:abstractNumId="1">
    <w:nsid w:val="38F43D4C"/>
    <w:multiLevelType w:val="singleLevel"/>
    <w:tmpl w:val="38F43D4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Q5OTBlMjkxOGJkZTY2YWVjYTkxNWZjODEzNjkwZDcifQ=="/>
  </w:docVars>
  <w:rsids>
    <w:rsidRoot w:val="006F1C2D"/>
    <w:rsid w:val="006F1C2D"/>
    <w:rsid w:val="00831F84"/>
    <w:rsid w:val="16B021C0"/>
    <w:rsid w:val="4DDA63AC"/>
    <w:rsid w:val="5B6C071B"/>
    <w:rsid w:val="5C412B57"/>
    <w:rsid w:val="65AE1259"/>
    <w:rsid w:val="6C454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3274</Words>
  <Characters>3581</Characters>
  <Lines>26</Lines>
  <Paragraphs>7</Paragraphs>
  <TotalTime>0</TotalTime>
  <ScaleCrop>false</ScaleCrop>
  <LinksUpToDate>false</LinksUpToDate>
  <CharactersWithSpaces>3651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2023-06-08T07:28:00Z</dcterms:created>
  <dc:creator>PC</dc:creator>
  <cp:lastModifiedBy>闪闪</cp:lastModifiedBy>
  <dcterms:modified xsi:type="dcterms:W3CDTF">2023-09-23T04:41:36Z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65316A181E1E4D55916ED809B9BF52BD</vt:lpwstr>
  </property>
</Properties>
</file>