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岳阳市生态环境局本级2022年度单位预算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仿宋_GB2312" w:hAnsi="宋体" w:eastAsia="仿宋_GB2312" w:cs="宋体"/>
                <w:color w:val="000000"/>
                <w:kern w:val="0"/>
                <w:sz w:val="28"/>
                <w:szCs w:val="28"/>
                <w:lang w:val="en-US" w:eastAsia="zh-CN" w:bidi="ar-SA"/>
              </w:rPr>
              <w:t>23、一般公共预算基本支出表</w:t>
            </w:r>
          </w:p>
          <w:p>
            <w:pPr>
              <w:widowControl/>
              <w:numPr>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贯彻执行生态环境法律法规和标准，会同有关部门拟订本市生态环境政策、规划并组织实施，配合制定生态环境有关地方性法规和政府规章草案；会同有关部门编制并监督实施重点区域、流域、饮用水水源地保护等生态环境规划和水、大气环境、声环境功能区划。</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（2）负责全市生态环境问题的统筹协调和监督管理。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（3）负责监督管理减排目标的落实。</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（4）负责提出生态环境领域固定资产投资规模和方向、市级财政性资金安排的意见，按规定权限审批、核准规划内和年度计划规模内生态环境领域固定资产投资项目，配合有关部门做好组织实施和监督工作。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（5）负责环境污染防治的监督管理。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（6）指导协调和监督生态保护修复工作。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（7）负责核与辐射安全的监督管理。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（8）负责生态环境准入的监督管理。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（9）负责重点污染源监测工作。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（10）负责应对气候变化工作。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（11）配合开展生态环境保护督察工作。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（12）统一监督生态环境执法工作。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（13）组织指导和协调生态环境宣传教育工作，贯彻实施生态环境保护宣传教育纲要，推动社会组织和公众参与生态环境保护。</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（14）开展生态环境对外合作交流，研究提出生态环境对外合作中有关问题的建议，组织协调有关生态环境国际条约的本市履约工作，参与处理涉外生态环境事务。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（15）完成市委、市政府交办的其他事项。</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（16）职能转变。</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我局机关共有干部职工105人，其中在职人数73名，离退人员32人，核定编制人数73人，大专以上学历占90%以上。局内设办公室、生态环境监督科、综合协调科、法规与标准科、自然生态保护科、水生态环境科、大气环境与应对气候变化科、土壤生态环境科、固体废物与化学品科、核与辐射管理科、环评和污染排放科（行政审批办公室）、宣教与监测科、科技与财务科、人事科14个职能科室和机关党委（纪委）、机关工会、离退休人员管理服务科。下设综合行政执法支队、环境信息中心、固体废物服务站、排污权服务中心4个二级机构；平江、岳阳县、华容、湘阴、汨罗、临湘、岳阳楼、云溪、君山、经开、南湖、屈原、城陵矶新港区分局13个派出机构。</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2086.87万元，其中，一般公共预算拨款2086.87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spacing w:line="600" w:lineRule="exact"/>
              <w:ind w:firstLine="560" w:firstLineChars="200"/>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收入较去年减少47.87万元，主要是因为根据2022年部门预算文件要求，秉性过“紧日子”的原则，压缩专项经费30%。</w:t>
            </w:r>
          </w:p>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jc w:val="both"/>
              <w:textAlignment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2086.87万元，其中，社会保障和就业支出87.37万元，占比4.19%，卫生健康支出51.19万元，占比2.45%，节能环保支出1887.35万元，占比90.44%，住房保障支出60.97万元，占比2.92%。支出较去年减少47.87万元，其中基本支出增加14.83万元，项目支出减少62.7万元。其中基本支出较上年增加主要是因为根据2022年市级部门预算文件要求，公务用车补贴财政全额安排，项目支出减少主要是因为为根据2022年部门预算文件要求，秉性过“紧日子”的原则，压缩专项经费30%。</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jc w:val="both"/>
              <w:textAlignment w:val="center"/>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bookmarkStart w:id="0" w:name="_GoBack"/>
            <w:bookmarkEnd w:id="0"/>
          </w:p>
          <w:p>
            <w:pPr>
              <w:widowControl/>
              <w:jc w:val="lef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2086.87万元，其中，社会保障和就业支出87.37万元，占比4.19%，卫生健康支出51.19万元，占比2.45%，节能环保支出1887.35万元，占比90.44%，住房保障支出60.97万元，占比2.92%。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887.57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1199.3万元，是指单位为完成特定行政工作任务或事业发展目标而发生的支出，包括有关业务工作经费、运行维护经费等。其中：工会经费补助31.5万元、伙食补助42万元、物业服务补贴37.8万元、预安排综合绩效奖和平安岳阳建设奖210万元、环境监察、监测等运行经费605万元、环境监测、监控及监察能力建设268万元、办案费5万元。其中321.3万元主要用于在职人员和离退休人员预安排的综合绩效奖和平安建设奖、伙食补助等方面；878万元主要用于主要用于环境监测、监控能力建设、环境监察及执法、节能减排项目配套等方面。</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本单位2022年机关运行经费当年一般公共预算拨款178.63万元，比上一年增加29.36万元，增加19.67%。主要原因是根据2022年市级部门预算文件要求，公务用车补贴财政全额安排。</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本单位2022年“三公”经费预算数57万元，其中，公务接待费13万元，因公出国（境）费0万元，公务用车购置及运行费</w:t>
            </w:r>
            <w:r>
              <w:rPr>
                <w:rFonts w:hint="eastAsia" w:ascii="仿宋_GB2312" w:hAnsi="宋体" w:eastAsia="仿宋_GB2312" w:cs="宋体"/>
                <w:kern w:val="0"/>
                <w:sz w:val="28"/>
                <w:szCs w:val="28"/>
                <w:lang w:val="en-US" w:eastAsia="zh-CN"/>
              </w:rPr>
              <w:t>44</w:t>
            </w:r>
            <w:r>
              <w:rPr>
                <w:rFonts w:hint="eastAsia" w:ascii="仿宋_GB2312" w:hAnsi="宋体" w:eastAsia="仿宋_GB2312" w:cs="宋体"/>
                <w:kern w:val="0"/>
                <w:sz w:val="28"/>
                <w:szCs w:val="28"/>
              </w:rPr>
              <w:t>万元，其中公务用车购置费20万元，公务用车运行费24万元。2022年三公经费预算较上年减少93万元，主要原因是根据厉行节约的要求，压缩三公经费支出。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会议费预算5万元（另专项预算支出100万元，主要为开展全市污染防治攻坚调度会议、全市蓝天保卫战相关会议、中央及省级环保督察相关会议等），拟召开会议200余次、6000余人次；培训费预算5万元（另专项预算支出60万元，主要为清洁生产工作培训、环境统计及产业统计培训等），拟开展培训100余次、3000余人次。2022年</w:t>
            </w:r>
            <w:r>
              <w:rPr>
                <w:rFonts w:hint="eastAsia" w:ascii="仿宋_GB2312" w:hAnsi="宋体" w:eastAsia="仿宋_GB2312" w:cs="宋体"/>
                <w:kern w:val="0"/>
                <w:sz w:val="28"/>
                <w:szCs w:val="28"/>
                <w:lang w:val="en-US" w:eastAsia="zh-CN"/>
              </w:rPr>
              <w:t>未</w:t>
            </w:r>
            <w:r>
              <w:rPr>
                <w:rFonts w:hint="eastAsia" w:ascii="仿宋_GB2312" w:hAnsi="宋体" w:eastAsia="仿宋_GB2312" w:cs="宋体"/>
                <w:kern w:val="0"/>
                <w:sz w:val="28"/>
                <w:szCs w:val="28"/>
              </w:rPr>
              <w:t>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本单位2022年政府采购预算总额7983万元，其中工程类983万元，货物类3000万元，服务类4000万元。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截至上一年12月底，本单位共有车辆3辆，其中领导干部用车0辆，一般公务用车0辆，其他用车3辆。单位价值50万元以上通用设备1台，单位价值100万元以上专用设备5台。</w:t>
            </w:r>
          </w:p>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2022年拟报废处置公务用车1辆，拟新增配置车辆1辆，其中领导干部用车0辆，一般公务用车0辆，其他用车1辆，主要用于日常开展公务，资金来源为单位自筹。</w:t>
            </w:r>
          </w:p>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2022年拟新增配备单位价值50万元以上通用设备0台，单位价值100万元以上专用设备3台。</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本单位所有支出实行绩效目标管理。纳入2022年部门整体支出绩效目标的金额为2086.87万元，其中，基本支出887.57万元，项目支出1199.3万元，详见文尾附表中单位预算公开表格的表21-22。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36200"/>
    <w:multiLevelType w:val="singleLevel"/>
    <w:tmpl w:val="AD836200"/>
    <w:lvl w:ilvl="0" w:tentative="0">
      <w:start w:val="1"/>
      <w:numFmt w:val="decimal"/>
      <w:suff w:val="nothing"/>
      <w:lvlText w:val="%1、"/>
      <w:lvlJc w:val="left"/>
    </w:lvl>
  </w:abstractNum>
  <w:abstractNum w:abstractNumId="1">
    <w:nsid w:val="0ED8B53D"/>
    <w:multiLevelType w:val="singleLevel"/>
    <w:tmpl w:val="0ED8B53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4MmQzMzY3MWU0ZjkwNjE0ZTcwMzYzOGVmOWE5YTYifQ=="/>
  </w:docVars>
  <w:rsids>
    <w:rsidRoot w:val="00424BCC"/>
    <w:rsid w:val="00424BCC"/>
    <w:rsid w:val="00A302D0"/>
    <w:rsid w:val="27543B62"/>
    <w:rsid w:val="39DB738F"/>
    <w:rsid w:val="61F07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3959</Words>
  <Characters>4299</Characters>
  <Lines>31</Lines>
  <Paragraphs>8</Paragraphs>
  <TotalTime>0</TotalTime>
  <ScaleCrop>false</ScaleCrop>
  <LinksUpToDate>false</LinksUpToDate>
  <CharactersWithSpaces>4351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2023-06-08T02:44:00Z</dcterms:created>
  <dc:creator>微软用户</dc:creator>
  <cp:lastModifiedBy>彬彬华圣酒店海外购</cp:lastModifiedBy>
  <dcterms:modified xsi:type="dcterms:W3CDTF">2023-09-22T10:11:55Z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C7DC74F65FE9476881F264843F6831F8</vt:lpwstr>
  </property>
</Properties>
</file>