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jc w:val="center"/>
        <w:rPr>
          <w:rFonts w:hint="eastAsia" w:eastAsia="黑体"/>
          <w:sz w:val="56"/>
          <w:szCs w:val="56"/>
          <w:lang w:eastAsia="zh-CN"/>
        </w:rPr>
      </w:pPr>
    </w:p>
    <w:p>
      <w:pPr>
        <w:pStyle w:val="10"/>
        <w:jc w:val="center"/>
        <w:rPr>
          <w:sz w:val="56"/>
          <w:szCs w:val="56"/>
        </w:rPr>
      </w:pPr>
    </w:p>
    <w:p>
      <w:pPr>
        <w:pStyle w:val="10"/>
        <w:jc w:val="center"/>
        <w:rPr>
          <w:sz w:val="84"/>
          <w:szCs w:val="84"/>
        </w:rPr>
      </w:pPr>
    </w:p>
    <w:p>
      <w:pPr>
        <w:pStyle w:val="10"/>
        <w:jc w:val="center"/>
        <w:rPr>
          <w:sz w:val="84"/>
          <w:szCs w:val="84"/>
        </w:rPr>
      </w:pPr>
    </w:p>
    <w:p>
      <w:pPr>
        <w:pStyle w:val="10"/>
        <w:jc w:val="center"/>
        <w:rPr>
          <w:sz w:val="84"/>
          <w:szCs w:val="84"/>
        </w:rPr>
      </w:pPr>
      <w:r>
        <w:rPr>
          <w:rFonts w:hint="eastAsia"/>
          <w:sz w:val="84"/>
          <w:szCs w:val="84"/>
        </w:rPr>
        <w:t>2021年度</w:t>
      </w:r>
    </w:p>
    <w:p>
      <w:pPr>
        <w:pStyle w:val="10"/>
        <w:jc w:val="center"/>
        <w:rPr>
          <w:sz w:val="84"/>
          <w:szCs w:val="84"/>
        </w:rPr>
      </w:pPr>
      <w:r>
        <w:rPr>
          <w:rFonts w:hint="eastAsia"/>
          <w:sz w:val="84"/>
          <w:szCs w:val="84"/>
          <w:lang w:eastAsia="zh-CN"/>
        </w:rPr>
        <w:t>岳阳市体育馆</w:t>
      </w:r>
      <w:r>
        <w:rPr>
          <w:rFonts w:hint="eastAsia"/>
          <w:sz w:val="84"/>
          <w:szCs w:val="84"/>
        </w:rPr>
        <w:t>部门决算</w:t>
      </w:r>
    </w:p>
    <w:p>
      <w:pPr>
        <w:pStyle w:val="10"/>
        <w:jc w:val="center"/>
        <w:rPr>
          <w:sz w:val="56"/>
          <w:szCs w:val="56"/>
        </w:rPr>
      </w:pPr>
    </w:p>
    <w:p>
      <w:pPr>
        <w:pStyle w:val="10"/>
        <w:jc w:val="center"/>
        <w:rPr>
          <w:sz w:val="56"/>
          <w:szCs w:val="56"/>
        </w:rPr>
      </w:pPr>
    </w:p>
    <w:p>
      <w:pPr>
        <w:pStyle w:val="10"/>
        <w:jc w:val="center"/>
        <w:rPr>
          <w:sz w:val="56"/>
          <w:szCs w:val="56"/>
        </w:rPr>
      </w:pPr>
    </w:p>
    <w:p>
      <w:pPr>
        <w:pStyle w:val="10"/>
        <w:jc w:val="center"/>
        <w:rPr>
          <w:sz w:val="56"/>
          <w:szCs w:val="56"/>
        </w:rPr>
      </w:pPr>
    </w:p>
    <w:p>
      <w:pPr>
        <w:pStyle w:val="10"/>
        <w:jc w:val="center"/>
        <w:rPr>
          <w:sz w:val="32"/>
          <w:szCs w:val="32"/>
        </w:rPr>
      </w:pPr>
    </w:p>
    <w:p>
      <w:pPr>
        <w:pStyle w:val="10"/>
        <w:jc w:val="center"/>
        <w:rPr>
          <w:sz w:val="32"/>
          <w:szCs w:val="32"/>
        </w:rPr>
      </w:pPr>
    </w:p>
    <w:p>
      <w:pPr>
        <w:pStyle w:val="10"/>
        <w:jc w:val="center"/>
        <w:rPr>
          <w:sz w:val="32"/>
          <w:szCs w:val="32"/>
        </w:rPr>
      </w:pPr>
    </w:p>
    <w:p>
      <w:pPr>
        <w:pStyle w:val="10"/>
        <w:jc w:val="center"/>
        <w:rPr>
          <w:sz w:val="32"/>
          <w:szCs w:val="32"/>
        </w:rPr>
      </w:pPr>
    </w:p>
    <w:p>
      <w:pPr>
        <w:pStyle w:val="10"/>
        <w:jc w:val="center"/>
        <w:rPr>
          <w:sz w:val="32"/>
          <w:szCs w:val="32"/>
        </w:rPr>
      </w:pPr>
    </w:p>
    <w:p>
      <w:pPr>
        <w:pStyle w:val="10"/>
        <w:spacing w:line="540" w:lineRule="exact"/>
        <w:jc w:val="center"/>
        <w:rPr>
          <w:sz w:val="56"/>
          <w:szCs w:val="56"/>
        </w:rPr>
      </w:pPr>
    </w:p>
    <w:p>
      <w:pPr>
        <w:pStyle w:val="10"/>
        <w:spacing w:line="500" w:lineRule="exact"/>
        <w:jc w:val="center"/>
        <w:rPr>
          <w:b/>
          <w:sz w:val="36"/>
          <w:szCs w:val="28"/>
        </w:rPr>
      </w:pPr>
    </w:p>
    <w:p>
      <w:pPr>
        <w:pStyle w:val="10"/>
        <w:spacing w:line="500" w:lineRule="exact"/>
        <w:jc w:val="center"/>
        <w:rPr>
          <w:b/>
          <w:sz w:val="36"/>
          <w:szCs w:val="28"/>
        </w:rPr>
      </w:pP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exact"/>
        <w:jc w:val="center"/>
        <w:textAlignment w:val="auto"/>
        <w:rPr>
          <w:b/>
          <w:sz w:val="36"/>
          <w:szCs w:val="28"/>
        </w:rPr>
      </w:pPr>
      <w:r>
        <w:rPr>
          <w:rFonts w:hint="eastAsia"/>
          <w:b/>
          <w:sz w:val="36"/>
          <w:szCs w:val="28"/>
        </w:rPr>
        <w:t>目录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ascii="仿宋_GB2312" w:hAnsi="仿宋_GB2312" w:cs="仿宋_GB2312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第一部分</w:t>
      </w:r>
      <w:r>
        <w:rPr>
          <w:rFonts w:hint="eastAsia"/>
          <w:b/>
          <w:sz w:val="28"/>
          <w:szCs w:val="28"/>
          <w:lang w:val="en-US" w:eastAsia="zh-CN"/>
        </w:rPr>
        <w:t xml:space="preserve">  </w:t>
      </w:r>
      <w:r>
        <w:rPr>
          <w:rFonts w:hint="eastAsia"/>
          <w:b/>
          <w:sz w:val="28"/>
          <w:szCs w:val="28"/>
          <w:lang w:eastAsia="zh-CN"/>
        </w:rPr>
        <w:t>岳阳市体育馆</w:t>
      </w:r>
      <w:r>
        <w:rPr>
          <w:rFonts w:hint="eastAsia"/>
          <w:b/>
          <w:sz w:val="28"/>
          <w:szCs w:val="28"/>
        </w:rPr>
        <w:t>概况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exact"/>
        <w:ind w:firstLine="700" w:firstLineChars="250"/>
        <w:textAlignment w:val="auto"/>
        <w:rPr>
          <w:rFonts w:cs="仿宋_GB2312" w:asciiTheme="minorEastAsia" w:hAnsiTheme="minorEastAsia" w:eastAsiaTheme="minorEastAsia"/>
          <w:sz w:val="28"/>
          <w:szCs w:val="28"/>
        </w:rPr>
      </w:pPr>
      <w:r>
        <w:rPr>
          <w:rFonts w:cs="仿宋_GB2312" w:asciiTheme="minorEastAsia" w:hAnsiTheme="minorEastAsia" w:eastAsiaTheme="minorEastAsia"/>
          <w:sz w:val="28"/>
          <w:szCs w:val="28"/>
        </w:rPr>
        <w:t>一、部门职责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exact"/>
        <w:ind w:firstLine="700" w:firstLineChars="250"/>
        <w:textAlignment w:val="auto"/>
        <w:rPr>
          <w:rFonts w:hint="default" w:cs="仿宋_GB2312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cs="仿宋_GB2312" w:asciiTheme="minorEastAsia" w:hAnsiTheme="minorEastAsia" w:eastAsiaTheme="minorEastAsia"/>
          <w:sz w:val="28"/>
          <w:szCs w:val="28"/>
        </w:rPr>
        <w:t>二、机构设置</w:t>
      </w:r>
      <w:r>
        <w:rPr>
          <w:rFonts w:hint="eastAsia" w:cs="仿宋_GB2312" w:asciiTheme="minorEastAsia" w:hAnsiTheme="minorEastAsia" w:eastAsiaTheme="minorEastAsia"/>
          <w:sz w:val="28"/>
          <w:szCs w:val="28"/>
          <w:lang w:val="en-US" w:eastAsia="zh-CN"/>
        </w:rPr>
        <w:t>及决算单位构成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ascii="仿宋_GB2312" w:hAnsi="仿宋_GB2312" w:cs="仿宋_GB2312"/>
          <w:b/>
          <w:sz w:val="28"/>
          <w:szCs w:val="28"/>
        </w:rPr>
      </w:pPr>
      <w:r>
        <w:rPr>
          <w:rFonts w:hint="eastAsia" w:hAnsi="仿宋_GB2312"/>
          <w:b/>
          <w:sz w:val="28"/>
          <w:szCs w:val="28"/>
        </w:rPr>
        <w:t>第二部分</w:t>
      </w:r>
      <w:r>
        <w:rPr>
          <w:rFonts w:hint="eastAsia" w:hAnsi="仿宋_GB2312"/>
          <w:b/>
          <w:sz w:val="28"/>
          <w:szCs w:val="28"/>
          <w:lang w:val="en-US" w:eastAsia="zh-CN"/>
        </w:rPr>
        <w:t xml:space="preserve">  </w:t>
      </w:r>
      <w:r>
        <w:rPr>
          <w:rFonts w:hAnsi="仿宋_GB2312"/>
          <w:b/>
          <w:sz w:val="28"/>
          <w:szCs w:val="28"/>
        </w:rPr>
        <w:t>20</w:t>
      </w:r>
      <w:r>
        <w:rPr>
          <w:rFonts w:hint="eastAsia" w:hAnsi="仿宋_GB2312"/>
          <w:b/>
          <w:sz w:val="28"/>
          <w:szCs w:val="28"/>
        </w:rPr>
        <w:t>21年度部门决算表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exact"/>
        <w:ind w:firstLine="700" w:firstLineChars="250"/>
        <w:textAlignment w:val="auto"/>
        <w:rPr>
          <w:rFonts w:cs="仿宋_GB2312" w:asciiTheme="minorEastAsia" w:hAnsiTheme="minorEastAsia" w:eastAsiaTheme="minorEastAsia"/>
          <w:sz w:val="28"/>
          <w:szCs w:val="28"/>
        </w:rPr>
      </w:pPr>
      <w:r>
        <w:rPr>
          <w:rFonts w:cs="仿宋_GB2312" w:asciiTheme="minorEastAsia" w:hAnsiTheme="minorEastAsia" w:eastAsiaTheme="minorEastAsia"/>
          <w:sz w:val="28"/>
          <w:szCs w:val="28"/>
        </w:rPr>
        <w:t>一、收入支出决算总表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exact"/>
        <w:ind w:firstLine="700" w:firstLineChars="250"/>
        <w:textAlignment w:val="auto"/>
        <w:rPr>
          <w:rFonts w:cs="仿宋_GB2312" w:asciiTheme="minorEastAsia" w:hAnsiTheme="minorEastAsia" w:eastAsiaTheme="minorEastAsia"/>
          <w:sz w:val="28"/>
          <w:szCs w:val="28"/>
        </w:rPr>
      </w:pPr>
      <w:r>
        <w:rPr>
          <w:rFonts w:cs="仿宋_GB2312" w:asciiTheme="minorEastAsia" w:hAnsiTheme="minorEastAsia" w:eastAsiaTheme="minorEastAsia"/>
          <w:sz w:val="28"/>
          <w:szCs w:val="28"/>
        </w:rPr>
        <w:t>二、收入决算表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exact"/>
        <w:ind w:firstLine="700" w:firstLineChars="250"/>
        <w:textAlignment w:val="auto"/>
        <w:rPr>
          <w:rFonts w:cs="仿宋_GB2312" w:asciiTheme="minorEastAsia" w:hAnsiTheme="minorEastAsia" w:eastAsiaTheme="minorEastAsia"/>
          <w:sz w:val="28"/>
          <w:szCs w:val="28"/>
        </w:rPr>
      </w:pPr>
      <w:r>
        <w:rPr>
          <w:rFonts w:cs="仿宋_GB2312" w:asciiTheme="minorEastAsia" w:hAnsiTheme="minorEastAsia" w:eastAsiaTheme="minorEastAsia"/>
          <w:sz w:val="28"/>
          <w:szCs w:val="28"/>
        </w:rPr>
        <w:t>三、支出决算表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exact"/>
        <w:ind w:firstLine="700" w:firstLineChars="250"/>
        <w:textAlignment w:val="auto"/>
        <w:rPr>
          <w:rFonts w:cs="仿宋_GB2312" w:asciiTheme="minorEastAsia" w:hAnsiTheme="minorEastAsia" w:eastAsiaTheme="minorEastAsia"/>
          <w:sz w:val="28"/>
          <w:szCs w:val="28"/>
        </w:rPr>
      </w:pPr>
      <w:r>
        <w:rPr>
          <w:rFonts w:cs="仿宋_GB2312" w:asciiTheme="minorEastAsia" w:hAnsiTheme="minorEastAsia" w:eastAsiaTheme="minorEastAsia"/>
          <w:sz w:val="28"/>
          <w:szCs w:val="28"/>
        </w:rPr>
        <w:t>四、财政拨款收入支出决算总表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exact"/>
        <w:ind w:firstLine="700" w:firstLineChars="250"/>
        <w:textAlignment w:val="auto"/>
        <w:rPr>
          <w:rFonts w:cs="仿宋_GB2312" w:asciiTheme="minorEastAsia" w:hAnsiTheme="minorEastAsia" w:eastAsiaTheme="minorEastAsia"/>
          <w:sz w:val="28"/>
          <w:szCs w:val="28"/>
        </w:rPr>
      </w:pPr>
      <w:r>
        <w:rPr>
          <w:rFonts w:cs="仿宋_GB2312" w:asciiTheme="minorEastAsia" w:hAnsiTheme="minorEastAsia" w:eastAsiaTheme="minorEastAsia"/>
          <w:sz w:val="28"/>
          <w:szCs w:val="28"/>
        </w:rPr>
        <w:t>五、一般公共预算财政拨款支出决算表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exact"/>
        <w:ind w:firstLine="700" w:firstLineChars="250"/>
        <w:textAlignment w:val="auto"/>
        <w:rPr>
          <w:rFonts w:cs="仿宋_GB2312" w:asciiTheme="minorEastAsia" w:hAnsiTheme="minorEastAsia" w:eastAsiaTheme="minorEastAsia"/>
          <w:sz w:val="28"/>
          <w:szCs w:val="28"/>
        </w:rPr>
      </w:pPr>
      <w:r>
        <w:rPr>
          <w:rFonts w:cs="仿宋_GB2312" w:asciiTheme="minorEastAsia" w:hAnsiTheme="minorEastAsia" w:eastAsiaTheme="minorEastAsia"/>
          <w:sz w:val="28"/>
          <w:szCs w:val="28"/>
        </w:rPr>
        <w:t>六、一般公共预算财政拨款基本支出决算</w:t>
      </w:r>
      <w:r>
        <w:rPr>
          <w:rFonts w:hint="eastAsia" w:cs="仿宋_GB2312" w:asciiTheme="minorEastAsia" w:hAnsiTheme="minorEastAsia" w:eastAsiaTheme="minorEastAsia"/>
          <w:sz w:val="28"/>
          <w:szCs w:val="28"/>
        </w:rPr>
        <w:t>明细</w:t>
      </w:r>
      <w:r>
        <w:rPr>
          <w:rFonts w:cs="仿宋_GB2312" w:asciiTheme="minorEastAsia" w:hAnsiTheme="minorEastAsia" w:eastAsiaTheme="minorEastAsia"/>
          <w:sz w:val="28"/>
          <w:szCs w:val="28"/>
        </w:rPr>
        <w:t>表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exact"/>
        <w:ind w:firstLine="700" w:firstLineChars="250"/>
        <w:textAlignment w:val="auto"/>
        <w:rPr>
          <w:rFonts w:cs="仿宋_GB2312" w:asciiTheme="minorEastAsia" w:hAnsiTheme="minorEastAsia" w:eastAsiaTheme="minorEastAsia"/>
          <w:sz w:val="28"/>
          <w:szCs w:val="28"/>
        </w:rPr>
      </w:pPr>
      <w:r>
        <w:rPr>
          <w:rFonts w:cs="仿宋_GB2312" w:asciiTheme="minorEastAsia" w:hAnsiTheme="minorEastAsia" w:eastAsiaTheme="minorEastAsia"/>
          <w:sz w:val="28"/>
          <w:szCs w:val="28"/>
        </w:rPr>
        <w:t>七、一般公共预算财政拨款“三公”经费支出决算表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exact"/>
        <w:ind w:firstLine="700" w:firstLineChars="250"/>
        <w:textAlignment w:val="auto"/>
        <w:rPr>
          <w:rFonts w:cs="仿宋_GB2312" w:asciiTheme="minorEastAsia" w:hAnsiTheme="minorEastAsia" w:eastAsiaTheme="minorEastAsia"/>
          <w:sz w:val="28"/>
          <w:szCs w:val="28"/>
        </w:rPr>
      </w:pPr>
      <w:r>
        <w:rPr>
          <w:rFonts w:cs="仿宋_GB2312" w:asciiTheme="minorEastAsia" w:hAnsiTheme="minorEastAsia" w:eastAsiaTheme="minorEastAsia"/>
          <w:sz w:val="28"/>
          <w:szCs w:val="28"/>
        </w:rPr>
        <w:t>八、政府性基金预算财政拨款收入支出决算表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exact"/>
        <w:ind w:firstLine="700" w:firstLineChars="250"/>
        <w:textAlignment w:val="auto"/>
        <w:rPr>
          <w:rFonts w:cs="仿宋_GB2312" w:asciiTheme="minorEastAsia" w:hAnsiTheme="minorEastAsia" w:eastAsiaTheme="minorEastAsia"/>
          <w:sz w:val="28"/>
          <w:szCs w:val="28"/>
        </w:rPr>
      </w:pPr>
      <w:r>
        <w:rPr>
          <w:rFonts w:hint="eastAsia" w:cs="仿宋_GB2312" w:asciiTheme="minorEastAsia" w:hAnsiTheme="minorEastAsia" w:eastAsiaTheme="minorEastAsia"/>
          <w:sz w:val="28"/>
          <w:szCs w:val="28"/>
        </w:rPr>
        <w:t>九、国有资本经营预算财政拨款支出决算表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ascii="仿宋_GB2312" w:hAnsi="仿宋_GB2312" w:cs="仿宋_GB2312"/>
          <w:b/>
          <w:sz w:val="28"/>
          <w:szCs w:val="28"/>
        </w:rPr>
      </w:pPr>
      <w:r>
        <w:rPr>
          <w:rFonts w:hint="eastAsia" w:hAnsi="仿宋_GB2312"/>
          <w:b/>
          <w:sz w:val="28"/>
          <w:szCs w:val="28"/>
        </w:rPr>
        <w:t>第三部分</w:t>
      </w:r>
      <w:r>
        <w:rPr>
          <w:rFonts w:hint="eastAsia" w:hAnsi="仿宋_GB2312"/>
          <w:b/>
          <w:sz w:val="28"/>
          <w:szCs w:val="28"/>
          <w:lang w:val="en-US" w:eastAsia="zh-CN"/>
        </w:rPr>
        <w:t xml:space="preserve">  </w:t>
      </w:r>
      <w:r>
        <w:rPr>
          <w:rFonts w:hAnsi="仿宋_GB2312"/>
          <w:b/>
          <w:sz w:val="28"/>
          <w:szCs w:val="28"/>
        </w:rPr>
        <w:t>20</w:t>
      </w:r>
      <w:r>
        <w:rPr>
          <w:rFonts w:hint="eastAsia" w:hAnsi="仿宋_GB2312"/>
          <w:b/>
          <w:sz w:val="28"/>
          <w:szCs w:val="28"/>
        </w:rPr>
        <w:t>21年度部门决算情况说明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exact"/>
        <w:ind w:firstLine="700" w:firstLineChars="250"/>
        <w:textAlignment w:val="auto"/>
        <w:rPr>
          <w:rFonts w:cs="仿宋_GB2312" w:asciiTheme="minorEastAsia" w:hAnsiTheme="minorEastAsia" w:eastAsiaTheme="minorEastAsia"/>
          <w:sz w:val="28"/>
          <w:szCs w:val="28"/>
        </w:rPr>
      </w:pPr>
      <w:r>
        <w:rPr>
          <w:rFonts w:cs="仿宋_GB2312" w:asciiTheme="minorEastAsia" w:hAnsiTheme="minorEastAsia" w:eastAsiaTheme="minorEastAsia"/>
          <w:sz w:val="28"/>
          <w:szCs w:val="28"/>
        </w:rPr>
        <w:t>一、收入支出决算总体情况说明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exact"/>
        <w:ind w:firstLine="700" w:firstLineChars="250"/>
        <w:jc w:val="left"/>
        <w:textAlignment w:val="auto"/>
        <w:rPr>
          <w:rFonts w:ascii="仿宋_GB2312" w:hAnsi="仿宋_GB2312" w:cs="仿宋_GB2312"/>
          <w:sz w:val="28"/>
          <w:szCs w:val="28"/>
        </w:rPr>
      </w:pPr>
      <w:r>
        <w:rPr>
          <w:rFonts w:ascii="仿宋_GB2312" w:hAnsi="仿宋_GB2312" w:cs="仿宋_GB2312"/>
          <w:sz w:val="28"/>
          <w:szCs w:val="28"/>
        </w:rPr>
        <w:t>二、收入决算情况说明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700" w:firstLineChars="250"/>
        <w:jc w:val="left"/>
        <w:textAlignment w:val="auto"/>
        <w:rPr>
          <w:rFonts w:ascii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hAnsi="仿宋_GB2312" w:cs="仿宋_GB2312"/>
          <w:color w:val="000000"/>
          <w:kern w:val="0"/>
          <w:sz w:val="28"/>
          <w:szCs w:val="28"/>
        </w:rPr>
        <w:t>三、支出决算情况说明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700" w:firstLineChars="250"/>
        <w:jc w:val="left"/>
        <w:textAlignment w:val="auto"/>
        <w:rPr>
          <w:rFonts w:ascii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hAnsi="仿宋_GB2312" w:cs="仿宋_GB2312"/>
          <w:color w:val="000000"/>
          <w:kern w:val="0"/>
          <w:sz w:val="28"/>
          <w:szCs w:val="28"/>
        </w:rPr>
        <w:t>四、财政拨款收入支出决算总体情况说明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700" w:firstLineChars="250"/>
        <w:jc w:val="left"/>
        <w:textAlignment w:val="auto"/>
        <w:rPr>
          <w:rFonts w:ascii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hAnsi="仿宋_GB2312" w:cs="仿宋_GB2312"/>
          <w:color w:val="000000"/>
          <w:kern w:val="0"/>
          <w:sz w:val="28"/>
          <w:szCs w:val="28"/>
        </w:rPr>
        <w:t>五、一般公共预算财政拨款支出决算情况说明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700" w:firstLineChars="250"/>
        <w:jc w:val="left"/>
        <w:textAlignment w:val="auto"/>
        <w:rPr>
          <w:rFonts w:ascii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hAnsi="仿宋_GB2312" w:cs="仿宋_GB2312"/>
          <w:color w:val="000000"/>
          <w:kern w:val="0"/>
          <w:sz w:val="28"/>
          <w:szCs w:val="28"/>
        </w:rPr>
        <w:t>六、一般公共预算财政拨款基本支出决算情况说明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700" w:firstLineChars="250"/>
        <w:jc w:val="left"/>
        <w:textAlignment w:val="auto"/>
        <w:rPr>
          <w:rFonts w:ascii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hAnsi="仿宋_GB2312" w:cs="仿宋_GB2312"/>
          <w:color w:val="000000"/>
          <w:kern w:val="0"/>
          <w:sz w:val="28"/>
          <w:szCs w:val="28"/>
        </w:rPr>
        <w:t>七、一般公共预算财政拨款</w:t>
      </w:r>
      <w:r>
        <w:rPr>
          <w:rFonts w:hint="eastAsia" w:ascii="仿宋_GB2312" w:hAnsi="仿宋_GB2312" w:cs="仿宋_GB2312"/>
          <w:color w:val="000000"/>
          <w:kern w:val="0"/>
          <w:sz w:val="28"/>
          <w:szCs w:val="28"/>
        </w:rPr>
        <w:t>“</w:t>
      </w:r>
      <w:r>
        <w:rPr>
          <w:rFonts w:ascii="仿宋_GB2312" w:hAnsi="仿宋_GB2312" w:cs="仿宋_GB2312"/>
          <w:color w:val="000000"/>
          <w:kern w:val="0"/>
          <w:sz w:val="28"/>
          <w:szCs w:val="28"/>
        </w:rPr>
        <w:t>三公</w:t>
      </w:r>
      <w:r>
        <w:rPr>
          <w:rFonts w:hint="eastAsia" w:ascii="仿宋_GB2312" w:hAnsi="仿宋_GB2312" w:cs="仿宋_GB2312"/>
          <w:color w:val="000000"/>
          <w:kern w:val="0"/>
          <w:sz w:val="28"/>
          <w:szCs w:val="28"/>
        </w:rPr>
        <w:t>”</w:t>
      </w:r>
      <w:r>
        <w:rPr>
          <w:rFonts w:ascii="仿宋_GB2312" w:hAnsi="仿宋_GB2312" w:cs="仿宋_GB2312"/>
          <w:color w:val="000000"/>
          <w:kern w:val="0"/>
          <w:sz w:val="28"/>
          <w:szCs w:val="28"/>
        </w:rPr>
        <w:t>经费支出决算情况说明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700" w:firstLineChars="250"/>
        <w:jc w:val="left"/>
        <w:textAlignment w:val="auto"/>
        <w:rPr>
          <w:rFonts w:ascii="仿宋_GB2312" w:hAnsi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cs="仿宋_GB2312"/>
          <w:color w:val="000000"/>
          <w:kern w:val="0"/>
          <w:sz w:val="28"/>
          <w:szCs w:val="28"/>
        </w:rPr>
        <w:t>八</w:t>
      </w:r>
      <w:r>
        <w:rPr>
          <w:rFonts w:ascii="仿宋_GB2312" w:hAnsi="仿宋_GB2312" w:cs="仿宋_GB2312"/>
          <w:color w:val="000000"/>
          <w:kern w:val="0"/>
          <w:sz w:val="28"/>
          <w:szCs w:val="28"/>
        </w:rPr>
        <w:t>、</w:t>
      </w:r>
      <w:r>
        <w:rPr>
          <w:rFonts w:hint="eastAsia" w:ascii="仿宋_GB2312" w:hAnsi="仿宋_GB2312" w:cs="仿宋_GB2312"/>
          <w:color w:val="000000"/>
          <w:kern w:val="0"/>
          <w:sz w:val="28"/>
          <w:szCs w:val="28"/>
        </w:rPr>
        <w:t>政府性基金预算收入支出决算情况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700" w:firstLineChars="250"/>
        <w:jc w:val="left"/>
        <w:textAlignment w:val="auto"/>
        <w:rPr>
          <w:rFonts w:hint="eastAsia" w:ascii="仿宋_GB2312" w:hAnsi="仿宋_GB2312" w:cs="仿宋_GB2312" w:eastAsiaTheme="minorEastAsia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cs="仿宋_GB2312"/>
          <w:color w:val="000000"/>
          <w:kern w:val="0"/>
          <w:sz w:val="28"/>
          <w:szCs w:val="28"/>
        </w:rPr>
        <w:t>九</w:t>
      </w:r>
      <w:r>
        <w:rPr>
          <w:rFonts w:ascii="仿宋_GB2312" w:hAnsi="仿宋_GB2312" w:cs="仿宋_GB2312"/>
          <w:color w:val="000000"/>
          <w:kern w:val="0"/>
          <w:sz w:val="28"/>
          <w:szCs w:val="28"/>
        </w:rPr>
        <w:t>、</w:t>
      </w:r>
      <w:r>
        <w:rPr>
          <w:rFonts w:hint="eastAsia" w:cs="仿宋_GB2312" w:asciiTheme="minorEastAsia" w:hAnsiTheme="minorEastAsia" w:eastAsiaTheme="minorEastAsia"/>
          <w:sz w:val="28"/>
          <w:szCs w:val="28"/>
        </w:rPr>
        <w:t>国有资本经营预算财政拨款支出决算</w:t>
      </w:r>
      <w:r>
        <w:rPr>
          <w:rFonts w:hint="eastAsia" w:cs="仿宋_GB2312" w:asciiTheme="minorEastAsia" w:hAnsiTheme="minorEastAsia"/>
          <w:sz w:val="28"/>
          <w:szCs w:val="28"/>
          <w:lang w:eastAsia="zh-CN"/>
        </w:rPr>
        <w:t>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700" w:firstLineChars="250"/>
        <w:jc w:val="left"/>
        <w:textAlignment w:val="auto"/>
        <w:rPr>
          <w:rFonts w:ascii="仿宋_GB2312" w:hAnsi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cs="仿宋_GB2312"/>
          <w:color w:val="000000"/>
          <w:kern w:val="0"/>
          <w:sz w:val="28"/>
          <w:szCs w:val="28"/>
        </w:rPr>
        <w:t>十、机关运行经费支出说明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700" w:firstLineChars="250"/>
        <w:jc w:val="left"/>
        <w:textAlignment w:val="auto"/>
        <w:rPr>
          <w:rFonts w:ascii="仿宋_GB2312" w:hAnsi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cs="仿宋_GB2312"/>
          <w:color w:val="000000"/>
          <w:kern w:val="0"/>
          <w:sz w:val="28"/>
          <w:szCs w:val="28"/>
        </w:rPr>
        <w:t>十一、一般性支出情况说明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700" w:firstLineChars="250"/>
        <w:jc w:val="left"/>
        <w:textAlignment w:val="auto"/>
        <w:rPr>
          <w:rFonts w:ascii="仿宋_GB2312" w:hAnsi="仿宋_GB2312" w:cs="仿宋_GB2312" w:eastAsiaTheme="minorEastAsia"/>
          <w:sz w:val="28"/>
          <w:szCs w:val="28"/>
        </w:rPr>
      </w:pPr>
      <w:r>
        <w:rPr>
          <w:rFonts w:hint="eastAsia" w:ascii="仿宋_GB2312" w:hAnsi="仿宋_GB2312" w:cs="仿宋_GB2312" w:eastAsiaTheme="minorEastAsia"/>
          <w:sz w:val="28"/>
          <w:szCs w:val="28"/>
        </w:rPr>
        <w:t>十二、</w:t>
      </w:r>
      <w:r>
        <w:rPr>
          <w:rFonts w:hint="eastAsia" w:ascii="仿宋_GB2312" w:hAnsi="仿宋_GB2312" w:cs="仿宋_GB2312"/>
          <w:color w:val="000000"/>
          <w:kern w:val="0"/>
          <w:sz w:val="28"/>
          <w:szCs w:val="28"/>
        </w:rPr>
        <w:t>政府采购支出说明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exact"/>
        <w:ind w:firstLine="700" w:firstLineChars="250"/>
        <w:textAlignment w:val="auto"/>
        <w:rPr>
          <w:rFonts w:hint="eastAsia" w:ascii="仿宋_GB2312" w:hAnsi="仿宋_GB2312" w:cs="仿宋_GB2312" w:eastAsiaTheme="minorEastAsia"/>
          <w:sz w:val="28"/>
          <w:szCs w:val="28"/>
        </w:rPr>
      </w:pPr>
      <w:r>
        <w:rPr>
          <w:rFonts w:hint="eastAsia" w:ascii="仿宋_GB2312" w:hAnsi="仿宋_GB2312" w:cs="仿宋_GB2312" w:eastAsiaTheme="minorEastAsia"/>
          <w:sz w:val="28"/>
          <w:szCs w:val="28"/>
        </w:rPr>
        <w:t>十三、国有资产占用情况说明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exact"/>
        <w:ind w:firstLine="700" w:firstLineChars="250"/>
        <w:textAlignment w:val="auto"/>
        <w:rPr>
          <w:rFonts w:hint="eastAsia" w:ascii="仿宋_GB2312" w:hAnsi="仿宋_GB2312" w:cs="仿宋_GB2312" w:eastAsiaTheme="minorEastAsia"/>
          <w:sz w:val="28"/>
          <w:szCs w:val="28"/>
          <w:lang w:eastAsia="zh-CN"/>
        </w:rPr>
      </w:pPr>
      <w:r>
        <w:rPr>
          <w:rFonts w:hint="eastAsia" w:ascii="仿宋_GB2312" w:hAnsi="仿宋_GB2312" w:cs="仿宋_GB2312" w:eastAsiaTheme="minorEastAsia"/>
          <w:sz w:val="28"/>
          <w:szCs w:val="28"/>
          <w:lang w:eastAsia="zh-CN"/>
        </w:rPr>
        <w:t>十四、</w:t>
      </w:r>
      <w:r>
        <w:rPr>
          <w:rFonts w:hint="eastAsia" w:cs="仿宋_GB2312" w:asciiTheme="minorEastAsia" w:hAnsiTheme="minorEastAsia" w:eastAsiaTheme="minorEastAsia"/>
          <w:sz w:val="28"/>
          <w:szCs w:val="28"/>
        </w:rPr>
        <w:t>2021年</w:t>
      </w:r>
      <w:r>
        <w:rPr>
          <w:rFonts w:hint="eastAsia" w:ascii="仿宋_GB2312" w:hAnsi="仿宋_GB2312" w:cs="仿宋_GB2312" w:eastAsiaTheme="minorEastAsia"/>
          <w:sz w:val="28"/>
          <w:szCs w:val="28"/>
        </w:rPr>
        <w:t>度预算绩效情况说明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jc w:val="left"/>
        <w:textAlignment w:val="auto"/>
        <w:rPr>
          <w:rFonts w:ascii="黑体" w:hAnsi="黑体" w:eastAsia="黑体" w:cs="黑体"/>
          <w:b/>
          <w:color w:val="000000"/>
          <w:kern w:val="0"/>
          <w:sz w:val="28"/>
          <w:szCs w:val="28"/>
        </w:rPr>
      </w:pPr>
      <w:r>
        <w:rPr>
          <w:rFonts w:ascii="黑体" w:hAnsi="黑体" w:eastAsia="黑体" w:cs="黑体"/>
          <w:b/>
          <w:color w:val="000000"/>
          <w:kern w:val="0"/>
          <w:sz w:val="28"/>
          <w:szCs w:val="28"/>
        </w:rPr>
        <w:t>第四部分</w:t>
      </w:r>
      <w:r>
        <w:rPr>
          <w:rFonts w:hint="eastAsia" w:ascii="黑体" w:hAnsi="黑体" w:eastAsia="黑体" w:cs="黑体"/>
          <w:b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ascii="黑体" w:hAnsi="黑体" w:eastAsia="黑体" w:cs="黑体"/>
          <w:b/>
          <w:color w:val="000000"/>
          <w:kern w:val="0"/>
          <w:sz w:val="28"/>
          <w:szCs w:val="28"/>
        </w:rPr>
        <w:t>名词解释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jc w:val="left"/>
        <w:textAlignment w:val="auto"/>
        <w:rPr>
          <w:rFonts w:ascii="黑体" w:hAnsi="黑体" w:eastAsia="黑体" w:cs="仿宋_GB2312"/>
          <w:b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黑体"/>
          <w:b/>
          <w:color w:val="000000"/>
          <w:kern w:val="0"/>
          <w:sz w:val="28"/>
          <w:szCs w:val="28"/>
        </w:rPr>
        <w:t>第五部分</w:t>
      </w:r>
      <w:r>
        <w:rPr>
          <w:rFonts w:hint="eastAsia" w:ascii="黑体" w:hAnsi="黑体" w:eastAsia="黑体" w:cs="黑体"/>
          <w:b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黑体" w:hAnsi="黑体" w:eastAsia="黑体" w:cs="黑体"/>
          <w:b/>
          <w:color w:val="000000"/>
          <w:kern w:val="0"/>
          <w:sz w:val="28"/>
          <w:szCs w:val="28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20" w:lineRule="exact"/>
        <w:jc w:val="center"/>
        <w:textAlignment w:val="auto"/>
        <w:rPr>
          <w:sz w:val="72"/>
          <w:szCs w:val="72"/>
        </w:rPr>
      </w:pPr>
    </w:p>
    <w:p>
      <w:pPr>
        <w:jc w:val="center"/>
        <w:rPr>
          <w:sz w:val="72"/>
          <w:szCs w:val="72"/>
        </w:rPr>
      </w:pPr>
    </w:p>
    <w:p>
      <w:pPr>
        <w:jc w:val="center"/>
        <w:rPr>
          <w:sz w:val="72"/>
          <w:szCs w:val="72"/>
        </w:rPr>
      </w:pPr>
    </w:p>
    <w:p>
      <w:pPr>
        <w:jc w:val="center"/>
        <w:rPr>
          <w:sz w:val="72"/>
          <w:szCs w:val="72"/>
        </w:rPr>
      </w:pPr>
    </w:p>
    <w:p>
      <w:pPr>
        <w:rPr>
          <w:sz w:val="72"/>
          <w:szCs w:val="72"/>
        </w:rPr>
      </w:pPr>
    </w:p>
    <w:p>
      <w:pPr>
        <w:pStyle w:val="10"/>
        <w:jc w:val="center"/>
        <w:rPr>
          <w:sz w:val="84"/>
          <w:szCs w:val="84"/>
        </w:rPr>
      </w:pPr>
      <w:r>
        <w:rPr>
          <w:rFonts w:hint="eastAsia"/>
          <w:sz w:val="84"/>
          <w:szCs w:val="84"/>
        </w:rPr>
        <w:t>第一部分</w:t>
      </w:r>
      <w:r>
        <w:rPr>
          <w:sz w:val="84"/>
          <w:szCs w:val="84"/>
        </w:rPr>
        <w:t xml:space="preserve"> </w:t>
      </w:r>
    </w:p>
    <w:p>
      <w:pPr>
        <w:pStyle w:val="10"/>
        <w:jc w:val="center"/>
        <w:rPr>
          <w:sz w:val="84"/>
          <w:szCs w:val="84"/>
        </w:rPr>
      </w:pPr>
    </w:p>
    <w:p>
      <w:pPr>
        <w:pStyle w:val="10"/>
        <w:jc w:val="center"/>
        <w:rPr>
          <w:sz w:val="84"/>
          <w:szCs w:val="84"/>
        </w:rPr>
      </w:pPr>
      <w:r>
        <w:rPr>
          <w:rFonts w:hint="eastAsia"/>
          <w:sz w:val="84"/>
          <w:szCs w:val="84"/>
          <w:lang w:eastAsia="zh-CN"/>
        </w:rPr>
        <w:t>岳阳市体育馆</w:t>
      </w:r>
      <w:r>
        <w:rPr>
          <w:rFonts w:hint="eastAsia"/>
          <w:sz w:val="84"/>
          <w:szCs w:val="84"/>
        </w:rPr>
        <w:t>概况</w:t>
      </w:r>
    </w:p>
    <w:p>
      <w:pPr>
        <w:jc w:val="center"/>
        <w:rPr>
          <w:sz w:val="72"/>
          <w:szCs w:val="72"/>
        </w:rPr>
      </w:pPr>
    </w:p>
    <w:p>
      <w:pPr>
        <w:jc w:val="center"/>
        <w:rPr>
          <w:sz w:val="72"/>
          <w:szCs w:val="72"/>
        </w:rPr>
      </w:pPr>
    </w:p>
    <w:p>
      <w:pPr>
        <w:jc w:val="center"/>
        <w:rPr>
          <w:sz w:val="72"/>
          <w:szCs w:val="72"/>
        </w:rPr>
      </w:pPr>
    </w:p>
    <w:p>
      <w:pPr>
        <w:jc w:val="center"/>
        <w:rPr>
          <w:sz w:val="72"/>
          <w:szCs w:val="72"/>
        </w:rPr>
      </w:pPr>
    </w:p>
    <w:p>
      <w:pPr>
        <w:jc w:val="center"/>
        <w:rPr>
          <w:sz w:val="72"/>
          <w:szCs w:val="72"/>
        </w:rPr>
      </w:pPr>
    </w:p>
    <w:p>
      <w:pPr>
        <w:jc w:val="center"/>
        <w:rPr>
          <w:sz w:val="72"/>
          <w:szCs w:val="72"/>
        </w:rPr>
      </w:pPr>
    </w:p>
    <w:p>
      <w:pPr>
        <w:pStyle w:val="11"/>
        <w:ind w:left="720" w:firstLine="0" w:firstLineChars="0"/>
        <w:jc w:val="left"/>
        <w:rPr>
          <w:rFonts w:ascii="黑体" w:hAnsi="黑体" w:eastAsia="黑体"/>
          <w:sz w:val="32"/>
          <w:szCs w:val="32"/>
        </w:rPr>
      </w:pPr>
    </w:p>
    <w:p>
      <w:pPr>
        <w:pStyle w:val="11"/>
        <w:ind w:left="720" w:firstLine="0" w:firstLineChars="0"/>
        <w:jc w:val="left"/>
        <w:rPr>
          <w:rFonts w:ascii="黑体" w:hAnsi="黑体" w:eastAsia="黑体"/>
          <w:sz w:val="32"/>
          <w:szCs w:val="32"/>
        </w:rPr>
      </w:pPr>
    </w:p>
    <w:p>
      <w:pPr>
        <w:pStyle w:val="11"/>
        <w:ind w:left="720" w:firstLine="0" w:firstLineChars="0"/>
        <w:jc w:val="left"/>
        <w:rPr>
          <w:rFonts w:ascii="黑体" w:hAnsi="黑体" w:eastAsia="黑体"/>
          <w:sz w:val="32"/>
          <w:szCs w:val="32"/>
        </w:rPr>
      </w:pPr>
    </w:p>
    <w:p>
      <w:pPr>
        <w:pStyle w:val="11"/>
        <w:numPr>
          <w:ilvl w:val="0"/>
          <w:numId w:val="1"/>
        </w:numPr>
        <w:ind w:firstLineChars="0"/>
        <w:jc w:val="left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部门职责</w:t>
      </w:r>
    </w:p>
    <w:p>
      <w:pPr>
        <w:widowControl/>
        <w:numPr>
          <w:ilvl w:val="0"/>
          <w:numId w:val="0"/>
        </w:numPr>
        <w:spacing w:line="600" w:lineRule="exact"/>
        <w:ind w:firstLine="640" w:firstLineChars="200"/>
        <w:rPr>
          <w:rFonts w:hint="eastAsia" w:asciiTheme="minorEastAsia" w:hAnsiTheme="minorEastAsia"/>
          <w:bCs/>
          <w:kern w:val="0"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bCs/>
          <w:kern w:val="0"/>
          <w:sz w:val="32"/>
          <w:szCs w:val="32"/>
          <w:lang w:val="en-US" w:eastAsia="zh-CN"/>
        </w:rPr>
        <w:t>主要职能分四个方面：一是维护和管理场馆设施，落实《全民健身计划纲要》，为群众性体育健身和竞赛活动以及有关大型社会活动提供场地服务；二是负责承办各类体育比赛，开展全民健身体育活动和体育培训；三是负责青少年运动员的选拔和业余训练；四是开展经营创收，搞好体育产业开发，增强自我发展能力。</w:t>
      </w:r>
    </w:p>
    <w:p>
      <w:pPr>
        <w:widowControl/>
        <w:numPr>
          <w:ilvl w:val="0"/>
          <w:numId w:val="2"/>
        </w:numPr>
        <w:spacing w:line="600" w:lineRule="exact"/>
        <w:rPr>
          <w:rFonts w:hint="eastAsia" w:ascii="黑体" w:hAnsi="黑体" w:eastAsia="黑体"/>
          <w:bCs/>
          <w:kern w:val="0"/>
          <w:sz w:val="32"/>
          <w:szCs w:val="32"/>
        </w:rPr>
      </w:pPr>
      <w:r>
        <w:rPr>
          <w:rFonts w:hint="eastAsia" w:ascii="黑体" w:hAnsi="黑体" w:eastAsia="黑体"/>
          <w:bCs/>
          <w:kern w:val="0"/>
          <w:sz w:val="32"/>
          <w:szCs w:val="32"/>
        </w:rPr>
        <w:t>机构设置及决算单位构成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  <w:textAlignment w:val="center"/>
        <w:rPr>
          <w:rFonts w:hint="eastAsia" w:asciiTheme="minorEastAsia" w:hAnsiTheme="minorEastAsia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1、</w:t>
      </w:r>
      <w:r>
        <w:rPr>
          <w:rFonts w:hint="eastAsia" w:asciiTheme="minorEastAsia" w:hAnsiTheme="minorEastAsia"/>
          <w:bCs/>
          <w:kern w:val="0"/>
          <w:sz w:val="32"/>
          <w:szCs w:val="32"/>
        </w:rPr>
        <w:t>机</w:t>
      </w:r>
      <w:r>
        <w:rPr>
          <w:rFonts w:hint="eastAsia" w:asciiTheme="minorEastAsia" w:hAnsiTheme="minorEastAsia"/>
          <w:bCs/>
          <w:kern w:val="0"/>
          <w:sz w:val="32"/>
          <w:szCs w:val="32"/>
        </w:rPr>
        <w:t>构设置</w:t>
      </w:r>
      <w:r>
        <w:rPr>
          <w:rFonts w:hint="eastAsia" w:asciiTheme="minorEastAsia" w:hAnsiTheme="minorEastAsia"/>
          <w:bCs/>
          <w:kern w:val="0"/>
          <w:sz w:val="32"/>
          <w:szCs w:val="32"/>
          <w:lang w:eastAsia="zh-CN"/>
        </w:rPr>
        <w:t>：</w:t>
      </w:r>
      <w:r>
        <w:rPr>
          <w:rFonts w:hint="eastAsia" w:asciiTheme="minorEastAsia" w:hAnsiTheme="minorEastAsia"/>
          <w:bCs/>
          <w:kern w:val="0"/>
          <w:sz w:val="32"/>
          <w:szCs w:val="32"/>
          <w:lang w:val="en-US" w:eastAsia="zh-CN"/>
        </w:rPr>
        <w:t>本单位2021年在编人员为22人，年未实有人数22人。共设有三部一室，为业务部、行管部、培训部及办公室。</w:t>
      </w:r>
    </w:p>
    <w:p>
      <w:pPr>
        <w:widowControl/>
        <w:numPr>
          <w:ilvl w:val="0"/>
          <w:numId w:val="0"/>
        </w:numPr>
        <w:spacing w:line="600" w:lineRule="exact"/>
        <w:ind w:firstLine="560" w:firstLineChars="200"/>
        <w:rPr>
          <w:rFonts w:hint="default" w:ascii="仿宋" w:hAnsi="仿宋" w:eastAsia="仿宋" w:cs="仿宋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cs="仿宋_GB2312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2、</w:t>
      </w:r>
      <w:r>
        <w:rPr>
          <w:rFonts w:hint="eastAsia" w:asciiTheme="minorEastAsia" w:hAnsiTheme="minorEastAsia"/>
          <w:bCs/>
          <w:kern w:val="0"/>
          <w:sz w:val="32"/>
          <w:szCs w:val="32"/>
        </w:rPr>
        <w:t>决算单位构成</w:t>
      </w:r>
      <w:r>
        <w:rPr>
          <w:rFonts w:hint="eastAsia" w:asciiTheme="minorEastAsia" w:hAnsiTheme="minorEastAsia"/>
          <w:bCs/>
          <w:kern w:val="0"/>
          <w:sz w:val="32"/>
          <w:szCs w:val="32"/>
          <w:lang w:val="en-US" w:eastAsia="zh-CN"/>
        </w:rPr>
        <w:t>:</w:t>
      </w:r>
      <w:r>
        <w:rPr>
          <w:rFonts w:hint="eastAsia" w:asciiTheme="minorEastAsia" w:hAnsiTheme="minorEastAsia"/>
          <w:bCs/>
          <w:kern w:val="0"/>
          <w:sz w:val="32"/>
          <w:szCs w:val="32"/>
        </w:rPr>
        <w:t>岳阳市</w:t>
      </w:r>
      <w:r>
        <w:rPr>
          <w:rFonts w:hint="eastAsia" w:asciiTheme="minorEastAsia" w:hAnsiTheme="minorEastAsia"/>
          <w:bCs/>
          <w:kern w:val="0"/>
          <w:sz w:val="32"/>
          <w:szCs w:val="32"/>
          <w:lang w:eastAsia="zh-CN"/>
        </w:rPr>
        <w:t>体育馆</w:t>
      </w:r>
      <w:r>
        <w:rPr>
          <w:rFonts w:asciiTheme="minorEastAsia" w:hAnsiTheme="minorEastAsia"/>
          <w:bCs/>
          <w:kern w:val="0"/>
          <w:sz w:val="32"/>
          <w:szCs w:val="32"/>
        </w:rPr>
        <w:t>20</w:t>
      </w:r>
      <w:r>
        <w:rPr>
          <w:rFonts w:hint="eastAsia" w:asciiTheme="minorEastAsia" w:hAnsiTheme="minorEastAsia"/>
          <w:bCs/>
          <w:kern w:val="0"/>
          <w:sz w:val="32"/>
          <w:szCs w:val="32"/>
        </w:rPr>
        <w:t>2</w:t>
      </w:r>
      <w:r>
        <w:rPr>
          <w:rFonts w:hint="eastAsia" w:asciiTheme="minorEastAsia" w:hAnsiTheme="minorEastAsia"/>
          <w:bCs/>
          <w:kern w:val="0"/>
          <w:sz w:val="32"/>
          <w:szCs w:val="32"/>
          <w:lang w:val="en-US" w:eastAsia="zh-CN"/>
        </w:rPr>
        <w:t>1</w:t>
      </w:r>
      <w:r>
        <w:rPr>
          <w:rFonts w:hint="eastAsia" w:asciiTheme="minorEastAsia" w:hAnsiTheme="minorEastAsia"/>
          <w:bCs/>
          <w:kern w:val="0"/>
          <w:sz w:val="32"/>
          <w:szCs w:val="32"/>
        </w:rPr>
        <w:t>年部门决算汇总公开单位构成为：</w:t>
      </w:r>
      <w:r>
        <w:rPr>
          <w:rFonts w:asciiTheme="minorEastAsia" w:hAnsiTheme="minorEastAsia"/>
          <w:bCs/>
          <w:kern w:val="0"/>
          <w:sz w:val="32"/>
          <w:szCs w:val="32"/>
        </w:rPr>
        <w:t>本</w:t>
      </w:r>
      <w:r>
        <w:rPr>
          <w:rFonts w:hint="eastAsia" w:asciiTheme="minorEastAsia" w:hAnsiTheme="minorEastAsia"/>
          <w:bCs/>
          <w:kern w:val="0"/>
          <w:sz w:val="32"/>
          <w:szCs w:val="32"/>
        </w:rPr>
        <w:t>单位</w:t>
      </w:r>
      <w:r>
        <w:rPr>
          <w:rFonts w:asciiTheme="minorEastAsia" w:hAnsiTheme="minorEastAsia"/>
          <w:bCs/>
          <w:kern w:val="0"/>
          <w:sz w:val="32"/>
          <w:szCs w:val="32"/>
        </w:rPr>
        <w:t>20</w:t>
      </w:r>
      <w:r>
        <w:rPr>
          <w:rFonts w:hint="eastAsia" w:asciiTheme="minorEastAsia" w:hAnsiTheme="minorEastAsia"/>
          <w:bCs/>
          <w:kern w:val="0"/>
          <w:sz w:val="32"/>
          <w:szCs w:val="32"/>
        </w:rPr>
        <w:t>2</w:t>
      </w:r>
      <w:r>
        <w:rPr>
          <w:rFonts w:hint="eastAsia" w:asciiTheme="minorEastAsia" w:hAnsiTheme="minorEastAsia"/>
          <w:bCs/>
          <w:kern w:val="0"/>
          <w:sz w:val="32"/>
          <w:szCs w:val="32"/>
          <w:lang w:val="en-US" w:eastAsia="zh-CN"/>
        </w:rPr>
        <w:t>1</w:t>
      </w:r>
      <w:r>
        <w:rPr>
          <w:rFonts w:hint="eastAsia" w:asciiTheme="minorEastAsia" w:hAnsiTheme="minorEastAsia"/>
          <w:bCs/>
          <w:kern w:val="0"/>
          <w:sz w:val="32"/>
          <w:szCs w:val="32"/>
        </w:rPr>
        <w:t>年部门决算本级。</w:t>
      </w:r>
    </w:p>
    <w:p>
      <w:pPr>
        <w:jc w:val="center"/>
        <w:rPr>
          <w:rFonts w:ascii="黑体" w:hAnsi="黑体" w:eastAsia="黑体"/>
          <w:sz w:val="28"/>
          <w:szCs w:val="28"/>
        </w:rPr>
      </w:pPr>
    </w:p>
    <w:p>
      <w:pPr>
        <w:jc w:val="center"/>
        <w:rPr>
          <w:rFonts w:ascii="黑体" w:hAnsi="黑体" w:eastAsia="黑体"/>
          <w:sz w:val="28"/>
          <w:szCs w:val="28"/>
        </w:rPr>
      </w:pPr>
    </w:p>
    <w:p>
      <w:pPr>
        <w:jc w:val="center"/>
        <w:rPr>
          <w:rFonts w:ascii="黑体" w:hAnsi="黑体" w:eastAsia="黑体"/>
          <w:sz w:val="28"/>
          <w:szCs w:val="28"/>
        </w:rPr>
      </w:pPr>
    </w:p>
    <w:p>
      <w:pPr>
        <w:jc w:val="center"/>
        <w:rPr>
          <w:rFonts w:ascii="黑体" w:hAnsi="黑体" w:eastAsia="黑体"/>
          <w:sz w:val="28"/>
          <w:szCs w:val="28"/>
        </w:rPr>
      </w:pPr>
    </w:p>
    <w:p>
      <w:pPr>
        <w:jc w:val="center"/>
        <w:rPr>
          <w:rFonts w:ascii="黑体" w:hAnsi="黑体" w:eastAsia="黑体"/>
          <w:sz w:val="28"/>
          <w:szCs w:val="28"/>
        </w:rPr>
      </w:pPr>
    </w:p>
    <w:p>
      <w:pPr>
        <w:jc w:val="center"/>
        <w:rPr>
          <w:rFonts w:ascii="黑体" w:hAnsi="黑体" w:eastAsia="黑体"/>
          <w:sz w:val="28"/>
          <w:szCs w:val="28"/>
        </w:rPr>
      </w:pPr>
    </w:p>
    <w:p>
      <w:pPr>
        <w:jc w:val="center"/>
        <w:rPr>
          <w:rFonts w:ascii="黑体" w:hAnsi="黑体" w:eastAsia="黑体"/>
          <w:sz w:val="28"/>
          <w:szCs w:val="28"/>
        </w:rPr>
      </w:pPr>
    </w:p>
    <w:p>
      <w:pPr>
        <w:jc w:val="center"/>
        <w:rPr>
          <w:rFonts w:ascii="黑体" w:hAnsi="黑体" w:eastAsia="黑体"/>
          <w:sz w:val="28"/>
          <w:szCs w:val="28"/>
        </w:rPr>
      </w:pPr>
    </w:p>
    <w:p>
      <w:pPr>
        <w:jc w:val="center"/>
        <w:rPr>
          <w:rFonts w:ascii="黑体" w:hAnsi="黑体" w:eastAsia="黑体"/>
          <w:sz w:val="28"/>
          <w:szCs w:val="28"/>
        </w:rPr>
      </w:pPr>
    </w:p>
    <w:p>
      <w:pPr>
        <w:jc w:val="center"/>
        <w:rPr>
          <w:rFonts w:ascii="黑体" w:hAnsi="黑体" w:eastAsia="黑体"/>
          <w:sz w:val="28"/>
          <w:szCs w:val="28"/>
        </w:rPr>
      </w:pPr>
    </w:p>
    <w:p>
      <w:pPr>
        <w:jc w:val="center"/>
        <w:rPr>
          <w:rFonts w:ascii="黑体" w:hAnsi="黑体" w:eastAsia="黑体"/>
          <w:sz w:val="28"/>
          <w:szCs w:val="28"/>
        </w:rPr>
      </w:pPr>
    </w:p>
    <w:p>
      <w:pPr>
        <w:jc w:val="center"/>
        <w:rPr>
          <w:sz w:val="72"/>
          <w:szCs w:val="72"/>
        </w:rPr>
      </w:pPr>
    </w:p>
    <w:p>
      <w:pPr>
        <w:jc w:val="center"/>
        <w:rPr>
          <w:sz w:val="72"/>
          <w:szCs w:val="72"/>
        </w:rPr>
      </w:pPr>
    </w:p>
    <w:p>
      <w:pPr>
        <w:jc w:val="center"/>
        <w:rPr>
          <w:sz w:val="72"/>
          <w:szCs w:val="72"/>
        </w:rPr>
      </w:pPr>
    </w:p>
    <w:p>
      <w:pPr>
        <w:jc w:val="center"/>
        <w:rPr>
          <w:sz w:val="72"/>
          <w:szCs w:val="72"/>
        </w:rPr>
      </w:pPr>
    </w:p>
    <w:p>
      <w:pPr>
        <w:jc w:val="center"/>
        <w:rPr>
          <w:sz w:val="72"/>
          <w:szCs w:val="72"/>
        </w:rPr>
      </w:pPr>
    </w:p>
    <w:p>
      <w:pPr>
        <w:jc w:val="center"/>
        <w:rPr>
          <w:sz w:val="72"/>
          <w:szCs w:val="72"/>
        </w:rPr>
      </w:pPr>
      <w:r>
        <w:rPr>
          <w:rFonts w:hint="eastAsia"/>
          <w:sz w:val="72"/>
          <w:szCs w:val="72"/>
        </w:rPr>
        <w:t>第二部分</w:t>
      </w:r>
    </w:p>
    <w:p>
      <w:pPr>
        <w:jc w:val="center"/>
        <w:rPr>
          <w:sz w:val="72"/>
          <w:szCs w:val="72"/>
        </w:rPr>
      </w:pPr>
    </w:p>
    <w:p>
      <w:pPr>
        <w:jc w:val="center"/>
        <w:rPr>
          <w:rFonts w:hint="eastAsia"/>
          <w:sz w:val="72"/>
          <w:szCs w:val="72"/>
        </w:rPr>
      </w:pPr>
      <w:r>
        <w:rPr>
          <w:rFonts w:hint="eastAsia"/>
          <w:sz w:val="72"/>
          <w:szCs w:val="72"/>
        </w:rPr>
        <w:t>部门决算表</w:t>
      </w:r>
    </w:p>
    <w:p>
      <w:pPr>
        <w:jc w:val="center"/>
        <w:rPr>
          <w:rFonts w:hint="eastAsia" w:eastAsiaTheme="minorEastAsia"/>
          <w:sz w:val="72"/>
          <w:szCs w:val="72"/>
          <w:lang w:eastAsia="zh-CN"/>
        </w:rPr>
      </w:pPr>
      <w:r>
        <w:rPr>
          <w:rFonts w:hint="eastAsia"/>
          <w:sz w:val="72"/>
          <w:szCs w:val="72"/>
          <w:lang w:eastAsia="zh-CN"/>
        </w:rPr>
        <w:t>（见附件）</w:t>
      </w:r>
    </w:p>
    <w:p>
      <w:pPr>
        <w:jc w:val="center"/>
        <w:rPr>
          <w:sz w:val="72"/>
          <w:szCs w:val="72"/>
        </w:rPr>
      </w:pPr>
    </w:p>
    <w:p>
      <w:pPr>
        <w:jc w:val="center"/>
        <w:rPr>
          <w:sz w:val="72"/>
          <w:szCs w:val="72"/>
        </w:rPr>
      </w:pPr>
    </w:p>
    <w:p>
      <w:pPr>
        <w:jc w:val="center"/>
        <w:rPr>
          <w:sz w:val="72"/>
          <w:szCs w:val="72"/>
        </w:rPr>
      </w:pPr>
    </w:p>
    <w:p>
      <w:pPr>
        <w:jc w:val="center"/>
        <w:rPr>
          <w:sz w:val="72"/>
          <w:szCs w:val="72"/>
        </w:rPr>
      </w:pPr>
    </w:p>
    <w:p>
      <w:pPr>
        <w:jc w:val="center"/>
        <w:rPr>
          <w:sz w:val="72"/>
          <w:szCs w:val="72"/>
        </w:rPr>
      </w:pPr>
    </w:p>
    <w:p>
      <w:pPr>
        <w:jc w:val="left"/>
        <w:rPr>
          <w:rFonts w:asciiTheme="minorEastAsia" w:hAnsiTheme="minorEastAsia"/>
          <w:sz w:val="32"/>
          <w:szCs w:val="32"/>
        </w:rPr>
        <w:sectPr>
          <w:pgSz w:w="11906" w:h="16838"/>
          <w:pgMar w:top="720" w:right="720" w:bottom="720" w:left="720" w:header="851" w:footer="992" w:gutter="0"/>
          <w:cols w:space="425" w:num="1"/>
          <w:docGrid w:type="lines" w:linePitch="312" w:charSpace="0"/>
        </w:sectPr>
      </w:pPr>
    </w:p>
    <w:p>
      <w:pPr>
        <w:pStyle w:val="10"/>
        <w:jc w:val="both"/>
        <w:rPr>
          <w:sz w:val="72"/>
          <w:szCs w:val="72"/>
        </w:rPr>
      </w:pPr>
    </w:p>
    <w:p>
      <w:pPr>
        <w:pStyle w:val="10"/>
        <w:jc w:val="center"/>
        <w:rPr>
          <w:sz w:val="72"/>
          <w:szCs w:val="72"/>
        </w:rPr>
      </w:pPr>
    </w:p>
    <w:p>
      <w:pPr>
        <w:pStyle w:val="10"/>
        <w:jc w:val="center"/>
        <w:rPr>
          <w:sz w:val="72"/>
          <w:szCs w:val="72"/>
        </w:rPr>
      </w:pPr>
      <w:r>
        <w:rPr>
          <w:rFonts w:hint="eastAsia"/>
          <w:sz w:val="72"/>
          <w:szCs w:val="72"/>
        </w:rPr>
        <w:t>第三部分</w:t>
      </w:r>
    </w:p>
    <w:p>
      <w:pPr>
        <w:pStyle w:val="10"/>
        <w:jc w:val="center"/>
        <w:rPr>
          <w:sz w:val="70"/>
          <w:szCs w:val="70"/>
        </w:rPr>
      </w:pPr>
    </w:p>
    <w:p>
      <w:pPr>
        <w:pStyle w:val="10"/>
        <w:jc w:val="center"/>
        <w:rPr>
          <w:sz w:val="70"/>
          <w:szCs w:val="70"/>
        </w:rPr>
      </w:pPr>
      <w:r>
        <w:rPr>
          <w:sz w:val="70"/>
          <w:szCs w:val="70"/>
        </w:rPr>
        <w:t>20</w:t>
      </w:r>
      <w:r>
        <w:rPr>
          <w:rFonts w:hint="eastAsia"/>
          <w:sz w:val="70"/>
          <w:szCs w:val="70"/>
        </w:rPr>
        <w:t>21年度部门决算情况说明</w:t>
      </w:r>
    </w:p>
    <w:p>
      <w:pPr>
        <w:widowControl/>
        <w:jc w:val="left"/>
        <w:rPr>
          <w:rFonts w:ascii="黑体" w:eastAsia="黑体" w:cs="黑体"/>
          <w:color w:val="000000"/>
          <w:kern w:val="0"/>
          <w:sz w:val="70"/>
          <w:szCs w:val="70"/>
        </w:rPr>
      </w:pPr>
      <w:r>
        <w:rPr>
          <w:sz w:val="70"/>
          <w:szCs w:val="70"/>
        </w:rPr>
        <w:br w:type="page"/>
      </w:r>
    </w:p>
    <w:p>
      <w:pPr>
        <w:pStyle w:val="10"/>
        <w:rPr>
          <w:rFonts w:asciiTheme="minorEastAsia" w:hAnsiTheme="minorEastAsia" w:eastAsiaTheme="minorEastAsia"/>
          <w:sz w:val="32"/>
          <w:szCs w:val="32"/>
        </w:rPr>
      </w:pPr>
    </w:p>
    <w:p>
      <w:pPr>
        <w:pStyle w:val="10"/>
        <w:rPr>
          <w:rFonts w:hAnsi="黑体"/>
          <w:b/>
          <w:sz w:val="32"/>
          <w:szCs w:val="32"/>
        </w:rPr>
      </w:pPr>
      <w:r>
        <w:rPr>
          <w:rFonts w:hint="eastAsia" w:hAnsi="黑体"/>
          <w:b/>
          <w:sz w:val="32"/>
          <w:szCs w:val="32"/>
        </w:rPr>
        <w:t>一、收入支出决算总体情况说明</w:t>
      </w:r>
    </w:p>
    <w:p>
      <w:pPr>
        <w:pStyle w:val="10"/>
        <w:ind w:firstLine="640" w:firstLineChars="200"/>
        <w:rPr>
          <w:rFonts w:hint="eastAsia" w:asciiTheme="minorEastAsia" w:hAnsiTheme="minorEastAsia" w:eastAsiaTheme="minorEastAsia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2021年度收、支总计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516.49</w:t>
      </w:r>
      <w:r>
        <w:rPr>
          <w:rFonts w:hint="eastAsia" w:asciiTheme="minorEastAsia" w:hAnsiTheme="minorEastAsia" w:eastAsiaTheme="minorEastAsia"/>
          <w:sz w:val="32"/>
          <w:szCs w:val="32"/>
        </w:rPr>
        <w:t>万元。与上年相比，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减少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58.02</w:t>
      </w:r>
      <w:r>
        <w:rPr>
          <w:rFonts w:hint="eastAsia" w:asciiTheme="minorEastAsia" w:hAnsiTheme="minorEastAsia" w:eastAsiaTheme="minorEastAsia"/>
          <w:sz w:val="32"/>
          <w:szCs w:val="32"/>
        </w:rPr>
        <w:t>万元，减少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5</w:t>
      </w:r>
      <w:r>
        <w:rPr>
          <w:rFonts w:hint="eastAsia" w:asciiTheme="minorEastAsia" w:hAnsiTheme="minorEastAsia" w:eastAsiaTheme="minorEastAsia"/>
          <w:sz w:val="32"/>
          <w:szCs w:val="32"/>
        </w:rPr>
        <w:t>%，主要是因为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支出减少。</w:t>
      </w:r>
    </w:p>
    <w:p>
      <w:pPr>
        <w:pStyle w:val="10"/>
        <w:rPr>
          <w:rFonts w:hAnsi="黑体"/>
          <w:b/>
          <w:sz w:val="32"/>
          <w:szCs w:val="32"/>
        </w:rPr>
      </w:pPr>
      <w:r>
        <w:rPr>
          <w:rFonts w:hint="eastAsia" w:hAnsi="黑体"/>
          <w:b/>
          <w:sz w:val="32"/>
          <w:szCs w:val="32"/>
        </w:rPr>
        <w:t>二、收入决算情况说明</w:t>
      </w:r>
    </w:p>
    <w:p>
      <w:pPr>
        <w:pStyle w:val="10"/>
        <w:ind w:firstLine="640" w:firstLineChars="200"/>
        <w:rPr>
          <w:rFonts w:hint="eastAsia" w:asciiTheme="minorEastAsia" w:hAnsiTheme="minorEastAsia" w:eastAsiaTheme="minorEastAsia"/>
          <w:b w:val="0"/>
          <w:bCs w:val="0"/>
          <w:i/>
          <w:iCs/>
          <w:sz w:val="36"/>
          <w:szCs w:val="36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2021年度收入合计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310.98</w:t>
      </w:r>
      <w:r>
        <w:rPr>
          <w:rFonts w:hint="eastAsia" w:asciiTheme="minorEastAsia" w:hAnsiTheme="minorEastAsia" w:eastAsiaTheme="minorEastAsia"/>
          <w:sz w:val="32"/>
          <w:szCs w:val="32"/>
        </w:rPr>
        <w:t>万元，其中：财政拨款收入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310.98</w:t>
      </w:r>
      <w:r>
        <w:rPr>
          <w:rFonts w:hint="eastAsia" w:asciiTheme="minorEastAsia" w:hAnsiTheme="minorEastAsia" w:eastAsiaTheme="minorEastAsia"/>
          <w:sz w:val="32"/>
          <w:szCs w:val="32"/>
        </w:rPr>
        <w:t>万元，占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100</w:t>
      </w:r>
      <w:r>
        <w:rPr>
          <w:rFonts w:hint="eastAsia" w:asciiTheme="minorEastAsia" w:hAnsiTheme="minorEastAsia" w:eastAsiaTheme="minorEastAsia"/>
          <w:sz w:val="32"/>
          <w:szCs w:val="32"/>
        </w:rPr>
        <w:t>%；</w:t>
      </w:r>
    </w:p>
    <w:p>
      <w:pPr>
        <w:pStyle w:val="10"/>
        <w:rPr>
          <w:rFonts w:hAnsi="黑体"/>
          <w:b/>
          <w:sz w:val="32"/>
          <w:szCs w:val="32"/>
        </w:rPr>
      </w:pPr>
      <w:r>
        <w:rPr>
          <w:rFonts w:hint="eastAsia" w:hAnsi="黑体"/>
          <w:b/>
          <w:sz w:val="32"/>
          <w:szCs w:val="32"/>
        </w:rPr>
        <w:t>三、支出决算情况说明</w:t>
      </w:r>
    </w:p>
    <w:p>
      <w:pPr>
        <w:pStyle w:val="10"/>
        <w:ind w:firstLine="640" w:firstLineChars="200"/>
        <w:rPr>
          <w:rFonts w:hint="eastAsia"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2021年度支出合计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474.77</w:t>
      </w:r>
      <w:r>
        <w:rPr>
          <w:rFonts w:hint="eastAsia" w:asciiTheme="minorEastAsia" w:hAnsiTheme="minorEastAsia" w:eastAsiaTheme="minorEastAsia"/>
          <w:sz w:val="32"/>
          <w:szCs w:val="32"/>
        </w:rPr>
        <w:t>万元，其中：基本支出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262.17</w:t>
      </w:r>
      <w:r>
        <w:rPr>
          <w:rFonts w:hint="eastAsia" w:asciiTheme="minorEastAsia" w:hAnsiTheme="minorEastAsia" w:eastAsiaTheme="minorEastAsia"/>
          <w:sz w:val="32"/>
          <w:szCs w:val="32"/>
        </w:rPr>
        <w:t>万元，占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55</w:t>
      </w:r>
      <w:r>
        <w:rPr>
          <w:rFonts w:hint="eastAsia" w:asciiTheme="minorEastAsia" w:hAnsiTheme="minorEastAsia" w:eastAsiaTheme="minorEastAsia"/>
          <w:sz w:val="32"/>
          <w:szCs w:val="32"/>
        </w:rPr>
        <w:t>%；项目支出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212.6</w:t>
      </w:r>
      <w:r>
        <w:rPr>
          <w:rFonts w:hint="eastAsia" w:asciiTheme="minorEastAsia" w:hAnsiTheme="minorEastAsia" w:eastAsiaTheme="minorEastAsia"/>
          <w:sz w:val="32"/>
          <w:szCs w:val="32"/>
        </w:rPr>
        <w:t>万元，占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45</w:t>
      </w:r>
      <w:r>
        <w:rPr>
          <w:rFonts w:hint="eastAsia" w:asciiTheme="minorEastAsia" w:hAnsiTheme="minorEastAsia" w:eastAsiaTheme="minorEastAsia"/>
          <w:sz w:val="32"/>
          <w:szCs w:val="32"/>
        </w:rPr>
        <w:t>%；</w:t>
      </w:r>
    </w:p>
    <w:p>
      <w:pPr>
        <w:pStyle w:val="10"/>
        <w:rPr>
          <w:rFonts w:hAnsi="黑体"/>
          <w:b/>
          <w:sz w:val="32"/>
          <w:szCs w:val="32"/>
        </w:rPr>
      </w:pPr>
      <w:r>
        <w:rPr>
          <w:rFonts w:hint="eastAsia" w:hAnsi="黑体"/>
          <w:b/>
          <w:sz w:val="32"/>
          <w:szCs w:val="32"/>
        </w:rPr>
        <w:t>四、财政拨款收入支出决算总体情况说明</w:t>
      </w:r>
    </w:p>
    <w:p>
      <w:pPr>
        <w:pStyle w:val="10"/>
        <w:ind w:firstLine="640" w:firstLineChars="200"/>
        <w:rPr>
          <w:rFonts w:hint="eastAsia" w:asciiTheme="minorEastAsia" w:hAnsiTheme="minorEastAsia" w:eastAsiaTheme="minorEastAsia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 xml:space="preserve">    2021年度财政拨款收、支总计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516.49</w:t>
      </w:r>
      <w:r>
        <w:rPr>
          <w:rFonts w:hint="eastAsia" w:asciiTheme="minorEastAsia" w:hAnsiTheme="minorEastAsia" w:eastAsiaTheme="minorEastAsia"/>
          <w:sz w:val="32"/>
          <w:szCs w:val="32"/>
        </w:rPr>
        <w:t>万元，与上年相比，减少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58.02</w:t>
      </w:r>
      <w:r>
        <w:rPr>
          <w:rFonts w:hint="eastAsia" w:asciiTheme="minorEastAsia" w:hAnsiTheme="minorEastAsia" w:eastAsiaTheme="minorEastAsia"/>
          <w:sz w:val="32"/>
          <w:szCs w:val="32"/>
        </w:rPr>
        <w:t>万元,减少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5</w:t>
      </w:r>
      <w:r>
        <w:rPr>
          <w:rFonts w:hint="eastAsia" w:asciiTheme="minorEastAsia" w:hAnsiTheme="minorEastAsia" w:eastAsiaTheme="minorEastAsia"/>
          <w:sz w:val="32"/>
          <w:szCs w:val="32"/>
        </w:rPr>
        <w:t>%，主要是因为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支出减少。</w:t>
      </w:r>
    </w:p>
    <w:p>
      <w:pPr>
        <w:pStyle w:val="10"/>
        <w:rPr>
          <w:rFonts w:hAnsi="黑体"/>
          <w:b/>
          <w:sz w:val="32"/>
          <w:szCs w:val="32"/>
        </w:rPr>
      </w:pPr>
      <w:r>
        <w:rPr>
          <w:rFonts w:hint="eastAsia" w:hAnsi="黑体"/>
          <w:b/>
          <w:sz w:val="32"/>
          <w:szCs w:val="32"/>
        </w:rPr>
        <w:t>五、一般公共预算财政拨款支出决算情况说明</w:t>
      </w:r>
    </w:p>
    <w:p>
      <w:pPr>
        <w:pStyle w:val="10"/>
        <w:ind w:firstLine="640" w:firstLineChars="200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（一）财政拨款支出决算总体情况</w:t>
      </w:r>
    </w:p>
    <w:p>
      <w:pPr>
        <w:pStyle w:val="10"/>
        <w:ind w:firstLine="800" w:firstLineChars="250"/>
        <w:rPr>
          <w:rFonts w:hint="eastAsia" w:asciiTheme="minorEastAsia" w:hAnsiTheme="minorEastAsia" w:eastAsiaTheme="minorEastAsia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2021年度财政拨款支出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447.9</w:t>
      </w:r>
      <w:r>
        <w:rPr>
          <w:rFonts w:hint="eastAsia" w:asciiTheme="minorEastAsia" w:hAnsiTheme="minorEastAsia" w:eastAsiaTheme="minorEastAsia"/>
          <w:sz w:val="32"/>
          <w:szCs w:val="32"/>
        </w:rPr>
        <w:t>万元，占本年支出合计的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94</w:t>
      </w:r>
      <w:r>
        <w:rPr>
          <w:rFonts w:hint="eastAsia" w:asciiTheme="minorEastAsia" w:hAnsiTheme="minorEastAsia" w:eastAsiaTheme="minorEastAsia"/>
          <w:sz w:val="32"/>
          <w:szCs w:val="32"/>
        </w:rPr>
        <w:t>%，与上年相比，财政拨款支出增加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207.8</w:t>
      </w:r>
      <w:r>
        <w:rPr>
          <w:rFonts w:hint="eastAsia" w:asciiTheme="minorEastAsia" w:hAnsiTheme="minorEastAsia" w:eastAsiaTheme="minorEastAsia"/>
          <w:sz w:val="32"/>
          <w:szCs w:val="32"/>
        </w:rPr>
        <w:t>万元，增长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46</w:t>
      </w:r>
      <w:r>
        <w:rPr>
          <w:rFonts w:hint="eastAsia" w:asciiTheme="minorEastAsia" w:hAnsiTheme="minorEastAsia" w:eastAsiaTheme="minorEastAsia"/>
          <w:sz w:val="32"/>
          <w:szCs w:val="32"/>
        </w:rPr>
        <w:t>%，主要是因为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人员费用增加。</w:t>
      </w:r>
    </w:p>
    <w:p>
      <w:pPr>
        <w:pStyle w:val="10"/>
        <w:ind w:firstLine="480" w:firstLineChars="150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（二）财政拨款支出决算结构情况</w:t>
      </w:r>
    </w:p>
    <w:p>
      <w:pPr>
        <w:pStyle w:val="10"/>
        <w:ind w:firstLine="640" w:firstLineChars="200"/>
        <w:rPr>
          <w:rFonts w:hint="default" w:asciiTheme="minorEastAsia" w:hAnsiTheme="minorEastAsia" w:eastAsia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2021年度财政拨款支出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447.9</w:t>
      </w:r>
      <w:r>
        <w:rPr>
          <w:rFonts w:hint="eastAsia" w:asciiTheme="minorEastAsia" w:hAnsiTheme="minorEastAsia" w:eastAsiaTheme="minorEastAsia"/>
          <w:sz w:val="32"/>
          <w:szCs w:val="32"/>
        </w:rPr>
        <w:t>万元，主要用于以下方面：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文化旅游体育与传媒</w:t>
      </w:r>
      <w:r>
        <w:rPr>
          <w:rFonts w:hint="eastAsia" w:asciiTheme="minorEastAsia" w:hAnsiTheme="minorEastAsia" w:eastAsiaTheme="minorEastAsia"/>
          <w:sz w:val="32"/>
          <w:szCs w:val="32"/>
        </w:rPr>
        <w:t>支出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415.44</w:t>
      </w:r>
      <w:r>
        <w:rPr>
          <w:rFonts w:hint="eastAsia" w:asciiTheme="minorEastAsia" w:hAnsiTheme="minorEastAsia" w:eastAsiaTheme="minorEastAsia"/>
          <w:sz w:val="32"/>
          <w:szCs w:val="32"/>
        </w:rPr>
        <w:t>万元，占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92.7</w:t>
      </w:r>
      <w:r>
        <w:rPr>
          <w:rFonts w:hint="eastAsia" w:asciiTheme="minorEastAsia" w:hAnsiTheme="minorEastAsia" w:eastAsiaTheme="minorEastAsia"/>
          <w:sz w:val="32"/>
          <w:szCs w:val="32"/>
        </w:rPr>
        <w:t>%；教育支出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0.32</w:t>
      </w:r>
      <w:r>
        <w:rPr>
          <w:rFonts w:hint="eastAsia" w:asciiTheme="minorEastAsia" w:hAnsiTheme="minorEastAsia" w:eastAsiaTheme="minorEastAsia"/>
          <w:sz w:val="32"/>
          <w:szCs w:val="32"/>
        </w:rPr>
        <w:t>万元，占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0.3</w:t>
      </w:r>
      <w:r>
        <w:rPr>
          <w:rFonts w:hint="eastAsia" w:asciiTheme="minorEastAsia" w:hAnsiTheme="minorEastAsia" w:eastAsiaTheme="minorEastAsia"/>
          <w:sz w:val="32"/>
          <w:szCs w:val="32"/>
        </w:rPr>
        <w:t>%;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社会保障和就业支出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22.57万，占5%；卫生健康支出9.57万元，占2%.</w:t>
      </w:r>
    </w:p>
    <w:p>
      <w:pPr>
        <w:pStyle w:val="10"/>
        <w:ind w:firstLine="800" w:firstLineChars="250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（三）财政拨款支出决算具体情况</w:t>
      </w:r>
    </w:p>
    <w:p>
      <w:pPr>
        <w:pStyle w:val="10"/>
        <w:ind w:firstLine="800" w:firstLineChars="250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2021年度财政拨款支出年初预算数为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214.05</w:t>
      </w:r>
      <w:r>
        <w:rPr>
          <w:rFonts w:hint="eastAsia" w:asciiTheme="minorEastAsia" w:hAnsiTheme="minorEastAsia" w:eastAsiaTheme="minorEastAsia"/>
          <w:sz w:val="32"/>
          <w:szCs w:val="32"/>
        </w:rPr>
        <w:t>万元，支出决算数为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447.9</w:t>
      </w:r>
      <w:r>
        <w:rPr>
          <w:rFonts w:hint="eastAsia" w:asciiTheme="minorEastAsia" w:hAnsiTheme="minorEastAsia" w:eastAsiaTheme="minorEastAsia"/>
          <w:sz w:val="32"/>
          <w:szCs w:val="32"/>
        </w:rPr>
        <w:t>万元，完成年初预算的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209</w:t>
      </w:r>
      <w:r>
        <w:rPr>
          <w:rFonts w:hint="eastAsia" w:asciiTheme="minorEastAsia" w:hAnsiTheme="minorEastAsia" w:eastAsiaTheme="minorEastAsia"/>
          <w:sz w:val="32"/>
          <w:szCs w:val="32"/>
        </w:rPr>
        <w:t>%，其中：</w:t>
      </w:r>
    </w:p>
    <w:p>
      <w:pPr>
        <w:numPr>
          <w:ilvl w:val="0"/>
          <w:numId w:val="0"/>
        </w:numPr>
        <w:autoSpaceDE w:val="0"/>
        <w:autoSpaceDN w:val="0"/>
        <w:adjustRightInd w:val="0"/>
        <w:spacing w:beforeLines="0" w:afterLines="0" w:line="560" w:lineRule="exact"/>
        <w:ind w:firstLine="640" w:firstLineChars="200"/>
        <w:rPr>
          <w:rFonts w:hint="eastAsia" w:ascii="宋体" w:hAnsi="Calibri" w:eastAsia="宋体"/>
          <w:sz w:val="32"/>
          <w:szCs w:val="24"/>
        </w:rPr>
      </w:pPr>
      <w:r>
        <w:rPr>
          <w:rFonts w:hint="eastAsia" w:asciiTheme="minorEastAsia" w:hAnsiTheme="minorEastAsia"/>
          <w:sz w:val="32"/>
          <w:szCs w:val="32"/>
          <w:lang w:val="en-US" w:eastAsia="zh-CN"/>
        </w:rPr>
        <w:t>1、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文化旅游体育与传媒</w:t>
      </w:r>
      <w:r>
        <w:rPr>
          <w:rFonts w:hint="eastAsia" w:asciiTheme="minorEastAsia" w:hAnsiTheme="minorEastAsia" w:eastAsiaTheme="minorEastAsia"/>
          <w:sz w:val="32"/>
          <w:szCs w:val="32"/>
        </w:rPr>
        <w:t>支出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（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类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）体育（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款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）一般行政管理事务（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项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）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 xml:space="preserve"> 。        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/>
          <w:sz w:val="32"/>
          <w:szCs w:val="32"/>
        </w:rPr>
        <w:t>年初预算为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 xml:space="preserve"> 0</w:t>
      </w:r>
      <w:r>
        <w:rPr>
          <w:rFonts w:hint="eastAsia" w:asciiTheme="minorEastAsia" w:hAnsiTheme="minorEastAsia" w:eastAsiaTheme="minorEastAsia"/>
          <w:sz w:val="32"/>
          <w:szCs w:val="32"/>
        </w:rPr>
        <w:t>万元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，支出</w:t>
      </w:r>
      <w:r>
        <w:rPr>
          <w:rFonts w:hint="eastAsia" w:asciiTheme="minorEastAsia" w:hAnsiTheme="minorEastAsia" w:eastAsiaTheme="minorEastAsia"/>
          <w:sz w:val="32"/>
          <w:szCs w:val="32"/>
        </w:rPr>
        <w:t>决算为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45.52</w:t>
      </w:r>
      <w:r>
        <w:rPr>
          <w:rFonts w:hint="eastAsia" w:asciiTheme="minorEastAsia" w:hAnsiTheme="minorEastAsia" w:eastAsiaTheme="minorEastAsia"/>
          <w:sz w:val="32"/>
          <w:szCs w:val="32"/>
        </w:rPr>
        <w:t>万元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,</w:t>
      </w:r>
      <w:r>
        <w:rPr>
          <w:rFonts w:hint="eastAsia" w:ascii="宋体" w:hAnsi="Calibri" w:eastAsia="宋体"/>
          <w:sz w:val="32"/>
          <w:szCs w:val="24"/>
          <w:shd w:val="clear" w:color="auto" w:fill="auto"/>
          <w:lang w:eastAsia="zh-CN"/>
        </w:rPr>
        <w:t>由于预算数为</w:t>
      </w:r>
      <w:r>
        <w:rPr>
          <w:rFonts w:hint="eastAsia" w:ascii="宋体" w:hAnsi="Calibri" w:eastAsia="宋体"/>
          <w:sz w:val="32"/>
          <w:szCs w:val="24"/>
          <w:shd w:val="clear" w:color="auto" w:fill="auto"/>
          <w:lang w:val="en-US" w:eastAsia="zh-CN"/>
        </w:rPr>
        <w:t>0，无法计算百分比</w:t>
      </w:r>
      <w:r>
        <w:rPr>
          <w:rFonts w:hint="eastAsia" w:ascii="宋体" w:hAnsi="Calibri" w:eastAsia="宋体"/>
          <w:sz w:val="32"/>
          <w:szCs w:val="24"/>
          <w:lang w:val="en-US" w:eastAsia="zh-CN"/>
        </w:rPr>
        <w:t>，</w:t>
      </w:r>
      <w:r>
        <w:rPr>
          <w:rFonts w:hint="eastAsia" w:ascii="宋体" w:hAnsi="Calibri" w:eastAsia="宋体"/>
          <w:sz w:val="32"/>
          <w:szCs w:val="24"/>
        </w:rPr>
        <w:t>决算数大于预算数的主要原因是追加安排</w:t>
      </w:r>
      <w:r>
        <w:rPr>
          <w:rFonts w:hint="eastAsia" w:ascii="宋体" w:hAnsi="Calibri" w:eastAsia="宋体"/>
          <w:sz w:val="32"/>
          <w:szCs w:val="24"/>
          <w:lang w:val="en-US" w:eastAsia="zh-CN"/>
        </w:rPr>
        <w:t>项目</w:t>
      </w:r>
      <w:r>
        <w:rPr>
          <w:rFonts w:hint="eastAsia" w:ascii="宋体" w:hAnsi="Calibri" w:eastAsia="宋体"/>
          <w:sz w:val="32"/>
          <w:szCs w:val="24"/>
        </w:rPr>
        <w:t>经费。</w:t>
      </w:r>
    </w:p>
    <w:p>
      <w:pPr>
        <w:pStyle w:val="10"/>
        <w:numPr>
          <w:numId w:val="0"/>
        </w:numPr>
        <w:ind w:firstLine="640" w:firstLineChars="200"/>
        <w:rPr>
          <w:rFonts w:hint="eastAsia"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2、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文化旅游体育与传媒</w:t>
      </w:r>
      <w:r>
        <w:rPr>
          <w:rFonts w:hint="eastAsia" w:asciiTheme="minorEastAsia" w:hAnsiTheme="minorEastAsia" w:eastAsiaTheme="minorEastAsia"/>
          <w:sz w:val="32"/>
          <w:szCs w:val="32"/>
        </w:rPr>
        <w:t>支出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（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类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）体育（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款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）体育场馆（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项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）。</w:t>
      </w:r>
    </w:p>
    <w:p>
      <w:pPr>
        <w:pStyle w:val="10"/>
        <w:numPr>
          <w:numId w:val="0"/>
        </w:numPr>
        <w:ind w:firstLine="320" w:firstLineChars="100"/>
        <w:rPr>
          <w:rFonts w:hint="eastAsia"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年初预算为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163.92</w:t>
      </w:r>
      <w:r>
        <w:rPr>
          <w:rFonts w:hint="eastAsia" w:asciiTheme="minorEastAsia" w:hAnsiTheme="minorEastAsia" w:eastAsiaTheme="minorEastAsia"/>
          <w:sz w:val="32"/>
          <w:szCs w:val="32"/>
        </w:rPr>
        <w:t>万元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，支出</w:t>
      </w:r>
      <w:r>
        <w:rPr>
          <w:rFonts w:hint="eastAsia" w:asciiTheme="minorEastAsia" w:hAnsiTheme="minorEastAsia" w:eastAsiaTheme="minorEastAsia"/>
          <w:sz w:val="32"/>
          <w:szCs w:val="32"/>
        </w:rPr>
        <w:t>决算为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369.92</w:t>
      </w:r>
      <w:r>
        <w:rPr>
          <w:rFonts w:hint="eastAsia" w:asciiTheme="minorEastAsia" w:hAnsiTheme="minorEastAsia" w:eastAsiaTheme="minorEastAsia"/>
          <w:sz w:val="32"/>
          <w:szCs w:val="32"/>
        </w:rPr>
        <w:t>万元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,完成预算的225.67%，</w:t>
      </w:r>
      <w:r>
        <w:rPr>
          <w:rFonts w:hint="eastAsia" w:ascii="宋体" w:hAnsi="Calibri" w:eastAsia="宋体"/>
          <w:sz w:val="32"/>
          <w:szCs w:val="24"/>
        </w:rPr>
        <w:t>决算数大于预算数的</w:t>
      </w:r>
      <w:r>
        <w:rPr>
          <w:rFonts w:hint="eastAsia" w:asciiTheme="minorEastAsia" w:hAnsiTheme="minorEastAsia" w:eastAsiaTheme="minorEastAsia"/>
          <w:sz w:val="32"/>
          <w:szCs w:val="32"/>
        </w:rPr>
        <w:t>主要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原因</w:t>
      </w:r>
      <w:r>
        <w:rPr>
          <w:rFonts w:hint="eastAsia" w:asciiTheme="minorEastAsia" w:hAnsiTheme="minorEastAsia" w:eastAsiaTheme="minorEastAsia"/>
          <w:sz w:val="32"/>
          <w:szCs w:val="32"/>
        </w:rPr>
        <w:t>是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追加安排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人员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经费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。</w:t>
      </w:r>
    </w:p>
    <w:p>
      <w:pPr>
        <w:pStyle w:val="10"/>
        <w:numPr>
          <w:ilvl w:val="0"/>
          <w:numId w:val="3"/>
        </w:numPr>
        <w:ind w:firstLine="640" w:firstLineChars="200"/>
        <w:rPr>
          <w:rFonts w:hint="default" w:asciiTheme="minorEastAsia" w:hAnsiTheme="minorEastAsia" w:eastAsia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教育支出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（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类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）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教</w:t>
      </w:r>
      <w:r>
        <w:rPr>
          <w:rFonts w:hint="eastAsia" w:asciiTheme="minorEastAsia" w:hAnsiTheme="minorEastAsia" w:eastAsiaTheme="minorEastAsia"/>
          <w:sz w:val="32"/>
          <w:szCs w:val="32"/>
        </w:rPr>
        <w:t>育费附加安排的支出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（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款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）其他教育费附加安排的支出。</w:t>
      </w:r>
    </w:p>
    <w:p>
      <w:pPr>
        <w:pStyle w:val="10"/>
        <w:numPr>
          <w:numId w:val="0"/>
        </w:numPr>
        <w:ind w:firstLine="640" w:firstLineChars="200"/>
        <w:rPr>
          <w:rFonts w:hint="default" w:asciiTheme="minorEastAsia" w:hAnsiTheme="minorEastAsia" w:eastAsia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年初预算为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0，支出</w:t>
      </w:r>
      <w:r>
        <w:rPr>
          <w:rFonts w:hint="eastAsia" w:asciiTheme="minorEastAsia" w:hAnsiTheme="minorEastAsia" w:eastAsiaTheme="minorEastAsia"/>
          <w:sz w:val="32"/>
          <w:szCs w:val="32"/>
        </w:rPr>
        <w:t>决算为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0.32</w:t>
      </w:r>
      <w:r>
        <w:rPr>
          <w:rFonts w:hint="eastAsia" w:asciiTheme="minorEastAsia" w:hAnsiTheme="minorEastAsia" w:eastAsiaTheme="minorEastAsia"/>
          <w:sz w:val="32"/>
          <w:szCs w:val="32"/>
        </w:rPr>
        <w:t>万元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,</w:t>
      </w:r>
      <w:r>
        <w:rPr>
          <w:rFonts w:hint="eastAsia" w:ascii="宋体" w:hAnsi="Calibri" w:eastAsia="宋体"/>
          <w:sz w:val="32"/>
          <w:szCs w:val="24"/>
          <w:shd w:val="clear" w:color="auto" w:fill="auto"/>
          <w:lang w:eastAsia="zh-CN"/>
        </w:rPr>
        <w:t>由于预算数为</w:t>
      </w:r>
      <w:r>
        <w:rPr>
          <w:rFonts w:hint="eastAsia" w:ascii="宋体" w:hAnsi="Calibri" w:eastAsia="宋体"/>
          <w:sz w:val="32"/>
          <w:szCs w:val="24"/>
          <w:shd w:val="clear" w:color="auto" w:fill="auto"/>
          <w:lang w:val="en-US" w:eastAsia="zh-CN"/>
        </w:rPr>
        <w:t>0，无法计算百分比</w:t>
      </w:r>
      <w:r>
        <w:rPr>
          <w:rFonts w:hint="eastAsia" w:ascii="宋体" w:hAnsi="Calibri" w:eastAsia="宋体"/>
          <w:sz w:val="32"/>
          <w:szCs w:val="24"/>
          <w:lang w:val="en-US" w:eastAsia="zh-CN"/>
        </w:rPr>
        <w:t>，</w:t>
      </w:r>
      <w:r>
        <w:rPr>
          <w:rFonts w:hint="eastAsia" w:ascii="宋体" w:hAnsi="Calibri" w:eastAsia="宋体"/>
          <w:sz w:val="32"/>
          <w:szCs w:val="24"/>
        </w:rPr>
        <w:t>决算数大于预算数的主要原因</w:t>
      </w:r>
      <w:r>
        <w:rPr>
          <w:rFonts w:hint="eastAsia" w:ascii="宋体" w:hAnsi="Calibri" w:eastAsia="宋体"/>
          <w:sz w:val="32"/>
          <w:szCs w:val="24"/>
          <w:lang w:val="en-US" w:eastAsia="zh-CN"/>
        </w:rPr>
        <w:t>是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追加安排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人员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经费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。</w:t>
      </w:r>
    </w:p>
    <w:p>
      <w:pPr>
        <w:pStyle w:val="10"/>
        <w:numPr>
          <w:ilvl w:val="0"/>
          <w:numId w:val="3"/>
        </w:numPr>
        <w:ind w:firstLine="640" w:firstLineChars="200"/>
        <w:rPr>
          <w:rFonts w:hint="default" w:asciiTheme="minorEastAsia" w:hAnsiTheme="minorEastAsia" w:eastAsia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社会保障和就业支出（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类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）行政事业单位养老支出（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款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）机关事业单位基本养老保险缴费支出（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项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）。</w:t>
      </w:r>
    </w:p>
    <w:p>
      <w:pPr>
        <w:pStyle w:val="10"/>
        <w:numPr>
          <w:numId w:val="0"/>
        </w:numPr>
        <w:ind w:firstLine="640" w:firstLineChars="200"/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年初预算为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23.83</w:t>
      </w:r>
      <w:r>
        <w:rPr>
          <w:rFonts w:hint="eastAsia" w:asciiTheme="minorEastAsia" w:hAnsiTheme="minorEastAsia" w:eastAsiaTheme="minorEastAsia"/>
          <w:sz w:val="32"/>
          <w:szCs w:val="32"/>
        </w:rPr>
        <w:t>万元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，支出</w:t>
      </w:r>
      <w:r>
        <w:rPr>
          <w:rFonts w:hint="eastAsia" w:asciiTheme="minorEastAsia" w:hAnsiTheme="minorEastAsia" w:eastAsiaTheme="minorEastAsia"/>
          <w:sz w:val="32"/>
          <w:szCs w:val="32"/>
        </w:rPr>
        <w:t>决算为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20.43万，完成预算的85.73%，</w:t>
      </w:r>
      <w:r>
        <w:rPr>
          <w:rFonts w:hint="eastAsia" w:ascii="宋体" w:hAnsi="Calibri" w:eastAsia="宋体"/>
          <w:sz w:val="32"/>
          <w:szCs w:val="24"/>
        </w:rPr>
        <w:t>决算数</w:t>
      </w:r>
      <w:r>
        <w:rPr>
          <w:rFonts w:hint="eastAsia" w:ascii="宋体" w:hAnsi="Calibri" w:eastAsia="宋体"/>
          <w:sz w:val="32"/>
          <w:szCs w:val="24"/>
          <w:lang w:val="en-US" w:eastAsia="zh-CN"/>
        </w:rPr>
        <w:t>小</w:t>
      </w:r>
      <w:r>
        <w:rPr>
          <w:rFonts w:hint="eastAsia" w:ascii="宋体" w:hAnsi="Calibri" w:eastAsia="宋体"/>
          <w:sz w:val="32"/>
          <w:szCs w:val="24"/>
        </w:rPr>
        <w:t>于预算数</w:t>
      </w:r>
      <w:r>
        <w:rPr>
          <w:rFonts w:hint="eastAsia" w:ascii="宋体" w:hAnsi="Calibri" w:eastAsia="宋体"/>
          <w:sz w:val="32"/>
          <w:szCs w:val="24"/>
          <w:lang w:val="en-US" w:eastAsia="zh-CN"/>
        </w:rPr>
        <w:t>的</w:t>
      </w:r>
      <w:r>
        <w:rPr>
          <w:rFonts w:hint="eastAsia" w:asciiTheme="minorEastAsia" w:hAnsiTheme="minorEastAsia" w:eastAsiaTheme="minorEastAsia"/>
          <w:sz w:val="32"/>
          <w:szCs w:val="32"/>
        </w:rPr>
        <w:t>主要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原因是</w:t>
      </w:r>
      <w:r>
        <w:rPr>
          <w:rFonts w:hint="eastAsia" w:asciiTheme="minorEastAsia" w:hAnsiTheme="minorEastAsia" w:eastAsiaTheme="minorEastAsia"/>
          <w:sz w:val="32"/>
          <w:szCs w:val="32"/>
        </w:rPr>
        <w:t>因为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人员费用减少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；</w:t>
      </w:r>
    </w:p>
    <w:p>
      <w:pPr>
        <w:pStyle w:val="10"/>
        <w:numPr>
          <w:ilvl w:val="0"/>
          <w:numId w:val="3"/>
        </w:numPr>
        <w:ind w:firstLine="640" w:firstLineChars="200"/>
        <w:rPr>
          <w:rFonts w:hint="default" w:asciiTheme="minorEastAsia" w:hAnsiTheme="minorEastAsia" w:eastAsia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社会保障和就业支出（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类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）残疾人事业（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款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）其他残疾人事业支出（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项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）。</w:t>
      </w:r>
    </w:p>
    <w:p>
      <w:pPr>
        <w:numPr>
          <w:ilvl w:val="0"/>
          <w:numId w:val="0"/>
        </w:numPr>
        <w:autoSpaceDE w:val="0"/>
        <w:autoSpaceDN w:val="0"/>
        <w:adjustRightInd w:val="0"/>
        <w:spacing w:beforeLines="0" w:afterLines="0" w:line="560" w:lineRule="exact"/>
        <w:ind w:left="640"/>
        <w:rPr>
          <w:rFonts w:hint="eastAsia" w:ascii="宋体" w:hAnsi="Calibri" w:eastAsia="宋体"/>
          <w:sz w:val="32"/>
          <w:szCs w:val="24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年初预算为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2.14</w:t>
      </w:r>
      <w:r>
        <w:rPr>
          <w:rFonts w:hint="eastAsia" w:asciiTheme="minorEastAsia" w:hAnsiTheme="minorEastAsia" w:eastAsiaTheme="minorEastAsia"/>
          <w:sz w:val="32"/>
          <w:szCs w:val="32"/>
        </w:rPr>
        <w:t>万元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，支出</w:t>
      </w:r>
      <w:r>
        <w:rPr>
          <w:rFonts w:hint="eastAsia" w:asciiTheme="minorEastAsia" w:hAnsiTheme="minorEastAsia" w:eastAsiaTheme="minorEastAsia"/>
          <w:sz w:val="32"/>
          <w:szCs w:val="32"/>
        </w:rPr>
        <w:t>决算为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2.14万，</w:t>
      </w:r>
      <w:r>
        <w:rPr>
          <w:rFonts w:hint="eastAsia" w:ascii="宋体" w:hAnsi="宋体" w:eastAsia="宋体"/>
          <w:sz w:val="32"/>
          <w:szCs w:val="24"/>
        </w:rPr>
        <w:t>完成年初预算的100%，</w:t>
      </w:r>
      <w:r>
        <w:rPr>
          <w:rFonts w:hint="eastAsia" w:ascii="宋体" w:hAnsi="Calibri" w:eastAsia="宋体"/>
          <w:sz w:val="32"/>
          <w:szCs w:val="24"/>
        </w:rPr>
        <w:t>决算</w:t>
      </w:r>
    </w:p>
    <w:p>
      <w:pPr>
        <w:numPr>
          <w:ilvl w:val="0"/>
          <w:numId w:val="0"/>
        </w:numPr>
        <w:autoSpaceDE w:val="0"/>
        <w:autoSpaceDN w:val="0"/>
        <w:adjustRightInd w:val="0"/>
        <w:spacing w:beforeLines="0" w:afterLines="0" w:line="560" w:lineRule="exact"/>
        <w:rPr>
          <w:rFonts w:hint="default" w:asciiTheme="minorEastAsia" w:hAnsiTheme="minorEastAsia" w:eastAsiaTheme="minorEastAsia"/>
          <w:sz w:val="32"/>
          <w:szCs w:val="32"/>
          <w:lang w:val="en-US" w:eastAsia="zh-CN"/>
        </w:rPr>
      </w:pPr>
      <w:r>
        <w:rPr>
          <w:rFonts w:hint="eastAsia" w:ascii="宋体" w:hAnsi="Calibri" w:eastAsia="宋体"/>
          <w:sz w:val="32"/>
          <w:szCs w:val="24"/>
        </w:rPr>
        <w:t>数与预算数一致无差异。</w:t>
      </w:r>
    </w:p>
    <w:p>
      <w:pPr>
        <w:pStyle w:val="10"/>
        <w:numPr>
          <w:ilvl w:val="0"/>
          <w:numId w:val="3"/>
        </w:numPr>
        <w:ind w:firstLine="640" w:firstLineChars="200"/>
        <w:rPr>
          <w:rFonts w:hint="default" w:asciiTheme="minorEastAsia" w:hAnsiTheme="minorEastAsia" w:eastAsia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卫生健康</w:t>
      </w:r>
      <w:r>
        <w:rPr>
          <w:rFonts w:hint="eastAsia" w:asciiTheme="minorEastAsia" w:hAnsiTheme="minorEastAsia" w:eastAsiaTheme="minorEastAsia"/>
          <w:sz w:val="32"/>
          <w:szCs w:val="32"/>
        </w:rPr>
        <w:t>支出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（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类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）</w:t>
      </w:r>
      <w:r>
        <w:rPr>
          <w:rFonts w:hint="eastAsia" w:asciiTheme="minorEastAsia" w:hAnsiTheme="minorEastAsia" w:eastAsiaTheme="minorEastAsia"/>
          <w:sz w:val="32"/>
          <w:szCs w:val="32"/>
        </w:rPr>
        <w:t>行政事业单位医疗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（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款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）事业单位医疗（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项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）。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 xml:space="preserve">     </w:t>
      </w:r>
    </w:p>
    <w:p>
      <w:pPr>
        <w:pStyle w:val="10"/>
        <w:numPr>
          <w:numId w:val="0"/>
        </w:numPr>
        <w:ind w:firstLine="640" w:firstLineChars="200"/>
        <w:rPr>
          <w:rFonts w:hint="default" w:asciiTheme="minorEastAsia" w:hAnsiTheme="minorEastAsia" w:eastAsia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年初预算为</w:t>
      </w:r>
      <w:r>
        <w:rPr>
          <w:rFonts w:hint="eastAsia" w:ascii="仿宋_GB2312" w:hAnsi="宋体" w:eastAsia="仿宋_GB2312" w:cs="仿宋_GB2312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10.03</w:t>
      </w:r>
      <w:r>
        <w:rPr>
          <w:rFonts w:hint="eastAsia" w:asciiTheme="minorEastAsia" w:hAnsiTheme="minorEastAsia" w:eastAsiaTheme="minorEastAsia"/>
          <w:sz w:val="32"/>
          <w:szCs w:val="32"/>
        </w:rPr>
        <w:t>万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，支出</w:t>
      </w:r>
      <w:r>
        <w:rPr>
          <w:rFonts w:hint="eastAsia" w:asciiTheme="minorEastAsia" w:hAnsiTheme="minorEastAsia" w:eastAsiaTheme="minorEastAsia"/>
          <w:sz w:val="32"/>
          <w:szCs w:val="32"/>
        </w:rPr>
        <w:t>决算为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9.57万元，</w:t>
      </w:r>
      <w:r>
        <w:rPr>
          <w:rFonts w:hint="eastAsia" w:ascii="宋体" w:hAnsi="宋体" w:eastAsia="宋体"/>
          <w:sz w:val="32"/>
          <w:szCs w:val="24"/>
        </w:rPr>
        <w:t>完成年初预算的</w:t>
      </w:r>
      <w:r>
        <w:rPr>
          <w:rFonts w:hint="eastAsia" w:ascii="宋体" w:hAnsi="宋体" w:eastAsia="宋体"/>
          <w:sz w:val="32"/>
          <w:szCs w:val="24"/>
          <w:lang w:val="en-US" w:eastAsia="zh-CN"/>
        </w:rPr>
        <w:t>95.41</w:t>
      </w:r>
      <w:r>
        <w:rPr>
          <w:rFonts w:hint="eastAsia" w:ascii="宋体" w:hAnsi="宋体" w:eastAsia="宋体"/>
          <w:sz w:val="32"/>
          <w:szCs w:val="24"/>
        </w:rPr>
        <w:t>%，</w:t>
      </w:r>
      <w:r>
        <w:rPr>
          <w:rFonts w:hint="eastAsia" w:ascii="宋体" w:hAnsi="Calibri" w:eastAsia="宋体"/>
          <w:sz w:val="32"/>
          <w:szCs w:val="24"/>
        </w:rPr>
        <w:t>决算数</w:t>
      </w:r>
      <w:r>
        <w:rPr>
          <w:rFonts w:hint="eastAsia" w:ascii="宋体" w:hAnsi="Calibri" w:eastAsia="宋体"/>
          <w:sz w:val="32"/>
          <w:szCs w:val="24"/>
          <w:lang w:val="en-US" w:eastAsia="zh-CN"/>
        </w:rPr>
        <w:t>小</w:t>
      </w:r>
      <w:r>
        <w:rPr>
          <w:rFonts w:hint="eastAsia" w:ascii="宋体" w:hAnsi="Calibri" w:eastAsia="宋体"/>
          <w:sz w:val="32"/>
          <w:szCs w:val="24"/>
        </w:rPr>
        <w:t>于预算数</w:t>
      </w:r>
      <w:r>
        <w:rPr>
          <w:rFonts w:hint="eastAsia" w:ascii="宋体" w:hAnsi="Calibri" w:eastAsia="宋体"/>
          <w:sz w:val="32"/>
          <w:szCs w:val="24"/>
          <w:lang w:val="en-US" w:eastAsia="zh-CN"/>
        </w:rPr>
        <w:t>的</w:t>
      </w:r>
      <w:r>
        <w:rPr>
          <w:rFonts w:hint="eastAsia" w:asciiTheme="minorEastAsia" w:hAnsiTheme="minorEastAsia" w:eastAsiaTheme="minorEastAsia"/>
          <w:sz w:val="32"/>
          <w:szCs w:val="32"/>
        </w:rPr>
        <w:t>主要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原因是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人员费用减少。</w:t>
      </w:r>
    </w:p>
    <w:p>
      <w:pPr>
        <w:pStyle w:val="10"/>
        <w:ind w:firstLine="800" w:firstLineChars="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pStyle w:val="10"/>
        <w:rPr>
          <w:rFonts w:hAnsi="黑体"/>
          <w:b/>
          <w:sz w:val="32"/>
          <w:szCs w:val="32"/>
        </w:rPr>
      </w:pPr>
      <w:r>
        <w:rPr>
          <w:rFonts w:hint="eastAsia" w:hAnsi="黑体"/>
          <w:b/>
          <w:sz w:val="32"/>
          <w:szCs w:val="32"/>
        </w:rPr>
        <w:t>六、一般公共预算财政拨款基本支出决算情况说明</w:t>
      </w:r>
    </w:p>
    <w:p>
      <w:pPr>
        <w:pStyle w:val="10"/>
        <w:ind w:firstLine="640" w:firstLineChars="200"/>
        <w:rPr>
          <w:rFonts w:asciiTheme="minorEastAsia" w:hAnsiTheme="minorEastAsia" w:eastAsiaTheme="minorEastAsia"/>
          <w:i/>
          <w:color w:val="FF0000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2021年度财政拨款基本支出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262.17</w:t>
      </w:r>
      <w:r>
        <w:rPr>
          <w:rFonts w:hint="eastAsia" w:asciiTheme="minorEastAsia" w:hAnsiTheme="minorEastAsia" w:eastAsiaTheme="minorEastAsia"/>
          <w:sz w:val="32"/>
          <w:szCs w:val="32"/>
        </w:rPr>
        <w:t>万元，其中：人员经费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231.37</w:t>
      </w:r>
      <w:r>
        <w:rPr>
          <w:rFonts w:hint="eastAsia" w:asciiTheme="minorEastAsia" w:hAnsiTheme="minorEastAsia" w:eastAsiaTheme="minorEastAsia"/>
          <w:sz w:val="32"/>
          <w:szCs w:val="32"/>
        </w:rPr>
        <w:t>万元，占基本支出的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88</w:t>
      </w:r>
      <w:r>
        <w:rPr>
          <w:rFonts w:hint="eastAsia" w:asciiTheme="minorEastAsia" w:hAnsiTheme="minorEastAsia" w:eastAsiaTheme="minorEastAsia"/>
          <w:sz w:val="32"/>
          <w:szCs w:val="32"/>
        </w:rPr>
        <w:t>%,主要包括主要包括基本工资、津贴补贴、</w:t>
      </w:r>
      <w:r>
        <w:rPr>
          <w:rFonts w:hint="eastAsia" w:asciiTheme="minorEastAsia" w:hAnsiTheme="minorEastAsia" w:eastAsiaTheme="minorEastAsia"/>
          <w:sz w:val="32"/>
          <w:szCs w:val="32"/>
          <w:lang w:val="zh-CN"/>
        </w:rPr>
        <w:t>奖金、伙食补助费、绩效工资、机关事业单位基本养老保险缴费、职业年金缴费、职工基本医疗保险缴费、公务员医疗补助缴费、其他社会保障缴费、住房公积金、医疗费、其他工资福利支出、离休费、退休费、抚恤金、生活补助、医疗费补助、奖励金、其他对个人和家庭的补助</w:t>
      </w:r>
      <w:r>
        <w:rPr>
          <w:rFonts w:hint="eastAsia" w:asciiTheme="minorEastAsia" w:hAnsiTheme="minorEastAsia" w:eastAsiaTheme="minorEastAsia"/>
          <w:sz w:val="32"/>
          <w:szCs w:val="32"/>
        </w:rPr>
        <w:t>；公用经费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30.8</w:t>
      </w:r>
      <w:r>
        <w:rPr>
          <w:rFonts w:hint="eastAsia" w:asciiTheme="minorEastAsia" w:hAnsiTheme="minorEastAsia" w:eastAsiaTheme="minorEastAsia"/>
          <w:sz w:val="32"/>
          <w:szCs w:val="32"/>
        </w:rPr>
        <w:t>万元，占基本支出的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32"/>
          <w:szCs w:val="32"/>
        </w:rPr>
        <w:t>%，主要包括办公费、印刷费、咨询费、手续费、水费、电费、邮电费、取暖费、物业管理费、差旅费、因公出国（境）费用、维修（护）费、租赁费、会议费、培训费、公务接待费、专用材料费、劳务费、委托业务费、工会经费、福利费、公务用车运行维护费、其他交通费用、税金及附加费用、其他商品和服务支出、办公设备购置、专用设备购置、信息网络及软件购置更新、公务用车购置、其他交通工具购置、文物和陈列品购置、无形资产购置、其他资本性支出、赠与。</w:t>
      </w:r>
    </w:p>
    <w:p>
      <w:pPr>
        <w:pStyle w:val="10"/>
        <w:rPr>
          <w:rFonts w:hAnsi="黑体"/>
          <w:b/>
          <w:sz w:val="32"/>
          <w:szCs w:val="32"/>
        </w:rPr>
      </w:pPr>
      <w:r>
        <w:rPr>
          <w:rFonts w:hint="eastAsia" w:hAnsi="黑体"/>
          <w:b/>
          <w:sz w:val="32"/>
          <w:szCs w:val="32"/>
        </w:rPr>
        <w:t>七、一般公共预算财政拨款“三公”经费支出决算情况说明</w:t>
      </w:r>
    </w:p>
    <w:p>
      <w:pPr>
        <w:spacing w:before="0" w:after="0" w:line="240" w:lineRule="auto"/>
        <w:ind w:left="0" w:right="0" w:firstLine="320"/>
        <w:jc w:val="left"/>
        <w:rPr>
          <w:rFonts w:hint="eastAsia" w:ascii="宋体" w:hAnsi="宋体" w:eastAsia="宋体" w:cs="宋体"/>
          <w:b/>
          <w:color w:val="000000"/>
          <w:spacing w:val="0"/>
          <w:position w:val="0"/>
          <w:sz w:val="28"/>
          <w:szCs w:val="28"/>
          <w:shd w:val="clear" w:fill="auto"/>
        </w:rPr>
      </w:pPr>
      <w:r>
        <w:rPr>
          <w:rFonts w:hint="eastAsia" w:ascii="宋体" w:hAnsi="宋体" w:eastAsia="宋体" w:cs="宋体"/>
          <w:b/>
          <w:color w:val="000000"/>
          <w:spacing w:val="0"/>
          <w:position w:val="0"/>
          <w:sz w:val="28"/>
          <w:szCs w:val="28"/>
          <w:shd w:val="clear" w:fill="auto"/>
        </w:rPr>
        <w:t>（一）“三公”经费财政拨款支出决算总体情况说明</w:t>
      </w:r>
    </w:p>
    <w:p>
      <w:pPr>
        <w:spacing w:before="0" w:after="0" w:line="240" w:lineRule="auto"/>
        <w:ind w:left="0" w:right="0" w:firstLine="800"/>
        <w:jc w:val="left"/>
        <w:rPr>
          <w:rFonts w:hint="eastAsia" w:cs="黑体" w:asciiTheme="minorEastAsia" w:hAnsiTheme="minorEastAsia" w:eastAsiaTheme="minorEastAsia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cs="黑体" w:asciiTheme="minorEastAsia" w:hAnsiTheme="minorEastAsia" w:eastAsiaTheme="minorEastAsia"/>
          <w:color w:val="000000"/>
          <w:kern w:val="0"/>
          <w:sz w:val="32"/>
          <w:szCs w:val="32"/>
          <w:lang w:val="en-US" w:eastAsia="zh-CN" w:bidi="ar-SA"/>
        </w:rPr>
        <w:t>因公出国（境）费支出预算为0万元，支出决算为0万元，由于预算数为0，无法计算百分比，</w:t>
      </w:r>
      <w:r>
        <w:rPr>
          <w:rFonts w:hint="eastAsia" w:cs="黑体" w:asciiTheme="minorEastAsia" w:hAnsiTheme="minorEastAsia" w:eastAsiaTheme="minorEastAsia"/>
          <w:color w:val="000000"/>
          <w:kern w:val="0"/>
          <w:sz w:val="32"/>
          <w:szCs w:val="32"/>
          <w:lang w:val="zh-CN" w:eastAsia="zh-CN" w:bidi="ar-SA"/>
        </w:rPr>
        <w:t>决算数与预算数一致</w:t>
      </w:r>
      <w:r>
        <w:rPr>
          <w:rFonts w:hint="eastAsia" w:cs="黑体" w:asciiTheme="minorEastAsia" w:hAnsiTheme="minorEastAsia" w:eastAsiaTheme="minorEastAsia"/>
          <w:color w:val="000000"/>
          <w:kern w:val="0"/>
          <w:sz w:val="32"/>
          <w:szCs w:val="32"/>
          <w:lang w:val="en-US" w:eastAsia="zh-CN" w:bidi="ar-SA"/>
        </w:rPr>
        <w:t>无差异</w:t>
      </w:r>
      <w:r>
        <w:rPr>
          <w:rFonts w:hint="eastAsia" w:cs="黑体" w:asciiTheme="minorEastAsia" w:hAnsiTheme="minorEastAsia" w:eastAsiaTheme="minorEastAsia"/>
          <w:color w:val="000000"/>
          <w:kern w:val="0"/>
          <w:sz w:val="32"/>
          <w:szCs w:val="32"/>
          <w:lang w:val="zh-CN" w:eastAsia="zh-CN" w:bidi="ar-SA"/>
        </w:rPr>
        <w:t>，主要原因</w:t>
      </w:r>
      <w:r>
        <w:rPr>
          <w:rFonts w:hint="eastAsia" w:cs="黑体" w:asciiTheme="minorEastAsia" w:hAnsiTheme="minorEastAsia" w:eastAsiaTheme="minorEastAsia"/>
          <w:color w:val="000000"/>
          <w:kern w:val="0"/>
          <w:sz w:val="32"/>
          <w:szCs w:val="32"/>
          <w:lang w:val="en-US" w:eastAsia="zh-CN" w:bidi="ar-SA"/>
        </w:rPr>
        <w:t>是本年未安排因公出国（境）；与上年相比无变化，主要原因是未安排外事出访活动。</w:t>
      </w:r>
    </w:p>
    <w:p>
      <w:pPr>
        <w:spacing w:before="0" w:after="0" w:line="240" w:lineRule="auto"/>
        <w:ind w:left="0" w:right="0" w:firstLine="800"/>
        <w:jc w:val="left"/>
        <w:rPr>
          <w:rFonts w:hint="eastAsia" w:cs="黑体" w:asciiTheme="minorEastAsia" w:hAnsiTheme="minorEastAsia" w:eastAsiaTheme="minorEastAsia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cs="黑体" w:asciiTheme="minorEastAsia" w:hAnsiTheme="minorEastAsia" w:eastAsiaTheme="minorEastAsia"/>
          <w:color w:val="000000"/>
          <w:kern w:val="0"/>
          <w:sz w:val="32"/>
          <w:szCs w:val="32"/>
          <w:lang w:val="en-US" w:eastAsia="zh-CN" w:bidi="ar-SA"/>
        </w:rPr>
        <w:t>公务接待费支出预算为0万元，支出决算为0万元，由于预算数为0，无法计算百分比，</w:t>
      </w:r>
      <w:r>
        <w:rPr>
          <w:rFonts w:hint="eastAsia" w:cs="黑体" w:asciiTheme="minorEastAsia" w:hAnsiTheme="minorEastAsia" w:eastAsiaTheme="minorEastAsia"/>
          <w:color w:val="000000"/>
          <w:kern w:val="0"/>
          <w:sz w:val="32"/>
          <w:szCs w:val="32"/>
          <w:lang w:val="zh-CN" w:eastAsia="zh-CN" w:bidi="ar-SA"/>
        </w:rPr>
        <w:t>决算数与预算数一致</w:t>
      </w:r>
      <w:r>
        <w:rPr>
          <w:rFonts w:hint="eastAsia" w:cs="黑体" w:asciiTheme="minorEastAsia" w:hAnsiTheme="minorEastAsia" w:eastAsiaTheme="minorEastAsia"/>
          <w:color w:val="000000"/>
          <w:kern w:val="0"/>
          <w:sz w:val="32"/>
          <w:szCs w:val="32"/>
          <w:lang w:val="en-US" w:eastAsia="zh-CN" w:bidi="ar-SA"/>
        </w:rPr>
        <w:t>无差异</w:t>
      </w:r>
      <w:r>
        <w:rPr>
          <w:rFonts w:hint="eastAsia" w:cs="黑体" w:asciiTheme="minorEastAsia" w:hAnsiTheme="minorEastAsia" w:eastAsiaTheme="minorEastAsia"/>
          <w:color w:val="000000"/>
          <w:kern w:val="0"/>
          <w:sz w:val="32"/>
          <w:szCs w:val="32"/>
          <w:lang w:val="zh-CN" w:eastAsia="zh-CN" w:bidi="ar-SA"/>
        </w:rPr>
        <w:t>，</w:t>
      </w:r>
      <w:r>
        <w:rPr>
          <w:rFonts w:hint="eastAsia" w:cs="黑体" w:asciiTheme="minorEastAsia" w:hAnsiTheme="minorEastAsia" w:eastAsiaTheme="minorEastAsia"/>
          <w:color w:val="000000"/>
          <w:kern w:val="0"/>
          <w:sz w:val="32"/>
          <w:szCs w:val="32"/>
          <w:lang w:val="en-US" w:eastAsia="zh-CN" w:bidi="ar-SA"/>
        </w:rPr>
        <w:t>主要原因是单位厉行节约，严控公务接待，与上年相比无增减变化，主要原因是本年度公务接待在本单位食堂就餐。</w:t>
      </w:r>
    </w:p>
    <w:p>
      <w:pPr>
        <w:spacing w:before="0" w:after="0" w:line="240" w:lineRule="auto"/>
        <w:ind w:left="0" w:right="0" w:firstLine="800"/>
        <w:jc w:val="left"/>
        <w:rPr>
          <w:rFonts w:hint="eastAsia" w:cs="黑体" w:asciiTheme="minorEastAsia" w:hAnsiTheme="minorEastAsia" w:eastAsiaTheme="minorEastAsia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cs="黑体" w:asciiTheme="minorEastAsia" w:hAnsiTheme="minorEastAsia" w:eastAsiaTheme="minorEastAsia"/>
          <w:color w:val="000000"/>
          <w:kern w:val="0"/>
          <w:sz w:val="32"/>
          <w:szCs w:val="32"/>
          <w:lang w:val="en-US" w:eastAsia="zh-CN" w:bidi="ar-SA"/>
        </w:rPr>
        <w:t>公务用车购置费支出预算为0万元，支出决算为0万元，由于预算数为0，无法计算完成百分比，决算数</w:t>
      </w:r>
      <w:r>
        <w:rPr>
          <w:rFonts w:hint="eastAsia" w:cs="黑体" w:asciiTheme="minorEastAsia" w:hAnsiTheme="minorEastAsia" w:eastAsiaTheme="minorEastAsia"/>
          <w:color w:val="000000"/>
          <w:kern w:val="0"/>
          <w:sz w:val="32"/>
          <w:szCs w:val="32"/>
          <w:lang w:val="zh-CN" w:eastAsia="zh-CN" w:bidi="ar-SA"/>
        </w:rPr>
        <w:t>与预算数一致</w:t>
      </w:r>
      <w:r>
        <w:rPr>
          <w:rFonts w:hint="eastAsia" w:cs="黑体" w:asciiTheme="minorEastAsia" w:hAnsiTheme="minorEastAsia" w:eastAsiaTheme="minorEastAsia"/>
          <w:color w:val="000000"/>
          <w:kern w:val="0"/>
          <w:sz w:val="32"/>
          <w:szCs w:val="32"/>
          <w:lang w:val="en-US" w:eastAsia="zh-CN" w:bidi="ar-SA"/>
        </w:rPr>
        <w:t>无差异，主要原因为本年未购置公务用车；与上年相比无变化，主要原因为两年均未购置公务用车。</w:t>
      </w:r>
    </w:p>
    <w:p>
      <w:pPr>
        <w:pStyle w:val="10"/>
        <w:ind w:firstLine="640" w:firstLineChars="200"/>
        <w:rPr>
          <w:rFonts w:hint="eastAsia" w:cs="黑体" w:asciiTheme="minorEastAsia" w:hAnsiTheme="minorEastAsia" w:eastAsiaTheme="minorEastAsia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cs="黑体" w:asciiTheme="minorEastAsia" w:hAnsiTheme="minorEastAsia" w:eastAsiaTheme="minorEastAsia"/>
          <w:color w:val="000000"/>
          <w:kern w:val="0"/>
          <w:sz w:val="32"/>
          <w:szCs w:val="32"/>
          <w:lang w:val="en-US" w:eastAsia="zh-CN" w:bidi="ar-SA"/>
        </w:rPr>
        <w:t>公务用车运行维护费支出预算为0万元，支出决算为0万元，决算数与预算数一致无差异，主要原因是单位无公务用车，与上年相比无增减变化，主要原因是单位无公务用车。</w:t>
      </w:r>
    </w:p>
    <w:p>
      <w:pPr>
        <w:spacing w:before="0" w:after="0" w:line="240" w:lineRule="auto"/>
        <w:ind w:left="0" w:right="0" w:firstLine="800"/>
        <w:jc w:val="left"/>
        <w:rPr>
          <w:rFonts w:hint="eastAsia" w:ascii="宋体" w:hAnsi="宋体" w:eastAsia="宋体" w:cs="宋体"/>
          <w:b/>
          <w:color w:val="000000"/>
          <w:spacing w:val="0"/>
          <w:position w:val="0"/>
          <w:sz w:val="28"/>
          <w:szCs w:val="28"/>
          <w:shd w:val="clear" w:fill="auto"/>
        </w:rPr>
      </w:pPr>
      <w:r>
        <w:rPr>
          <w:rFonts w:hint="eastAsia" w:ascii="宋体" w:hAnsi="宋体" w:eastAsia="宋体" w:cs="宋体"/>
          <w:b/>
          <w:color w:val="000000"/>
          <w:spacing w:val="0"/>
          <w:position w:val="0"/>
          <w:sz w:val="28"/>
          <w:szCs w:val="28"/>
          <w:shd w:val="clear" w:fill="auto"/>
        </w:rPr>
        <w:t>（二）“三公”经费财政拨款支出决算具体情况说明</w:t>
      </w:r>
    </w:p>
    <w:p>
      <w:pPr>
        <w:spacing w:before="0" w:after="0" w:line="240" w:lineRule="auto"/>
        <w:ind w:left="0" w:right="0" w:firstLine="800"/>
        <w:jc w:val="left"/>
        <w:rPr>
          <w:rFonts w:hint="eastAsia" w:ascii="宋体" w:hAnsi="宋体" w:eastAsia="宋体" w:cs="宋体"/>
          <w:color w:val="000000"/>
          <w:spacing w:val="0"/>
          <w:position w:val="0"/>
          <w:sz w:val="28"/>
          <w:szCs w:val="28"/>
          <w:shd w:val="clear" w:fill="auto"/>
        </w:r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8"/>
          <w:szCs w:val="28"/>
          <w:shd w:val="clear" w:fill="auto"/>
        </w:rPr>
        <w:t>2021年度“三公”经费财政拨款支出决算中，公务接待费支出决算0万元，占0%,因公出国（境）费支出决算0万元，占0%,公务用车购置费及运行维护费支出决算0万元，占0%。其中：</w:t>
      </w:r>
    </w:p>
    <w:p>
      <w:pPr>
        <w:spacing w:before="0" w:after="0" w:line="240" w:lineRule="auto"/>
        <w:ind w:left="0" w:right="0" w:firstLine="800"/>
        <w:jc w:val="left"/>
        <w:rPr>
          <w:rFonts w:hint="eastAsia" w:ascii="宋体" w:hAnsi="宋体" w:eastAsia="宋体" w:cs="宋体"/>
          <w:color w:val="000000"/>
          <w:spacing w:val="0"/>
          <w:position w:val="0"/>
          <w:sz w:val="28"/>
          <w:szCs w:val="28"/>
          <w:shd w:val="clear" w:fill="auto"/>
        </w:r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8"/>
          <w:szCs w:val="28"/>
          <w:shd w:val="clear" w:fill="auto"/>
        </w:rPr>
        <w:t>1、因公出国（境）费支出决算为0万元，全年安排因公出国（境）团组0个，累计0人次,开支内容包括：</w:t>
      </w:r>
    </w:p>
    <w:p>
      <w:pPr>
        <w:spacing w:before="0" w:after="0" w:line="240" w:lineRule="auto"/>
        <w:ind w:left="0" w:right="0" w:firstLine="800"/>
        <w:jc w:val="left"/>
        <w:rPr>
          <w:rFonts w:hint="eastAsia" w:ascii="宋体" w:hAnsi="宋体" w:eastAsia="宋体" w:cs="宋体"/>
          <w:color w:val="000000"/>
          <w:spacing w:val="0"/>
          <w:position w:val="0"/>
          <w:sz w:val="28"/>
          <w:szCs w:val="28"/>
          <w:shd w:val="clear" w:fill="auto"/>
        </w:r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8"/>
          <w:szCs w:val="28"/>
          <w:shd w:val="clear" w:fill="auto"/>
        </w:rPr>
        <w:t>无（活动名称）支出0万元，主要用于无（活动内容）</w:t>
      </w:r>
    </w:p>
    <w:p>
      <w:pPr>
        <w:spacing w:before="0" w:after="0" w:line="240" w:lineRule="auto"/>
        <w:ind w:left="0" w:right="0" w:firstLine="800"/>
        <w:jc w:val="left"/>
        <w:rPr>
          <w:rFonts w:hint="eastAsia" w:ascii="宋体" w:hAnsi="宋体" w:eastAsia="宋体" w:cs="宋体"/>
          <w:color w:val="000000"/>
          <w:spacing w:val="0"/>
          <w:position w:val="0"/>
          <w:sz w:val="28"/>
          <w:szCs w:val="28"/>
          <w:shd w:val="clear" w:fill="auto"/>
        </w:r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8"/>
          <w:szCs w:val="28"/>
          <w:shd w:val="clear" w:fill="auto"/>
        </w:rPr>
        <w:t>2、公务接待费支出决算为0万元，全年共接待来访团组0个、来宾0人次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8"/>
          <w:szCs w:val="28"/>
          <w:shd w:val="clear" w:fill="auto"/>
          <w:lang w:eastAsia="zh-CN"/>
        </w:rPr>
        <w:t>，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8"/>
          <w:szCs w:val="28"/>
          <w:shd w:val="clear" w:fill="auto"/>
        </w:rPr>
        <w:t>主要是无（活动内容）发生的接待支出。</w:t>
      </w:r>
    </w:p>
    <w:p>
      <w:pPr>
        <w:spacing w:before="0" w:after="0" w:line="240" w:lineRule="auto"/>
        <w:ind w:left="0" w:right="0" w:firstLine="640"/>
        <w:jc w:val="left"/>
        <w:rPr>
          <w:rFonts w:hint="eastAsia" w:ascii="宋体" w:hAnsi="宋体" w:eastAsia="宋体" w:cs="宋体"/>
          <w:color w:val="000000"/>
          <w:spacing w:val="0"/>
          <w:position w:val="0"/>
          <w:sz w:val="28"/>
          <w:szCs w:val="28"/>
          <w:shd w:val="clear" w:fill="auto"/>
        </w:r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8"/>
          <w:szCs w:val="28"/>
          <w:shd w:val="clear" w:fill="auto"/>
        </w:rPr>
        <w:t>3、公务用车购置费及运行维护费支出决算为0万元，其中：公务用车购置费0万元，0（单位本级或某二级机构）更新公务用车0辆（可根据实际情况进行增减）。公务用车运行维护费0万元，主要是无支出，截止2021年12月31日，我单位开支财政拨款的公务用车保有量为0辆。</w:t>
      </w:r>
    </w:p>
    <w:p>
      <w:pPr>
        <w:pStyle w:val="10"/>
        <w:rPr>
          <w:rFonts w:hAnsi="黑体"/>
          <w:b/>
          <w:sz w:val="32"/>
          <w:szCs w:val="32"/>
        </w:rPr>
      </w:pPr>
      <w:r>
        <w:rPr>
          <w:rFonts w:hint="eastAsia" w:hAnsi="黑体"/>
          <w:b/>
          <w:sz w:val="32"/>
          <w:szCs w:val="32"/>
        </w:rPr>
        <w:t>八、政府性基金预算收入支出决算情况</w:t>
      </w:r>
    </w:p>
    <w:p>
      <w:pPr>
        <w:pStyle w:val="10"/>
        <w:ind w:firstLine="640" w:firstLineChars="200"/>
        <w:rPr>
          <w:rFonts w:hint="eastAsia"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2021年度政府性基金预算财政拨款收入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万元；年初结转和结余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26.87</w:t>
      </w:r>
      <w:r>
        <w:rPr>
          <w:rFonts w:hint="eastAsia" w:asciiTheme="minorEastAsia" w:hAnsiTheme="minorEastAsia" w:eastAsiaTheme="minorEastAsia"/>
          <w:sz w:val="32"/>
          <w:szCs w:val="32"/>
        </w:rPr>
        <w:t>万元；支出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26.87</w:t>
      </w:r>
      <w:r>
        <w:rPr>
          <w:rFonts w:hint="eastAsia" w:asciiTheme="minorEastAsia" w:hAnsiTheme="minorEastAsia" w:eastAsiaTheme="minorEastAsia"/>
          <w:sz w:val="32"/>
          <w:szCs w:val="32"/>
        </w:rPr>
        <w:t>万元，其中基本支出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万元，项目支出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26.87</w:t>
      </w:r>
      <w:r>
        <w:rPr>
          <w:rFonts w:hint="eastAsia" w:asciiTheme="minorEastAsia" w:hAnsiTheme="minorEastAsia" w:eastAsiaTheme="minorEastAsia"/>
          <w:sz w:val="32"/>
          <w:szCs w:val="32"/>
        </w:rPr>
        <w:t>万元；年末结转和结余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万元。具体情况如下：</w:t>
      </w:r>
    </w:p>
    <w:p>
      <w:pPr>
        <w:pStyle w:val="10"/>
        <w:ind w:firstLine="640" w:firstLineChars="200"/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彩票公益金安排的支出，</w:t>
      </w:r>
      <w:r>
        <w:rPr>
          <w:rFonts w:hint="eastAsia" w:asciiTheme="minorEastAsia" w:hAnsiTheme="minorEastAsia" w:eastAsiaTheme="minorEastAsia"/>
          <w:sz w:val="32"/>
          <w:szCs w:val="32"/>
        </w:rPr>
        <w:t>年初预算为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万元，支出决算为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26.87</w:t>
      </w:r>
      <w:r>
        <w:rPr>
          <w:rFonts w:hint="eastAsia" w:asciiTheme="minorEastAsia" w:hAnsiTheme="minorEastAsia" w:eastAsiaTheme="minorEastAsia"/>
          <w:sz w:val="32"/>
          <w:szCs w:val="32"/>
        </w:rPr>
        <w:t>万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，由于预算数为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0，无法计算百分比</w:t>
      </w:r>
      <w:r>
        <w:rPr>
          <w:rFonts w:hint="eastAsia" w:asciiTheme="minorEastAsia" w:hAnsiTheme="minorEastAsia" w:eastAsiaTheme="minorEastAsia"/>
          <w:sz w:val="32"/>
          <w:szCs w:val="32"/>
        </w:rPr>
        <w:t>。</w:t>
      </w:r>
    </w:p>
    <w:p>
      <w:pPr>
        <w:pStyle w:val="10"/>
        <w:numPr>
          <w:ilvl w:val="0"/>
          <w:numId w:val="4"/>
        </w:numPr>
        <w:rPr>
          <w:rFonts w:hint="eastAsia" w:hAnsi="黑体"/>
          <w:b/>
          <w:sz w:val="32"/>
          <w:szCs w:val="32"/>
          <w:lang w:eastAsia="zh-CN"/>
        </w:rPr>
      </w:pPr>
      <w:r>
        <w:rPr>
          <w:rFonts w:hint="eastAsia" w:hAnsi="黑体"/>
          <w:b/>
          <w:sz w:val="32"/>
          <w:szCs w:val="32"/>
        </w:rPr>
        <w:t>国有资本经营预算财政拨款支出决算</w:t>
      </w:r>
      <w:r>
        <w:rPr>
          <w:rFonts w:hint="eastAsia" w:hAnsi="黑体"/>
          <w:b/>
          <w:sz w:val="32"/>
          <w:szCs w:val="32"/>
          <w:lang w:eastAsia="zh-CN"/>
        </w:rPr>
        <w:t>情况</w:t>
      </w:r>
    </w:p>
    <w:p>
      <w:pPr>
        <w:pStyle w:val="10"/>
        <w:ind w:firstLine="640" w:firstLineChars="200"/>
        <w:rPr>
          <w:rFonts w:hint="eastAsia" w:hAnsi="黑体" w:eastAsiaTheme="minorEastAsia"/>
          <w:b/>
          <w:i w:val="0"/>
          <w:iCs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/>
          <w:i w:val="0"/>
          <w:iCs/>
          <w:color w:val="auto"/>
          <w:sz w:val="32"/>
          <w:szCs w:val="32"/>
          <w:lang w:val="en-US" w:eastAsia="zh-CN"/>
        </w:rPr>
        <w:t>2021年度</w:t>
      </w:r>
      <w:r>
        <w:rPr>
          <w:rFonts w:hint="eastAsia" w:asciiTheme="minorEastAsia" w:hAnsiTheme="minorEastAsia" w:eastAsiaTheme="minorEastAsia"/>
          <w:i w:val="0"/>
          <w:iCs/>
          <w:color w:val="auto"/>
          <w:sz w:val="32"/>
          <w:szCs w:val="32"/>
        </w:rPr>
        <w:t>本单位无国有资本经营预算财政拨款支出</w:t>
      </w:r>
      <w:r>
        <w:rPr>
          <w:rFonts w:hint="eastAsia" w:asciiTheme="minorEastAsia" w:hAnsiTheme="minorEastAsia" w:eastAsiaTheme="minorEastAsia"/>
          <w:i w:val="0"/>
          <w:iCs/>
          <w:color w:val="auto"/>
          <w:sz w:val="32"/>
          <w:szCs w:val="32"/>
          <w:lang w:eastAsia="zh-CN"/>
        </w:rPr>
        <w:t>。</w:t>
      </w:r>
    </w:p>
    <w:p>
      <w:pPr>
        <w:pStyle w:val="10"/>
        <w:rPr>
          <w:rFonts w:hAnsi="黑体"/>
          <w:b/>
          <w:sz w:val="32"/>
          <w:szCs w:val="32"/>
        </w:rPr>
      </w:pPr>
      <w:r>
        <w:rPr>
          <w:rFonts w:hint="eastAsia" w:hAnsi="黑体"/>
          <w:b/>
          <w:sz w:val="32"/>
          <w:szCs w:val="32"/>
        </w:rPr>
        <w:t>十、机关运行经费支出说明</w:t>
      </w:r>
    </w:p>
    <w:p>
      <w:pPr>
        <w:pStyle w:val="10"/>
        <w:ind w:firstLine="640" w:firstLineChars="200"/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本部门2021年度机关运行经费支出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万元，比上年决算数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无增减变化</w:t>
      </w:r>
      <w:r>
        <w:rPr>
          <w:rFonts w:hint="eastAsia" w:asciiTheme="minorEastAsia" w:hAnsiTheme="minorEastAsia" w:eastAsiaTheme="minorEastAsia"/>
          <w:sz w:val="32"/>
          <w:szCs w:val="32"/>
        </w:rPr>
        <w:t>。主要原因是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本单位非行政单位和参照公务员法管理事业单位。</w:t>
      </w:r>
    </w:p>
    <w:p>
      <w:pPr>
        <w:pStyle w:val="10"/>
        <w:rPr>
          <w:rFonts w:hAnsi="黑体"/>
          <w:b/>
          <w:sz w:val="32"/>
          <w:szCs w:val="32"/>
        </w:rPr>
      </w:pPr>
      <w:r>
        <w:rPr>
          <w:rFonts w:hint="eastAsia" w:hAnsi="黑体"/>
          <w:b/>
          <w:sz w:val="32"/>
          <w:szCs w:val="32"/>
        </w:rPr>
        <w:t>十一、一般性支出情况说明</w:t>
      </w:r>
    </w:p>
    <w:p>
      <w:pPr>
        <w:pStyle w:val="10"/>
        <w:ind w:firstLine="640" w:firstLineChars="200"/>
        <w:rPr>
          <w:rFonts w:hint="eastAsia"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2021年本部门开支会议费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万元，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未召开会议，</w:t>
      </w:r>
      <w:r>
        <w:rPr>
          <w:rFonts w:hint="eastAsia" w:asciiTheme="minorEastAsia" w:hAnsiTheme="minorEastAsia" w:eastAsiaTheme="minorEastAsia"/>
          <w:sz w:val="32"/>
          <w:szCs w:val="32"/>
        </w:rPr>
        <w:t>人数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人，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无会议内容</w:t>
      </w:r>
      <w:r>
        <w:rPr>
          <w:rFonts w:hint="eastAsia" w:asciiTheme="minorEastAsia" w:hAnsiTheme="minorEastAsia" w:eastAsiaTheme="minorEastAsia"/>
          <w:sz w:val="32"/>
          <w:szCs w:val="32"/>
        </w:rPr>
        <w:t>；开支培训费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万元，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未</w:t>
      </w:r>
      <w:r>
        <w:rPr>
          <w:rFonts w:hint="eastAsia" w:asciiTheme="minorEastAsia" w:hAnsiTheme="minorEastAsia" w:eastAsiaTheme="minorEastAsia"/>
          <w:sz w:val="32"/>
          <w:szCs w:val="32"/>
        </w:rPr>
        <w:t>开展培训，人数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人，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无培训</w:t>
      </w:r>
      <w:r>
        <w:rPr>
          <w:rFonts w:hint="eastAsia" w:asciiTheme="minorEastAsia" w:hAnsiTheme="minorEastAsia" w:eastAsiaTheme="minorEastAsia"/>
          <w:sz w:val="32"/>
          <w:szCs w:val="32"/>
        </w:rPr>
        <w:t>内容；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未</w:t>
      </w:r>
      <w:r>
        <w:rPr>
          <w:rFonts w:hint="eastAsia" w:asciiTheme="minorEastAsia" w:hAnsiTheme="minorEastAsia" w:eastAsiaTheme="minorEastAsia"/>
          <w:sz w:val="32"/>
          <w:szCs w:val="32"/>
        </w:rPr>
        <w:t>举办节庆、晚会、论坛、赛事活动，开支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万元。</w:t>
      </w:r>
    </w:p>
    <w:p>
      <w:pPr>
        <w:pStyle w:val="10"/>
        <w:rPr>
          <w:rFonts w:hAnsi="黑体"/>
          <w:b/>
          <w:sz w:val="32"/>
          <w:szCs w:val="32"/>
        </w:rPr>
      </w:pPr>
      <w:r>
        <w:rPr>
          <w:rFonts w:hint="eastAsia" w:hAnsi="黑体"/>
          <w:b/>
          <w:sz w:val="32"/>
          <w:szCs w:val="32"/>
        </w:rPr>
        <w:t>十二、政府采购支出说明</w:t>
      </w:r>
    </w:p>
    <w:p>
      <w:pPr>
        <w:pStyle w:val="10"/>
        <w:ind w:firstLine="640" w:firstLineChars="200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本部门2021年度政府采购支出总额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万元，其中：政府采购货物支出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 xml:space="preserve"> 万元、政府采购工程支出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 xml:space="preserve"> 万元、政府采购服务支出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万元。授予中小企业合同金额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万元，占政府采购支出总额的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%，其中：授予小微企业合同金额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万元，占授予中小企业合同金额的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%；货物采购授予中小企业合同金额占货物支出金额的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%，工程采购授予中小企业合同金额占工程支出金额的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%，服务采购授予中小企业合同金额占服务支出金额的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%。</w:t>
      </w:r>
    </w:p>
    <w:p>
      <w:pPr>
        <w:pStyle w:val="10"/>
        <w:rPr>
          <w:rFonts w:hAnsi="黑体"/>
          <w:b/>
          <w:sz w:val="32"/>
          <w:szCs w:val="32"/>
        </w:rPr>
      </w:pPr>
      <w:r>
        <w:rPr>
          <w:rFonts w:hint="eastAsia" w:hAnsi="黑体"/>
          <w:b/>
          <w:sz w:val="32"/>
          <w:szCs w:val="32"/>
        </w:rPr>
        <w:t>十三、国有资产占用情况说明</w:t>
      </w:r>
    </w:p>
    <w:p>
      <w:pPr>
        <w:pStyle w:val="10"/>
        <w:ind w:firstLine="640" w:firstLineChars="200"/>
        <w:rPr>
          <w:rFonts w:hint="eastAsia"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截至2021年12月31日，部门（单位）共有车辆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辆，其中，主要领导干部用车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辆，机要通信用车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辆、应急保障用车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辆、执法执勤用车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辆、特种专业技术用车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辆、其他用车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辆，其他用车</w:t>
      </w:r>
      <w:r>
        <w:rPr>
          <w:rFonts w:hint="eastAsia" w:ascii="宋体" w:hAnsi="Times New Roman" w:eastAsia="宋体"/>
          <w:sz w:val="32"/>
        </w:rPr>
        <w:t>主要是用于机要通信和应急保障之外公务用途的车辆</w:t>
      </w:r>
      <w:r>
        <w:rPr>
          <w:rFonts w:hint="eastAsia" w:asciiTheme="minorEastAsia" w:hAnsiTheme="minorEastAsia" w:eastAsiaTheme="minorEastAsia"/>
          <w:sz w:val="32"/>
          <w:szCs w:val="32"/>
        </w:rPr>
        <w:t>；单位价值50万元以上通用设备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台（套）；单位价值100万元以上专用设备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台（套）。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sz w:val="32"/>
          <w:szCs w:val="32"/>
        </w:rPr>
        <w:t>十</w:t>
      </w:r>
      <w:r>
        <w:rPr>
          <w:rFonts w:hint="eastAsia" w:hAnsi="黑体" w:cs="黑体"/>
          <w:b w:val="0"/>
          <w:bCs/>
          <w:sz w:val="32"/>
          <w:szCs w:val="32"/>
          <w:lang w:eastAsia="zh-CN"/>
        </w:rPr>
        <w:t>四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、关于</w:t>
      </w:r>
      <w:r>
        <w:rPr>
          <w:rFonts w:hint="eastAsia" w:ascii="Times New Roman" w:hAnsi="Times New Roman" w:eastAsia="仿宋_GB2312"/>
          <w:sz w:val="32"/>
          <w:szCs w:val="32"/>
        </w:rPr>
        <w:t>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年度预算绩效情况的说明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sz w:val="28"/>
          <w:szCs w:val="28"/>
          <w:lang w:val="en-US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（1）绩效管理评价工作开展情况。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560" w:firstLineChars="200"/>
        <w:jc w:val="both"/>
        <w:rPr>
          <w:rFonts w:hint="eastAsia" w:ascii="宋体" w:hAnsi="宋体" w:eastAsia="宋体" w:cs="宋体"/>
          <w:sz w:val="28"/>
          <w:szCs w:val="28"/>
          <w:lang w:val="en-US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根据预算绩效管理要求，我部门组织对2021年度政府性基金预算项目支出全面开展绩效自评，重点项目1个，涉及资金26.87万元，占政府性基金预算项目支出总额的100%。组织对2021 年度0个国有资本经营预算项目支出开展绩效自评，共涉及资金0万元，占国有资本经营预算项目支出总额的0%。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sz w:val="28"/>
          <w:szCs w:val="28"/>
          <w:lang w:val="en-US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组织对“场馆维修经费”等1个项目开展了部门评价，涉及一政府性基金预算支出26.87万元，国有资本经营预算支出0万元。从评价情况来看, 进一步完善了评价体系,充分发挥绩效评价的杠杆作用，促进体育事业的均衡发展，力求使考核工作做到科学、合理，充分体现以人为本的核心理念。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sz w:val="28"/>
          <w:szCs w:val="28"/>
          <w:lang w:val="en-US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组织对1个单位开展整体支出绩效评价，涉及一般公共预算支出447.9万元，政府性基金预算支出26.87万元。从评价情况来看，项目建设、设备添置全部纳入财政预算，我单位派人参与项目建设，完工后交付使用。改善了场馆运营条件，从申报、立项、设计、招（投）标、施工等程序规范，促进了场馆的均衡发展，资金使用达到了预期效果，有效地抑制了盲目投资和建设浪费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sz w:val="28"/>
          <w:szCs w:val="28"/>
          <w:lang w:val="en-US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（2）部门决算中项目绩效自评结果。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sz w:val="28"/>
          <w:szCs w:val="28"/>
          <w:lang w:val="en-US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场馆维修经费项目绩效自评综述：根据年初设定的绩效目标，项目绩效自评得分为95.25分。项目全年预算数为26.87万元，执行数为26.87万元，完成预算的100%。项目绩效目标完成情况：一是无重大场馆安全责任事故；二是消除安全隐患，力争做安全无死角；三是确保场馆秩序良好，治安稳定。发现的主要问题及原因：一是绩效目标设置科学性有待提高。由于部分绩效指标设置不够全面，绩效指标设置的科学性、准确性有待提升；二是预算系统内绩效指标与实际项目支出绩效指标匹配性不足。下一步改进措施：一是多措并举，提高绩效管理水平；二是加强预算编制，加快资金执行效率；三是建立绩效管理制度，加强绩效运行监控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sz w:val="28"/>
          <w:szCs w:val="28"/>
          <w:lang w:val="en-US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（3）部门评价项目绩效评价结果。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sz w:val="28"/>
          <w:szCs w:val="28"/>
          <w:lang w:val="en-US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绩效管理工作开展顺利，部门决算中项目绩效自评结果为良好，部门评价项目绩效评价结果为良好，以部门为主体开展的重点绩效评价结果为良好。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预算绩效管理开展情况、绩效目标和绩效评价报告等，一并作为附件公开。</w:t>
      </w:r>
    </w:p>
    <w:p>
      <w:pPr>
        <w:pStyle w:val="10"/>
        <w:ind w:firstLine="640" w:firstLineChars="20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pStyle w:val="10"/>
        <w:ind w:firstLine="640" w:firstLineChars="20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pStyle w:val="10"/>
        <w:ind w:firstLine="640" w:firstLineChars="20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pStyle w:val="10"/>
        <w:ind w:firstLine="640" w:firstLineChars="20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pStyle w:val="10"/>
        <w:ind w:firstLine="640" w:firstLineChars="20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pStyle w:val="10"/>
        <w:ind w:firstLine="640" w:firstLineChars="20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pStyle w:val="10"/>
        <w:ind w:firstLine="640" w:firstLineChars="20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pStyle w:val="10"/>
        <w:ind w:firstLine="640" w:firstLineChars="20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pStyle w:val="10"/>
        <w:ind w:firstLine="640" w:firstLineChars="20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pStyle w:val="10"/>
        <w:ind w:firstLine="640" w:firstLineChars="20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pStyle w:val="10"/>
        <w:ind w:firstLine="640" w:firstLineChars="20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pStyle w:val="10"/>
        <w:ind w:firstLine="640" w:firstLineChars="20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pStyle w:val="10"/>
        <w:ind w:firstLine="640" w:firstLineChars="20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pStyle w:val="10"/>
        <w:ind w:firstLine="640" w:firstLineChars="20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pStyle w:val="10"/>
        <w:ind w:firstLine="640" w:firstLineChars="200"/>
        <w:rPr>
          <w:rFonts w:hint="default" w:asciiTheme="minorEastAsia" w:hAnsiTheme="minorEastAsia" w:eastAsia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 xml:space="preserve">                                                </w:t>
      </w:r>
    </w:p>
    <w:p>
      <w:pPr>
        <w:pStyle w:val="10"/>
        <w:jc w:val="both"/>
        <w:rPr>
          <w:sz w:val="72"/>
          <w:szCs w:val="72"/>
        </w:rPr>
      </w:pPr>
    </w:p>
    <w:p>
      <w:pPr>
        <w:pStyle w:val="10"/>
        <w:jc w:val="center"/>
        <w:rPr>
          <w:sz w:val="72"/>
          <w:szCs w:val="72"/>
        </w:rPr>
      </w:pPr>
      <w:r>
        <w:rPr>
          <w:rFonts w:hint="eastAsia"/>
          <w:sz w:val="72"/>
          <w:szCs w:val="72"/>
        </w:rPr>
        <w:t>第四部分</w:t>
      </w:r>
    </w:p>
    <w:p>
      <w:pPr>
        <w:jc w:val="center"/>
        <w:rPr>
          <w:rFonts w:ascii="黑体" w:eastAsia="黑体" w:cs="黑体"/>
          <w:color w:val="000000"/>
          <w:kern w:val="0"/>
          <w:sz w:val="70"/>
          <w:szCs w:val="70"/>
        </w:rPr>
      </w:pPr>
    </w:p>
    <w:p>
      <w:pPr>
        <w:jc w:val="center"/>
        <w:rPr>
          <w:rFonts w:ascii="黑体" w:eastAsia="黑体" w:cs="黑体"/>
          <w:color w:val="000000"/>
          <w:kern w:val="0"/>
          <w:sz w:val="70"/>
          <w:szCs w:val="70"/>
        </w:rPr>
      </w:pPr>
      <w:r>
        <w:rPr>
          <w:rFonts w:hint="eastAsia" w:ascii="黑体" w:eastAsia="黑体" w:cs="黑体"/>
          <w:color w:val="000000"/>
          <w:kern w:val="0"/>
          <w:sz w:val="70"/>
          <w:szCs w:val="70"/>
        </w:rPr>
        <w:t>名词解释</w:t>
      </w:r>
    </w:p>
    <w:p>
      <w:pPr>
        <w:widowControl/>
        <w:jc w:val="left"/>
        <w:rPr>
          <w:rFonts w:ascii="黑体" w:eastAsia="黑体" w:cs="黑体"/>
          <w:color w:val="000000"/>
          <w:kern w:val="0"/>
          <w:sz w:val="70"/>
          <w:szCs w:val="70"/>
        </w:rPr>
      </w:pPr>
      <w:r>
        <w:rPr>
          <w:rFonts w:ascii="黑体" w:eastAsia="黑体" w:cs="黑体"/>
          <w:color w:val="000000"/>
          <w:kern w:val="0"/>
          <w:sz w:val="70"/>
          <w:szCs w:val="70"/>
        </w:rPr>
        <w:br w:type="page"/>
      </w:r>
    </w:p>
    <w:p>
      <w:pPr>
        <w:ind w:firstLine="640" w:firstLineChars="200"/>
        <w:jc w:val="left"/>
        <w:rPr>
          <w:rFonts w:cs="黑体" w:asciiTheme="minorEastAsia" w:hAnsiTheme="minorEastAsia"/>
          <w:color w:val="000000"/>
          <w:kern w:val="0"/>
          <w:sz w:val="32"/>
          <w:szCs w:val="32"/>
        </w:rPr>
      </w:pPr>
    </w:p>
    <w:p>
      <w:pPr>
        <w:ind w:firstLine="640" w:firstLineChars="200"/>
        <w:jc w:val="left"/>
        <w:rPr>
          <w:rFonts w:hint="eastAsia" w:cs="黑体" w:asciiTheme="minorEastAsia" w:hAnsiTheme="minorEastAsia"/>
          <w:color w:val="000000"/>
          <w:kern w:val="0"/>
          <w:sz w:val="32"/>
          <w:szCs w:val="32"/>
        </w:rPr>
      </w:pPr>
      <w:r>
        <w:rPr>
          <w:rFonts w:hint="eastAsia" w:cs="黑体" w:asciiTheme="minorEastAsia" w:hAnsiTheme="minorEastAsia"/>
          <w:color w:val="000000"/>
          <w:kern w:val="0"/>
          <w:sz w:val="32"/>
          <w:szCs w:val="32"/>
        </w:rPr>
        <w:t>一、“三公”经费：指用财政拨款安排的因公出国（境）费、公务用车购置及运行费和公务接待费。其中，因公出国（境）费反映出国（境）的住宿费、旅费、伙食补助费、杂费、培训费等支出；公务用车购置及运行费反映单位公务用车购置费及租用费、燃料费、维修费、过路过桥费、保险费、安全奖励费用等支出；公务接待费反映单位按规定开支的各类公务接待（含外宾接待）支出。</w:t>
      </w:r>
    </w:p>
    <w:p>
      <w:pPr>
        <w:ind w:firstLine="640" w:firstLineChars="200"/>
        <w:jc w:val="left"/>
        <w:rPr>
          <w:rFonts w:cs="黑体" w:asciiTheme="minorEastAsia" w:hAnsiTheme="minorEastAsia"/>
          <w:color w:val="000000"/>
          <w:kern w:val="0"/>
          <w:sz w:val="32"/>
          <w:szCs w:val="32"/>
        </w:rPr>
      </w:pPr>
      <w:r>
        <w:rPr>
          <w:rFonts w:hint="eastAsia" w:cs="黑体" w:asciiTheme="minorEastAsia" w:hAnsiTheme="minorEastAsia"/>
          <w:color w:val="000000"/>
          <w:kern w:val="0"/>
          <w:sz w:val="32"/>
          <w:szCs w:val="32"/>
        </w:rPr>
        <w:t>二、机关运行经费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</w:rPr>
        <w:t>是指各部门的公用经费，包括办公及印刷费、邮电费、差旅费、会议费、福利费、日常维修费、专用材料及一般设备购置费、办公用房水电费、办公用房取暖费、办公用房物业管理费、公务用车运行维护费以及其他费用。</w:t>
      </w:r>
    </w:p>
    <w:p>
      <w:pPr>
        <w:ind w:firstLine="640" w:firstLineChars="200"/>
        <w:jc w:val="left"/>
        <w:rPr>
          <w:rFonts w:cs="黑体" w:asciiTheme="minorEastAsia" w:hAnsiTheme="minorEastAsia"/>
          <w:color w:val="000000"/>
          <w:kern w:val="0"/>
          <w:sz w:val="32"/>
          <w:szCs w:val="32"/>
        </w:rPr>
      </w:pPr>
      <w:r>
        <w:rPr>
          <w:rFonts w:hint="eastAsia" w:cs="黑体" w:asciiTheme="minorEastAsia" w:hAnsiTheme="minorEastAsia"/>
          <w:color w:val="000000"/>
          <w:kern w:val="0"/>
          <w:sz w:val="32"/>
          <w:szCs w:val="32"/>
        </w:rPr>
        <w:t>三、</w:t>
      </w:r>
      <w:r>
        <w:rPr>
          <w:rFonts w:cs="黑体" w:asciiTheme="minorEastAsia" w:hAnsiTheme="minorEastAsia"/>
          <w:color w:val="000000"/>
          <w:kern w:val="0"/>
          <w:sz w:val="32"/>
          <w:szCs w:val="32"/>
        </w:rPr>
        <w:t>……</w:t>
      </w:r>
    </w:p>
    <w:p>
      <w:pPr>
        <w:pStyle w:val="10"/>
        <w:jc w:val="center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/>
          <w:sz w:val="32"/>
          <w:szCs w:val="32"/>
        </w:rPr>
        <w:t>………</w:t>
      </w:r>
    </w:p>
    <w:p>
      <w:pPr>
        <w:pStyle w:val="10"/>
        <w:jc w:val="center"/>
        <w:rPr>
          <w:sz w:val="72"/>
          <w:szCs w:val="72"/>
        </w:rPr>
      </w:pPr>
    </w:p>
    <w:p>
      <w:pPr>
        <w:pStyle w:val="10"/>
        <w:jc w:val="center"/>
        <w:rPr>
          <w:sz w:val="72"/>
          <w:szCs w:val="72"/>
        </w:rPr>
      </w:pPr>
    </w:p>
    <w:p>
      <w:pPr>
        <w:pStyle w:val="10"/>
        <w:jc w:val="center"/>
        <w:rPr>
          <w:sz w:val="72"/>
          <w:szCs w:val="72"/>
        </w:rPr>
      </w:pPr>
    </w:p>
    <w:p>
      <w:pPr>
        <w:pStyle w:val="10"/>
        <w:jc w:val="center"/>
        <w:rPr>
          <w:sz w:val="72"/>
          <w:szCs w:val="72"/>
        </w:rPr>
      </w:pPr>
    </w:p>
    <w:p>
      <w:pPr>
        <w:pStyle w:val="10"/>
        <w:jc w:val="center"/>
        <w:rPr>
          <w:sz w:val="72"/>
          <w:szCs w:val="72"/>
        </w:rPr>
      </w:pPr>
    </w:p>
    <w:p>
      <w:pPr>
        <w:pStyle w:val="10"/>
        <w:jc w:val="center"/>
        <w:rPr>
          <w:sz w:val="72"/>
          <w:szCs w:val="72"/>
        </w:rPr>
      </w:pPr>
    </w:p>
    <w:p>
      <w:pPr>
        <w:pStyle w:val="10"/>
        <w:jc w:val="center"/>
        <w:rPr>
          <w:sz w:val="72"/>
          <w:szCs w:val="72"/>
        </w:rPr>
      </w:pPr>
    </w:p>
    <w:p>
      <w:pPr>
        <w:pStyle w:val="10"/>
        <w:jc w:val="center"/>
        <w:rPr>
          <w:sz w:val="72"/>
          <w:szCs w:val="72"/>
        </w:rPr>
      </w:pPr>
    </w:p>
    <w:p>
      <w:pPr>
        <w:pStyle w:val="10"/>
        <w:jc w:val="center"/>
        <w:rPr>
          <w:sz w:val="72"/>
          <w:szCs w:val="72"/>
        </w:rPr>
      </w:pPr>
    </w:p>
    <w:p>
      <w:pPr>
        <w:pStyle w:val="10"/>
        <w:jc w:val="center"/>
        <w:rPr>
          <w:sz w:val="72"/>
          <w:szCs w:val="72"/>
        </w:rPr>
      </w:pPr>
    </w:p>
    <w:p>
      <w:pPr>
        <w:pStyle w:val="10"/>
        <w:jc w:val="center"/>
        <w:rPr>
          <w:sz w:val="72"/>
          <w:szCs w:val="72"/>
        </w:rPr>
      </w:pPr>
    </w:p>
    <w:p>
      <w:pPr>
        <w:pStyle w:val="10"/>
        <w:jc w:val="center"/>
        <w:rPr>
          <w:sz w:val="72"/>
          <w:szCs w:val="72"/>
        </w:rPr>
      </w:pPr>
    </w:p>
    <w:p>
      <w:pPr>
        <w:pStyle w:val="10"/>
        <w:jc w:val="center"/>
        <w:rPr>
          <w:sz w:val="72"/>
          <w:szCs w:val="72"/>
        </w:rPr>
      </w:pPr>
    </w:p>
    <w:p>
      <w:pPr>
        <w:pStyle w:val="10"/>
        <w:jc w:val="center"/>
        <w:rPr>
          <w:sz w:val="72"/>
          <w:szCs w:val="72"/>
        </w:rPr>
      </w:pPr>
    </w:p>
    <w:p>
      <w:pPr>
        <w:pStyle w:val="10"/>
        <w:jc w:val="center"/>
        <w:rPr>
          <w:sz w:val="72"/>
          <w:szCs w:val="72"/>
        </w:rPr>
      </w:pPr>
    </w:p>
    <w:p>
      <w:pPr>
        <w:pStyle w:val="10"/>
        <w:jc w:val="center"/>
        <w:rPr>
          <w:sz w:val="72"/>
          <w:szCs w:val="72"/>
        </w:rPr>
      </w:pPr>
    </w:p>
    <w:p>
      <w:pPr>
        <w:pStyle w:val="10"/>
        <w:jc w:val="center"/>
        <w:rPr>
          <w:sz w:val="72"/>
          <w:szCs w:val="72"/>
        </w:rPr>
      </w:pPr>
    </w:p>
    <w:p>
      <w:pPr>
        <w:pStyle w:val="10"/>
        <w:jc w:val="center"/>
        <w:rPr>
          <w:sz w:val="72"/>
          <w:szCs w:val="72"/>
        </w:rPr>
      </w:pPr>
      <w:r>
        <w:rPr>
          <w:rFonts w:hint="eastAsia"/>
          <w:sz w:val="72"/>
          <w:szCs w:val="72"/>
        </w:rPr>
        <w:t>第五部分</w:t>
      </w:r>
    </w:p>
    <w:p>
      <w:pPr>
        <w:jc w:val="center"/>
        <w:rPr>
          <w:rFonts w:ascii="黑体" w:eastAsia="黑体" w:cs="黑体"/>
          <w:color w:val="000000"/>
          <w:kern w:val="0"/>
          <w:sz w:val="70"/>
          <w:szCs w:val="70"/>
        </w:rPr>
      </w:pPr>
    </w:p>
    <w:p>
      <w:pPr>
        <w:jc w:val="center"/>
        <w:rPr>
          <w:rFonts w:ascii="黑体" w:eastAsia="黑体" w:cs="黑体"/>
          <w:color w:val="000000"/>
          <w:kern w:val="0"/>
          <w:sz w:val="70"/>
          <w:szCs w:val="70"/>
        </w:rPr>
      </w:pPr>
      <w:r>
        <w:rPr>
          <w:rFonts w:hint="eastAsia" w:ascii="黑体" w:eastAsia="黑体" w:cs="黑体"/>
          <w:color w:val="000000"/>
          <w:kern w:val="0"/>
          <w:sz w:val="70"/>
          <w:szCs w:val="70"/>
        </w:rPr>
        <w:t>附件</w:t>
      </w:r>
    </w:p>
    <w:p>
      <w:pPr>
        <w:widowControl/>
        <w:jc w:val="left"/>
        <w:rPr>
          <w:rFonts w:ascii="黑体" w:eastAsia="黑体" w:cs="黑体"/>
          <w:color w:val="000000"/>
          <w:kern w:val="0"/>
          <w:sz w:val="70"/>
          <w:szCs w:val="70"/>
        </w:rPr>
      </w:pPr>
      <w:r>
        <w:rPr>
          <w:rFonts w:ascii="黑体" w:eastAsia="黑体" w:cs="黑体"/>
          <w:color w:val="000000"/>
          <w:kern w:val="0"/>
          <w:sz w:val="70"/>
          <w:szCs w:val="70"/>
        </w:rPr>
        <w:br w:type="page"/>
      </w:r>
    </w:p>
    <w:p>
      <w:pPr>
        <w:jc w:val="center"/>
        <w:rPr>
          <w:rFonts w:ascii="黑体" w:eastAsia="黑体" w:cs="黑体"/>
          <w:color w:val="000000"/>
          <w:kern w:val="0"/>
          <w:sz w:val="70"/>
          <w:szCs w:val="70"/>
        </w:rPr>
      </w:pPr>
    </w:p>
    <w:p>
      <w:pPr>
        <w:ind w:firstLine="640" w:firstLineChars="200"/>
        <w:jc w:val="left"/>
        <w:rPr>
          <w:rFonts w:hint="eastAsia" w:cs="黑体" w:asciiTheme="minorEastAsia" w:hAnsiTheme="minorEastAsia" w:eastAsiaTheme="minorEastAsia"/>
          <w:b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cs="黑体" w:asciiTheme="minorEastAsia" w:hAnsiTheme="minorEastAsia"/>
          <w:b/>
          <w:color w:val="000000"/>
          <w:kern w:val="0"/>
          <w:sz w:val="32"/>
          <w:szCs w:val="32"/>
          <w:lang w:val="en-US" w:eastAsia="zh-CN"/>
        </w:rPr>
        <w:t>1、2021年部门决算公开表格</w:t>
      </w:r>
    </w:p>
    <w:p>
      <w:pPr>
        <w:ind w:firstLine="640" w:firstLineChars="200"/>
        <w:jc w:val="left"/>
        <w:rPr>
          <w:rFonts w:cs="黑体" w:asciiTheme="minorEastAsia" w:hAnsiTheme="minorEastAsia"/>
          <w:b/>
          <w:color w:val="000000"/>
          <w:kern w:val="0"/>
          <w:sz w:val="32"/>
          <w:szCs w:val="32"/>
        </w:rPr>
      </w:pPr>
      <w:r>
        <w:rPr>
          <w:rFonts w:hint="eastAsia" w:cs="黑体" w:asciiTheme="minorEastAsia" w:hAnsiTheme="minorEastAsia"/>
          <w:b/>
          <w:color w:val="000000"/>
          <w:kern w:val="0"/>
          <w:sz w:val="32"/>
          <w:szCs w:val="32"/>
          <w:lang w:val="en-US" w:eastAsia="zh-CN"/>
        </w:rPr>
        <w:t>2、</w:t>
      </w:r>
      <w:r>
        <w:rPr>
          <w:rFonts w:hint="eastAsia" w:cs="黑体" w:asciiTheme="minorEastAsia" w:hAnsiTheme="minorEastAsia"/>
          <w:b/>
          <w:color w:val="000000"/>
          <w:kern w:val="0"/>
          <w:sz w:val="32"/>
          <w:szCs w:val="32"/>
        </w:rPr>
        <w:t>2021年度部门整体支出绩效评价报告</w:t>
      </w:r>
    </w:p>
    <w:p>
      <w:pPr>
        <w:ind w:firstLine="640" w:firstLineChars="200"/>
        <w:jc w:val="left"/>
        <w:rPr>
          <w:rFonts w:cs="黑体" w:asciiTheme="minorEastAsia" w:hAnsiTheme="minorEastAsia"/>
          <w:color w:val="000000"/>
          <w:kern w:val="0"/>
          <w:sz w:val="32"/>
          <w:szCs w:val="32"/>
        </w:rPr>
      </w:pPr>
      <w:r>
        <w:rPr>
          <w:rFonts w:cs="黑体" w:asciiTheme="minorEastAsia" w:hAnsiTheme="minorEastAsia"/>
          <w:color w:val="000000"/>
          <w:kern w:val="0"/>
          <w:sz w:val="32"/>
          <w:szCs w:val="32"/>
        </w:rPr>
        <w:t>………</w:t>
      </w:r>
    </w:p>
    <w:p>
      <w:pPr>
        <w:ind w:firstLine="640" w:firstLineChars="200"/>
        <w:jc w:val="left"/>
        <w:rPr>
          <w:rFonts w:cs="黑体" w:asciiTheme="minorEastAsia" w:hAnsiTheme="minorEastAsia"/>
          <w:color w:val="000000"/>
          <w:kern w:val="0"/>
          <w:sz w:val="32"/>
          <w:szCs w:val="32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91A1A8"/>
    <w:multiLevelType w:val="singleLevel"/>
    <w:tmpl w:val="AC91A1A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16A298D"/>
    <w:multiLevelType w:val="singleLevel"/>
    <w:tmpl w:val="B16A298D"/>
    <w:lvl w:ilvl="0" w:tentative="0">
      <w:start w:val="9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373518C1"/>
    <w:multiLevelType w:val="multilevel"/>
    <w:tmpl w:val="373518C1"/>
    <w:lvl w:ilvl="0" w:tentative="0">
      <w:start w:val="1"/>
      <w:numFmt w:val="none"/>
      <w:lvlText w:val="一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72FF44C"/>
    <w:multiLevelType w:val="singleLevel"/>
    <w:tmpl w:val="672FF44C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yY2NjYWY0NDFlNmY3YWVjMmFlMWExMWMzMDYzZTMifQ=="/>
  </w:docVars>
  <w:rsids>
    <w:rsidRoot w:val="00172A27"/>
    <w:rsid w:val="0002229B"/>
    <w:rsid w:val="000273BD"/>
    <w:rsid w:val="000415B7"/>
    <w:rsid w:val="00041E3F"/>
    <w:rsid w:val="00055DAA"/>
    <w:rsid w:val="00061F7B"/>
    <w:rsid w:val="000658A3"/>
    <w:rsid w:val="00074155"/>
    <w:rsid w:val="000873EF"/>
    <w:rsid w:val="000A3F69"/>
    <w:rsid w:val="00103957"/>
    <w:rsid w:val="00124A1F"/>
    <w:rsid w:val="00152C6D"/>
    <w:rsid w:val="00162D39"/>
    <w:rsid w:val="001678BD"/>
    <w:rsid w:val="00182373"/>
    <w:rsid w:val="001A67DB"/>
    <w:rsid w:val="001C3C29"/>
    <w:rsid w:val="001D51E5"/>
    <w:rsid w:val="001E080D"/>
    <w:rsid w:val="001E53D0"/>
    <w:rsid w:val="001F0C3B"/>
    <w:rsid w:val="00202C14"/>
    <w:rsid w:val="00202C82"/>
    <w:rsid w:val="00214427"/>
    <w:rsid w:val="00226CB7"/>
    <w:rsid w:val="00264552"/>
    <w:rsid w:val="00264EF9"/>
    <w:rsid w:val="00265724"/>
    <w:rsid w:val="0027426B"/>
    <w:rsid w:val="002E0A30"/>
    <w:rsid w:val="003130C4"/>
    <w:rsid w:val="00316C4B"/>
    <w:rsid w:val="0032192B"/>
    <w:rsid w:val="003479BD"/>
    <w:rsid w:val="0037197D"/>
    <w:rsid w:val="003768D5"/>
    <w:rsid w:val="003C4197"/>
    <w:rsid w:val="003C47E6"/>
    <w:rsid w:val="003C4FC2"/>
    <w:rsid w:val="003E2331"/>
    <w:rsid w:val="00416E61"/>
    <w:rsid w:val="0042790C"/>
    <w:rsid w:val="004506F9"/>
    <w:rsid w:val="004717A2"/>
    <w:rsid w:val="00473DF3"/>
    <w:rsid w:val="00487911"/>
    <w:rsid w:val="00491741"/>
    <w:rsid w:val="004B0CEE"/>
    <w:rsid w:val="00500E5F"/>
    <w:rsid w:val="005122EF"/>
    <w:rsid w:val="0051441A"/>
    <w:rsid w:val="00517C33"/>
    <w:rsid w:val="00517D5F"/>
    <w:rsid w:val="00521AF2"/>
    <w:rsid w:val="00523644"/>
    <w:rsid w:val="0054069E"/>
    <w:rsid w:val="00544866"/>
    <w:rsid w:val="005767CC"/>
    <w:rsid w:val="00590D9F"/>
    <w:rsid w:val="00595D26"/>
    <w:rsid w:val="005A74E6"/>
    <w:rsid w:val="005B404E"/>
    <w:rsid w:val="005D4D55"/>
    <w:rsid w:val="005E2CFB"/>
    <w:rsid w:val="005F2103"/>
    <w:rsid w:val="005F3D1C"/>
    <w:rsid w:val="0062378F"/>
    <w:rsid w:val="00641842"/>
    <w:rsid w:val="00651EEC"/>
    <w:rsid w:val="00686673"/>
    <w:rsid w:val="00691E8C"/>
    <w:rsid w:val="006A22C4"/>
    <w:rsid w:val="006A348B"/>
    <w:rsid w:val="006A351B"/>
    <w:rsid w:val="006B0422"/>
    <w:rsid w:val="006C1B53"/>
    <w:rsid w:val="006D7730"/>
    <w:rsid w:val="006E5284"/>
    <w:rsid w:val="006F3EB5"/>
    <w:rsid w:val="00702E34"/>
    <w:rsid w:val="00704395"/>
    <w:rsid w:val="00710FE7"/>
    <w:rsid w:val="00717621"/>
    <w:rsid w:val="00720FF1"/>
    <w:rsid w:val="00727A53"/>
    <w:rsid w:val="00787B42"/>
    <w:rsid w:val="007C4539"/>
    <w:rsid w:val="007F3657"/>
    <w:rsid w:val="00812ED5"/>
    <w:rsid w:val="008277D9"/>
    <w:rsid w:val="0084478C"/>
    <w:rsid w:val="0086638C"/>
    <w:rsid w:val="008A3E8D"/>
    <w:rsid w:val="009237C4"/>
    <w:rsid w:val="00944C48"/>
    <w:rsid w:val="00950252"/>
    <w:rsid w:val="00967F5D"/>
    <w:rsid w:val="009A0F95"/>
    <w:rsid w:val="009B3ADF"/>
    <w:rsid w:val="009C3B52"/>
    <w:rsid w:val="009E6817"/>
    <w:rsid w:val="009E6E9A"/>
    <w:rsid w:val="00A01D2B"/>
    <w:rsid w:val="00A42218"/>
    <w:rsid w:val="00A70249"/>
    <w:rsid w:val="00A70B02"/>
    <w:rsid w:val="00A71D9F"/>
    <w:rsid w:val="00A92E9F"/>
    <w:rsid w:val="00B33BEA"/>
    <w:rsid w:val="00B57C9F"/>
    <w:rsid w:val="00B63572"/>
    <w:rsid w:val="00B845B3"/>
    <w:rsid w:val="00B85D8B"/>
    <w:rsid w:val="00BB4A40"/>
    <w:rsid w:val="00BD6C3E"/>
    <w:rsid w:val="00BE3674"/>
    <w:rsid w:val="00C10681"/>
    <w:rsid w:val="00C3049A"/>
    <w:rsid w:val="00C31B1E"/>
    <w:rsid w:val="00C77645"/>
    <w:rsid w:val="00CE04C3"/>
    <w:rsid w:val="00CE76A0"/>
    <w:rsid w:val="00D148C6"/>
    <w:rsid w:val="00D17A8A"/>
    <w:rsid w:val="00D415BA"/>
    <w:rsid w:val="00D63780"/>
    <w:rsid w:val="00D644EE"/>
    <w:rsid w:val="00D75489"/>
    <w:rsid w:val="00DD06FF"/>
    <w:rsid w:val="00DD5FE9"/>
    <w:rsid w:val="00E00C7A"/>
    <w:rsid w:val="00E209CF"/>
    <w:rsid w:val="00E37D6C"/>
    <w:rsid w:val="00E55B68"/>
    <w:rsid w:val="00E67BE6"/>
    <w:rsid w:val="00E8683C"/>
    <w:rsid w:val="00EA2B72"/>
    <w:rsid w:val="00F74360"/>
    <w:rsid w:val="00FB462F"/>
    <w:rsid w:val="00FE16FA"/>
    <w:rsid w:val="00FE328A"/>
    <w:rsid w:val="00FE6269"/>
    <w:rsid w:val="00FF5CD6"/>
    <w:rsid w:val="05633A58"/>
    <w:rsid w:val="06B411F0"/>
    <w:rsid w:val="087403E0"/>
    <w:rsid w:val="08F62D30"/>
    <w:rsid w:val="0A314B36"/>
    <w:rsid w:val="0BE56081"/>
    <w:rsid w:val="136178EF"/>
    <w:rsid w:val="13BE003E"/>
    <w:rsid w:val="15B42303"/>
    <w:rsid w:val="17A87124"/>
    <w:rsid w:val="1AAF32D7"/>
    <w:rsid w:val="21BC598B"/>
    <w:rsid w:val="264762AD"/>
    <w:rsid w:val="27DB542D"/>
    <w:rsid w:val="297271D3"/>
    <w:rsid w:val="2FB00900"/>
    <w:rsid w:val="366364DD"/>
    <w:rsid w:val="370B6762"/>
    <w:rsid w:val="40FA4B57"/>
    <w:rsid w:val="422A0446"/>
    <w:rsid w:val="436B7427"/>
    <w:rsid w:val="440D06CC"/>
    <w:rsid w:val="45F9639D"/>
    <w:rsid w:val="48A033D2"/>
    <w:rsid w:val="48ED43E7"/>
    <w:rsid w:val="4A8E6891"/>
    <w:rsid w:val="4D956083"/>
    <w:rsid w:val="5E7F4E17"/>
    <w:rsid w:val="5F6D12E1"/>
    <w:rsid w:val="60A907EA"/>
    <w:rsid w:val="6145544E"/>
    <w:rsid w:val="698836FF"/>
    <w:rsid w:val="73C93D9A"/>
    <w:rsid w:val="75A4362D"/>
    <w:rsid w:val="79C50170"/>
    <w:rsid w:val="7BEC6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ind w:firstLine="420" w:firstLineChars="200"/>
    </w:pPr>
    <w:rPr>
      <w:rFonts w:hint="default"/>
      <w:sz w:val="21"/>
      <w:szCs w:val="24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eastAsia="黑体" w:cs="黑体" w:hAnsiTheme="minorHAnsi"/>
      <w:color w:val="000000"/>
      <w:kern w:val="0"/>
      <w:sz w:val="24"/>
      <w:szCs w:val="24"/>
      <w:lang w:val="en-US" w:eastAsia="zh-CN" w:bidi="ar-SA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480904-B2FB-4FE3-894F-42F14B17BC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13</Pages>
  <Words>3122</Words>
  <Characters>3399</Characters>
  <Lines>69</Lines>
  <Paragraphs>19</Paragraphs>
  <TotalTime>0</TotalTime>
  <ScaleCrop>false</ScaleCrop>
  <LinksUpToDate>false</LinksUpToDate>
  <CharactersWithSpaces>3420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2020-07-02T02:32:00Z</dcterms:created>
  <dc:creator>李航 null</dc:creator>
  <cp:lastModifiedBy>何蔚</cp:lastModifiedBy>
  <cp:lastPrinted>2022-07-27T12:55:00Z</cp:lastPrinted>
  <dcterms:modified xsi:type="dcterms:W3CDTF">2023-09-23T06:43:17Z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0F38D925A885468F96033F0EE86C4757_13</vt:lpwstr>
  </property>
</Properties>
</file>